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560" w:right="1860" w:hanging="3552"/>
        <w:spacing w:after="0" w:line="470" w:lineRule="auto"/>
        <w:tabs>
          <w:tab w:leader="none" w:pos="23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2020</w:t>
      </w:r>
    </w:p>
    <w:p>
      <w:pPr>
        <w:spacing w:after="0" w:line="296"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ind w:left="348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w w:val="95"/>
              </w:rPr>
              <w:t>TO</w:t>
            </w:r>
          </w:p>
        </w:tc>
        <w:tc>
          <w:tcPr>
            <w:tcW w:w="540" w:type="dxa"/>
            <w:vAlign w:val="bottom"/>
            <w:tcBorders>
              <w:bottom w:val="single" w:sz="8" w:color="auto"/>
            </w:tcBorders>
          </w:tcPr>
          <w:p>
            <w:pPr>
              <w:spacing w:after="0"/>
              <w:rPr>
                <w:sz w:val="17"/>
                <w:szCs w:val="17"/>
                <w:color w:val="auto"/>
              </w:rPr>
            </w:pPr>
          </w:p>
        </w:tc>
        <w:tc>
          <w:tcPr>
            <w:tcW w:w="3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3860" w:type="dxa"/>
            <w:vAlign w:val="bottom"/>
          </w:tcPr>
          <w:p>
            <w:pPr>
              <w:spacing w:after="0"/>
              <w:rPr>
                <w:sz w:val="24"/>
                <w:szCs w:val="24"/>
                <w:color w:val="auto"/>
              </w:rPr>
            </w:pPr>
          </w:p>
        </w:tc>
        <w:tc>
          <w:tcPr>
            <w:tcW w:w="35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9"/>
              </w:rPr>
              <w:t>COMMISSION FILE NUMBER: 814-00891</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860" w:type="dxa"/>
            <w:vAlign w:val="bottom"/>
            <w:tcBorders>
              <w:bottom w:val="single" w:sz="8" w:color="auto"/>
            </w:tcBorders>
            <w:gridSpan w:val="2"/>
          </w:tcPr>
          <w:p>
            <w:pPr>
              <w:spacing w:after="0"/>
              <w:rPr>
                <w:sz w:val="12"/>
                <w:szCs w:val="12"/>
                <w:color w:val="auto"/>
              </w:rPr>
            </w:pPr>
          </w:p>
        </w:tc>
        <w:tc>
          <w:tcPr>
            <w:tcW w:w="840" w:type="dxa"/>
            <w:vAlign w:val="bottom"/>
            <w:tcBorders>
              <w:bottom w:val="single" w:sz="8" w:color="auto"/>
            </w:tcBorders>
            <w:gridSpan w:val="2"/>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0"/>
        </w:trPr>
        <w:tc>
          <w:tcPr>
            <w:tcW w:w="11240" w:type="dxa"/>
            <w:vAlign w:val="bottom"/>
            <w:gridSpan w:val="6"/>
          </w:tcPr>
          <w:p>
            <w:pPr>
              <w:jc w:val="center"/>
              <w:spacing w:after="0"/>
              <w:rPr>
                <w:sz w:val="20"/>
                <w:szCs w:val="20"/>
                <w:color w:val="auto"/>
              </w:rPr>
            </w:pPr>
            <w:r>
              <w:rPr>
                <w:rFonts w:ascii="Arial" w:cs="Arial" w:eastAsia="Arial" w:hAnsi="Arial"/>
                <w:sz w:val="31"/>
                <w:szCs w:val="31"/>
                <w:b w:val="1"/>
                <w:bCs w:val="1"/>
                <w:color w:val="auto"/>
                <w:w w:val="98"/>
              </w:rPr>
              <w:t>PENNANTPARK FLOATING RATE CAPITAL LTD.</w:t>
            </w:r>
          </w:p>
        </w:tc>
        <w:tc>
          <w:tcPr>
            <w:tcW w:w="0" w:type="dxa"/>
            <w:vAlign w:val="bottom"/>
          </w:tcPr>
          <w:p>
            <w:pPr>
              <w:spacing w:after="0"/>
              <w:rPr>
                <w:sz w:val="1"/>
                <w:szCs w:val="1"/>
                <w:color w:val="auto"/>
              </w:rPr>
            </w:pPr>
          </w:p>
        </w:tc>
      </w:tr>
      <w:tr>
        <w:trPr>
          <w:trHeight w:val="186"/>
        </w:trPr>
        <w:tc>
          <w:tcPr>
            <w:tcW w:w="3860" w:type="dxa"/>
            <w:vAlign w:val="bottom"/>
          </w:tcPr>
          <w:p>
            <w:pPr>
              <w:spacing w:after="0"/>
              <w:rPr>
                <w:sz w:val="16"/>
                <w:szCs w:val="16"/>
                <w:color w:val="auto"/>
              </w:rPr>
            </w:pPr>
          </w:p>
        </w:tc>
        <w:tc>
          <w:tcPr>
            <w:tcW w:w="3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rPr>
              <w:t>MARYLAND</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3"/>
          </w:tcPr>
          <w:p>
            <w:pPr>
              <w:jc w:val="right"/>
              <w:ind w:right="2275"/>
              <w:spacing w:after="0"/>
              <w:rPr>
                <w:sz w:val="20"/>
                <w:szCs w:val="20"/>
                <w:color w:val="auto"/>
              </w:rPr>
            </w:pPr>
            <w:r>
              <w:rPr>
                <w:rFonts w:ascii="Arial" w:cs="Arial" w:eastAsia="Arial" w:hAnsi="Arial"/>
                <w:sz w:val="14"/>
                <w:szCs w:val="14"/>
                <w:b w:val="1"/>
                <w:bCs w:val="1"/>
                <w:color w:val="auto"/>
              </w:rPr>
              <w:t>27-3794690</w:t>
            </w:r>
          </w:p>
        </w:tc>
        <w:tc>
          <w:tcPr>
            <w:tcW w:w="0" w:type="dxa"/>
            <w:vAlign w:val="bottom"/>
          </w:tcPr>
          <w:p>
            <w:pPr>
              <w:spacing w:after="0"/>
              <w:rPr>
                <w:sz w:val="1"/>
                <w:szCs w:val="1"/>
                <w:color w:val="auto"/>
              </w:rPr>
            </w:pPr>
          </w:p>
        </w:tc>
      </w:tr>
      <w:tr>
        <w:trPr>
          <w:trHeight w:val="168"/>
        </w:trPr>
        <w:tc>
          <w:tcPr>
            <w:tcW w:w="7400" w:type="dxa"/>
            <w:vAlign w:val="bottom"/>
            <w:gridSpan w:val="3"/>
          </w:tcPr>
          <w:p>
            <w:pPr>
              <w:jc w:val="center"/>
              <w:ind w:right="174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40" w:type="dxa"/>
            <w:vAlign w:val="bottom"/>
            <w:gridSpan w:val="3"/>
          </w:tcPr>
          <w:p>
            <w:pPr>
              <w:jc w:val="center"/>
              <w:ind w:right="1475"/>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60" w:type="dxa"/>
            <w:vAlign w:val="bottom"/>
          </w:tcPr>
          <w:p>
            <w:pPr>
              <w:jc w:val="center"/>
              <w:ind w:left="1701"/>
              <w:spacing w:after="0"/>
              <w:rPr>
                <w:sz w:val="20"/>
                <w:szCs w:val="20"/>
                <w:color w:val="auto"/>
              </w:rPr>
            </w:pPr>
            <w:r>
              <w:rPr>
                <w:rFonts w:ascii="Arial" w:cs="Arial" w:eastAsia="Arial" w:hAnsi="Arial"/>
                <w:sz w:val="14"/>
                <w:szCs w:val="14"/>
                <w:b w:val="1"/>
                <w:bCs w:val="1"/>
                <w:color w:val="auto"/>
                <w:w w:val="97"/>
              </w:rPr>
              <w:t>New York, N.Y.</w:t>
            </w:r>
          </w:p>
        </w:tc>
        <w:tc>
          <w:tcPr>
            <w:tcW w:w="30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40" w:type="dxa"/>
            <w:vAlign w:val="bottom"/>
            <w:gridSpan w:val="3"/>
            <w:vMerge w:val="restart"/>
          </w:tcPr>
          <w:p>
            <w:pPr>
              <w:jc w:val="right"/>
              <w:ind w:right="2455"/>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3860" w:type="dxa"/>
            <w:vAlign w:val="bottom"/>
          </w:tcPr>
          <w:p>
            <w:pPr>
              <w:spacing w:after="0"/>
              <w:rPr>
                <w:sz w:val="6"/>
                <w:szCs w:val="6"/>
                <w:color w:val="auto"/>
              </w:rPr>
            </w:pPr>
          </w:p>
        </w:tc>
        <w:tc>
          <w:tcPr>
            <w:tcW w:w="3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3860" w:type="dxa"/>
            <w:vAlign w:val="bottom"/>
          </w:tcPr>
          <w:p>
            <w:pPr>
              <w:jc w:val="center"/>
              <w:ind w:left="1701"/>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jc w:val="center"/>
              <w:ind w:right="2315"/>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282"/>
        </w:trPr>
        <w:tc>
          <w:tcPr>
            <w:tcW w:w="3860" w:type="dxa"/>
            <w:vAlign w:val="bottom"/>
          </w:tcPr>
          <w:p>
            <w:pPr>
              <w:spacing w:after="0"/>
              <w:rPr>
                <w:sz w:val="24"/>
                <w:szCs w:val="24"/>
                <w:color w:val="auto"/>
              </w:rPr>
            </w:pPr>
          </w:p>
        </w:tc>
        <w:tc>
          <w:tcPr>
            <w:tcW w:w="3000" w:type="dxa"/>
            <w:vAlign w:val="bottom"/>
          </w:tcPr>
          <w:p>
            <w:pPr>
              <w:jc w:val="center"/>
              <w:ind w:left="467"/>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860" w:type="dxa"/>
            <w:vAlign w:val="bottom"/>
          </w:tcPr>
          <w:p>
            <w:pPr>
              <w:spacing w:after="0"/>
              <w:rPr>
                <w:sz w:val="13"/>
                <w:szCs w:val="13"/>
                <w:color w:val="auto"/>
              </w:rPr>
            </w:pPr>
          </w:p>
        </w:tc>
        <w:tc>
          <w:tcPr>
            <w:tcW w:w="354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86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860" w:type="dxa"/>
            <w:vAlign w:val="bottom"/>
          </w:tcPr>
          <w:p>
            <w:pPr>
              <w:ind w:left="480"/>
              <w:spacing w:after="0"/>
              <w:rPr>
                <w:sz w:val="20"/>
                <w:szCs w:val="20"/>
                <w:color w:val="auto"/>
              </w:rPr>
            </w:pPr>
            <w:r>
              <w:rPr>
                <w:rFonts w:ascii="Arial" w:cs="Arial" w:eastAsia="Arial" w:hAnsi="Arial"/>
                <w:sz w:val="14"/>
                <w:szCs w:val="14"/>
                <w:color w:val="auto"/>
                <w:w w:val="94"/>
              </w:rPr>
              <w:t>Securities registered pursuant to Section 12(b) of the Act:</w:t>
            </w:r>
          </w:p>
        </w:tc>
        <w:tc>
          <w:tcPr>
            <w:tcW w:w="3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Title of Each Class</w:t>
            </w:r>
          </w:p>
        </w:tc>
        <w:tc>
          <w:tcPr>
            <w:tcW w:w="35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Trading Symbol(s)</w:t>
            </w:r>
          </w:p>
        </w:tc>
        <w:tc>
          <w:tcPr>
            <w:tcW w:w="300" w:type="dxa"/>
            <w:vAlign w:val="bottom"/>
          </w:tcPr>
          <w:p>
            <w:pPr>
              <w:spacing w:after="0"/>
              <w:rPr>
                <w:sz w:val="22"/>
                <w:szCs w:val="22"/>
                <w:color w:val="auto"/>
              </w:rPr>
            </w:pPr>
          </w:p>
        </w:tc>
        <w:tc>
          <w:tcPr>
            <w:tcW w:w="3540" w:type="dxa"/>
            <w:vAlign w:val="bottom"/>
            <w:gridSpan w:val="2"/>
          </w:tcPr>
          <w:p>
            <w:pPr>
              <w:jc w:val="center"/>
              <w:ind w:right="175"/>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82"/>
        </w:trPr>
        <w:tc>
          <w:tcPr>
            <w:tcW w:w="3860" w:type="dxa"/>
            <w:vAlign w:val="bottom"/>
          </w:tcPr>
          <w:p>
            <w:pPr>
              <w:jc w:val="center"/>
              <w:ind w:right="41"/>
              <w:spacing w:after="0"/>
              <w:rPr>
                <w:sz w:val="20"/>
                <w:szCs w:val="20"/>
                <w:color w:val="auto"/>
              </w:rPr>
            </w:pPr>
            <w:r>
              <w:rPr>
                <w:rFonts w:ascii="Arial" w:cs="Arial" w:eastAsia="Arial" w:hAnsi="Arial"/>
                <w:sz w:val="14"/>
                <w:szCs w:val="14"/>
                <w:color w:val="auto"/>
                <w:w w:val="92"/>
              </w:rPr>
              <w:t>Common Stock, par value $0.001 per share</w:t>
            </w:r>
          </w:p>
        </w:tc>
        <w:tc>
          <w:tcPr>
            <w:tcW w:w="3540" w:type="dxa"/>
            <w:vAlign w:val="bottom"/>
            <w:gridSpan w:val="2"/>
          </w:tcPr>
          <w:p>
            <w:pPr>
              <w:jc w:val="center"/>
              <w:ind w:right="60"/>
              <w:spacing w:after="0"/>
              <w:rPr>
                <w:sz w:val="20"/>
                <w:szCs w:val="20"/>
                <w:color w:val="auto"/>
              </w:rPr>
            </w:pPr>
            <w:r>
              <w:rPr>
                <w:rFonts w:ascii="Arial" w:cs="Arial" w:eastAsia="Arial" w:hAnsi="Arial"/>
                <w:sz w:val="14"/>
                <w:szCs w:val="14"/>
                <w:color w:val="auto"/>
                <w:w w:val="93"/>
              </w:rPr>
              <w:t>PFLT</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0" w:type="dxa"/>
            <w:vAlign w:val="bottom"/>
          </w:tcPr>
          <w:p>
            <w:pPr>
              <w:jc w:val="center"/>
              <w:ind w:right="715"/>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15"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jc w:val="both"/>
        <w:ind w:firstLine="467"/>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3" w:lineRule="exact"/>
        <w:rPr>
          <w:sz w:val="24"/>
          <w:szCs w:val="24"/>
          <w:color w:val="auto"/>
        </w:rPr>
      </w:pPr>
    </w:p>
    <w:p>
      <w:pPr>
        <w:ind w:right="180" w:firstLine="467"/>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Arial" w:cs="Arial" w:eastAsia="Arial" w:hAnsi="Arial"/>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Non-accelerated filer</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ind w:left="2900"/>
              <w:spacing w:after="0"/>
              <w:rPr>
                <w:sz w:val="20"/>
                <w:szCs w:val="20"/>
                <w:color w:val="auto"/>
              </w:rPr>
            </w:pPr>
            <w:r>
              <w:rPr>
                <w:rFonts w:ascii="Arial" w:cs="Arial" w:eastAsia="Arial" w:hAnsi="Arial"/>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10"/>
        </w:trPr>
        <w:tc>
          <w:tcPr>
            <w:tcW w:w="21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62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8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112" w:lineRule="exact"/>
        <w:rPr>
          <w:sz w:val="24"/>
          <w:szCs w:val="24"/>
          <w:color w:val="auto"/>
        </w:rPr>
      </w:pPr>
    </w:p>
    <w:p>
      <w:pPr>
        <w:jc w:val="both"/>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80" w:right="3040"/>
        <w:spacing w:after="0" w:line="253"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The number of shares of the registrant’s common stock, $0.001 par value per share, outstanding as of August 5, 2020 was 38,772,074.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76835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494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PENNANTPARK FLOATING RATE CAPITAL LTD.</w:t>
      </w:r>
    </w:p>
    <w:p>
      <w:pPr>
        <w:jc w:val="center"/>
        <w:spacing w:after="0" w:line="225" w:lineRule="auto"/>
        <w:rPr>
          <w:sz w:val="20"/>
          <w:szCs w:val="20"/>
          <w:color w:val="auto"/>
        </w:rPr>
      </w:pPr>
      <w:r>
        <w:rPr>
          <w:rFonts w:ascii="Arial" w:cs="Arial" w:eastAsia="Arial" w:hAnsi="Arial"/>
          <w:sz w:val="14"/>
          <w:szCs w:val="14"/>
          <w:b w:val="1"/>
          <w:bCs w:val="1"/>
          <w:color w:val="auto"/>
        </w:rPr>
        <w:t>FORM 10-Q FOR THE QUARTER ENDED JUNE 30, 2020</w:t>
      </w:r>
    </w:p>
    <w:p>
      <w:pPr>
        <w:jc w:val="center"/>
        <w:spacing w:after="0"/>
        <w:rPr>
          <w:sz w:val="20"/>
          <w:szCs w:val="20"/>
          <w:color w:val="auto"/>
        </w:rPr>
      </w:pPr>
      <w:r>
        <w:rPr>
          <w:rFonts w:ascii="Arial" w:cs="Arial" w:eastAsia="Arial" w:hAnsi="Arial"/>
          <w:sz w:val="14"/>
          <w:szCs w:val="14"/>
          <w:b w:val="1"/>
          <w:bCs w:val="1"/>
          <w:color w:val="auto"/>
        </w:rPr>
        <w:t>TABLE OF CONTENTS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00" w:type="dxa"/>
            <w:vAlign w:val="bottom"/>
          </w:tcPr>
          <w:p>
            <w:pPr>
              <w:ind w:left="360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1940" w:type="dxa"/>
            <w:vAlign w:val="bottom"/>
          </w:tcPr>
          <w:p>
            <w:pPr>
              <w:spacing w:after="0"/>
              <w:rPr>
                <w:sz w:val="16"/>
                <w:szCs w:val="16"/>
                <w:color w:val="auto"/>
              </w:rPr>
            </w:pPr>
          </w:p>
        </w:tc>
      </w:tr>
      <w:tr>
        <w:trPr>
          <w:trHeight w:val="297"/>
        </w:trPr>
        <w:tc>
          <w:tcPr>
            <w:tcW w:w="930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1940" w:type="dxa"/>
            <w:vAlign w:val="bottom"/>
          </w:tcPr>
          <w:p>
            <w:pPr>
              <w:spacing w:after="0"/>
              <w:rPr>
                <w:sz w:val="24"/>
                <w:szCs w:val="24"/>
                <w:color w:val="auto"/>
              </w:rPr>
            </w:pP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2020 (unaudited) and September 30, 2019</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2020 and 2019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and nine months ended June 30, 2020 and 2019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2020 and 2019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2020 (unaudited) and September 30, 2019</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16">
              <w:r>
                <w:rPr>
                  <w:rFonts w:ascii="Arial" w:cs="Arial" w:eastAsia="Arial" w:hAnsi="Arial"/>
                  <w:sz w:val="14"/>
                  <w:szCs w:val="14"/>
                  <w:u w:val="single" w:color="auto"/>
                  <w:color w:val="0000EE"/>
                </w:rPr>
                <w:t>Notes to Consolidated Financial Statements (unaudited)</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97"/>
        </w:trPr>
        <w:tc>
          <w:tcPr>
            <w:tcW w:w="9300" w:type="dxa"/>
            <w:vAlign w:val="bottom"/>
          </w:tcPr>
          <w:p>
            <w:pPr>
              <w:ind w:left="380"/>
              <w:spacing w:after="0"/>
              <w:rPr>
                <w:rFonts w:ascii="Arial" w:cs="Arial" w:eastAsia="Arial" w:hAnsi="Arial"/>
                <w:sz w:val="14"/>
                <w:szCs w:val="14"/>
                <w:u w:val="single" w:color="auto"/>
                <w:color w:val="0000EE"/>
              </w:rPr>
            </w:pPr>
            <w:hyperlink w:anchor="page31">
              <w:r>
                <w:rPr>
                  <w:rFonts w:ascii="Arial" w:cs="Arial" w:eastAsia="Arial" w:hAnsi="Arial"/>
                  <w:sz w:val="14"/>
                  <w:szCs w:val="14"/>
                  <w:u w:val="single" w:color="auto"/>
                  <w:color w:val="0000EE"/>
                </w:rPr>
                <w:t>Report of Independent Registered Public Accounting Firm</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32</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4">
              <w:r>
                <w:rPr>
                  <w:rFonts w:ascii="Arial" w:cs="Arial" w:eastAsia="Arial" w:hAnsi="Arial"/>
                  <w:sz w:val="14"/>
                  <w:szCs w:val="14"/>
                  <w:b w:val="1"/>
                  <w:bCs w:val="1"/>
                  <w:u w:val="single" w:color="auto"/>
                  <w:color w:val="0000EE"/>
                </w:rPr>
                <w:t>Item 3. Quantitative and Qualitative Disclosures About Market Risk</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5">
              <w:r>
                <w:rPr>
                  <w:rFonts w:ascii="Arial" w:cs="Arial" w:eastAsia="Arial" w:hAnsi="Arial"/>
                  <w:sz w:val="14"/>
                  <w:szCs w:val="14"/>
                  <w:b w:val="1"/>
                  <w:bCs w:val="1"/>
                  <w:u w:val="single" w:color="auto"/>
                  <w:color w:val="0000EE"/>
                </w:rPr>
                <w:t>Item 4. Controls and Procedures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97"/>
        </w:trPr>
        <w:tc>
          <w:tcPr>
            <w:tcW w:w="9300" w:type="dxa"/>
            <w:vAlign w:val="bottom"/>
          </w:tcPr>
          <w:p>
            <w:pPr>
              <w:ind w:left="4320"/>
              <w:spacing w:after="0"/>
              <w:rPr>
                <w:rFonts w:ascii="Arial" w:cs="Arial" w:eastAsia="Arial" w:hAnsi="Arial"/>
                <w:sz w:val="14"/>
                <w:szCs w:val="14"/>
                <w:b w:val="1"/>
                <w:bCs w:val="1"/>
                <w:u w:val="single" w:color="auto"/>
                <w:color w:val="0000EE"/>
              </w:rPr>
            </w:pPr>
            <w:hyperlink w:anchor="page46">
              <w:r>
                <w:rPr>
                  <w:rFonts w:ascii="Arial" w:cs="Arial" w:eastAsia="Arial" w:hAnsi="Arial"/>
                  <w:sz w:val="14"/>
                  <w:szCs w:val="14"/>
                  <w:b w:val="1"/>
                  <w:bCs w:val="1"/>
                  <w:u w:val="single" w:color="auto"/>
                  <w:color w:val="0000EE"/>
                </w:rPr>
                <w:t>PART II. OTHER INFORMATION</w:t>
              </w:r>
            </w:hyperlink>
          </w:p>
        </w:tc>
        <w:tc>
          <w:tcPr>
            <w:tcW w:w="1940" w:type="dxa"/>
            <w:vAlign w:val="bottom"/>
          </w:tcPr>
          <w:p>
            <w:pPr>
              <w:spacing w:after="0"/>
              <w:rPr>
                <w:sz w:val="24"/>
                <w:szCs w:val="24"/>
                <w:color w:val="auto"/>
              </w:rPr>
            </w:pP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6">
              <w:r>
                <w:rPr>
                  <w:rFonts w:ascii="Arial" w:cs="Arial" w:eastAsia="Arial" w:hAnsi="Arial"/>
                  <w:sz w:val="14"/>
                  <w:szCs w:val="14"/>
                  <w:b w:val="1"/>
                  <w:bCs w:val="1"/>
                  <w:u w:val="single" w:color="auto"/>
                  <w:color w:val="0000EE"/>
                </w:rPr>
                <w:t>Item 1. Legal Proceedings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6">
              <w:r>
                <w:rPr>
                  <w:rFonts w:ascii="Arial" w:cs="Arial" w:eastAsia="Arial" w:hAnsi="Arial"/>
                  <w:sz w:val="14"/>
                  <w:szCs w:val="14"/>
                  <w:b w:val="1"/>
                  <w:bCs w:val="1"/>
                  <w:u w:val="single" w:color="auto"/>
                  <w:color w:val="0000EE"/>
                </w:rPr>
                <w:t>Item 1A. Risk Factors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46</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8">
              <w:r>
                <w:rPr>
                  <w:rFonts w:ascii="Arial" w:cs="Arial" w:eastAsia="Arial" w:hAnsi="Arial"/>
                  <w:sz w:val="14"/>
                  <w:szCs w:val="14"/>
                  <w:b w:val="1"/>
                  <w:bCs w:val="1"/>
                  <w:u w:val="single" w:color="auto"/>
                  <w:color w:val="0000EE"/>
                </w:rPr>
                <w:t>Item 2. Unregistered Sales of Equity Securities and Use of Proceeds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8">
              <w:r>
                <w:rPr>
                  <w:rFonts w:ascii="Arial" w:cs="Arial" w:eastAsia="Arial" w:hAnsi="Arial"/>
                  <w:sz w:val="14"/>
                  <w:szCs w:val="14"/>
                  <w:b w:val="1"/>
                  <w:bCs w:val="1"/>
                  <w:u w:val="single" w:color="auto"/>
                  <w:color w:val="0000EE"/>
                </w:rPr>
                <w:t>Item 3. Defaults Upon Senior Securities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8">
              <w:r>
                <w:rPr>
                  <w:rFonts w:ascii="Arial" w:cs="Arial" w:eastAsia="Arial" w:hAnsi="Arial"/>
                  <w:sz w:val="14"/>
                  <w:szCs w:val="14"/>
                  <w:b w:val="1"/>
                  <w:bCs w:val="1"/>
                  <w:u w:val="single" w:color="auto"/>
                  <w:color w:val="0000EE"/>
                </w:rPr>
                <w:t>Item 4. Mine Safety Disclosures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8">
              <w:r>
                <w:rPr>
                  <w:rFonts w:ascii="Arial" w:cs="Arial" w:eastAsia="Arial" w:hAnsi="Arial"/>
                  <w:sz w:val="14"/>
                  <w:szCs w:val="14"/>
                  <w:b w:val="1"/>
                  <w:bCs w:val="1"/>
                  <w:u w:val="single" w:color="auto"/>
                  <w:color w:val="0000EE"/>
                </w:rPr>
                <w:t>Item 5. Other Information</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49">
              <w:r>
                <w:rPr>
                  <w:rFonts w:ascii="Arial" w:cs="Arial" w:eastAsia="Arial" w:hAnsi="Arial"/>
                  <w:sz w:val="14"/>
                  <w:szCs w:val="14"/>
                  <w:b w:val="1"/>
                  <w:bCs w:val="1"/>
                  <w:u w:val="single" w:color="auto"/>
                  <w:color w:val="0000EE"/>
                </w:rPr>
                <w:t>Item 6. Exhibits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97"/>
        </w:trPr>
        <w:tc>
          <w:tcPr>
            <w:tcW w:w="9300" w:type="dxa"/>
            <w:vAlign w:val="bottom"/>
          </w:tcPr>
          <w:p>
            <w:pPr>
              <w:ind w:left="20"/>
              <w:spacing w:after="0"/>
              <w:rPr>
                <w:rFonts w:ascii="Arial" w:cs="Arial" w:eastAsia="Arial" w:hAnsi="Arial"/>
                <w:sz w:val="14"/>
                <w:szCs w:val="14"/>
                <w:b w:val="1"/>
                <w:bCs w:val="1"/>
                <w:u w:val="single" w:color="auto"/>
                <w:color w:val="0000EE"/>
              </w:rPr>
            </w:pPr>
            <w:hyperlink w:anchor="page50">
              <w:r>
                <w:rPr>
                  <w:rFonts w:ascii="Arial" w:cs="Arial" w:eastAsia="Arial" w:hAnsi="Arial"/>
                  <w:sz w:val="14"/>
                  <w:szCs w:val="14"/>
                  <w:b w:val="1"/>
                  <w:bCs w:val="1"/>
                  <w:u w:val="single" w:color="auto"/>
                  <w:color w:val="0000EE"/>
                </w:rPr>
                <w:t>SIGNATURES</w:t>
              </w:r>
            </w:hyperlink>
          </w:p>
        </w:tc>
        <w:tc>
          <w:tcPr>
            <w:tcW w:w="1940" w:type="dxa"/>
            <w:vAlign w:val="bottom"/>
          </w:tcPr>
          <w:p>
            <w:pPr>
              <w:jc w:val="right"/>
              <w:spacing w:after="0"/>
              <w:rPr>
                <w:sz w:val="20"/>
                <w:szCs w:val="20"/>
                <w:color w:val="auto"/>
              </w:rPr>
            </w:pPr>
            <w:r>
              <w:rPr>
                <w:rFonts w:ascii="Arial" w:cs="Arial" w:eastAsia="Arial" w:hAnsi="Arial"/>
                <w:sz w:val="14"/>
                <w:szCs w:val="14"/>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139" w:lineRule="exact"/>
        <w:rPr>
          <w:sz w:val="20"/>
          <w:szCs w:val="20"/>
          <w:color w:val="auto"/>
        </w:rPr>
      </w:pPr>
    </w:p>
    <w:p>
      <w:pPr>
        <w:ind w:firstLine="438"/>
        <w:spacing w:after="0" w:line="151" w:lineRule="exact"/>
        <w:rPr>
          <w:sz w:val="20"/>
          <w:szCs w:val="20"/>
          <w:color w:val="auto"/>
        </w:rPr>
      </w:pPr>
      <w:r>
        <w:rPr>
          <w:rFonts w:ascii="Arial" w:cs="Arial" w:eastAsia="Arial" w:hAnsi="Arial"/>
          <w:sz w:val="13"/>
          <w:szCs w:val="13"/>
          <w:color w:val="auto"/>
        </w:rPr>
        <w:t>We are filing this Quarterly Report on Form 10-Q, or the Report, in compliance with Rule 13a-13 as promulgated by the Securities and Exchange Commission, or the SEC, under the Securities Exchange Act of 1934, as amended, or the Exchange Act. In this Report, except where the context suggests otherwise, the terms “Company,” “we,” “our” or “us” refer to PennantPark Floating Rate Capital Ltd. and its wholly-owned consolidated subsidiaries; “Funding I” refers to PennantPark Floating Rate Funding I, LLC; “Taxable Subsidiary” refers to PFLT Investment Holdings, LLC; “PSSL” refers to PennantPark Senior Secured Loan Fund I LLC, an unconsolidated joint venture; “PennantPark Investment Advisers” or “Investment Adviser” refer to PennantPark Investment Advisers, LLC; “PennantPark Investment Administration” or “Administrator” refer to PennantPark Investment Administration, LLC; “2023 Notes” refer to our 4.3% Series A notes due 2023; “1940 Act” refers to the Investment Company Act of 1940, as amended; “SBCAA” refers to the Small Business Credit Availability Act; “Code” refers to the Internal Revenue Code of 1986, as amended; “RIC” refers to a regulated investment company under the Code; “BDC” refers to a business development company under the 1940 Act; “MCG” refers to MCG Capital Corporation; “Credit Facility” refers to our multi-currency senior secured revolving credit facility, as amended and restated with Truist Bank (formerly SunTrust Bank) and other lenders, or the Lenders; “Securitization Issuer” refers to PennantPark CLO I, Ltd.; “Securitization Issuers” refers to the Securitization Issuer and PennantPark CLO I, LLC; “Debt Securitization” refers to the $301.4 million term debt securitization completed by the Securitization Issuers; “2031 Asset-Backed Debt” refers to (i) the issuance of the Class A-1 Senior Secured Floating Rate Notes due 2031, the Class A-2 Senior Secured Fixed Rate Notes due 2031, the Class B-1 Senior Secured Floating Rate Notes due 2031, the Class B-2 Senior Secured Fixed Rate Notes due 2031, the Class C-1 Secured Deferrable Floating Rate Notes due 2031, the Class C-2 Notes Secured Deferrable Fixed Rate Notes due 2031, and the Class D Secured Deferrable Floating Notes due 2031 and (ii) the borrowing of the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Notes due 2031 by the Securitization Issuers in connection with the Debt Securitization; and “Depositor” refers to PennantPark CLO I Depositor, LLC. References to our portfolio, our investments, our Credit Facility, and our business include investments we make through our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68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080" w:type="dxa"/>
            <w:vAlign w:val="bottom"/>
          </w:tcPr>
          <w:p>
            <w:pPr>
              <w:ind w:left="80"/>
              <w:spacing w:after="0"/>
              <w:rPr>
                <w:sz w:val="20"/>
                <w:szCs w:val="20"/>
                <w:color w:val="auto"/>
              </w:rPr>
            </w:pPr>
            <w:r>
              <w:rPr>
                <w:rFonts w:ascii="Arial" w:cs="Arial" w:eastAsia="Arial" w:hAnsi="Arial"/>
                <w:sz w:val="14"/>
                <w:szCs w:val="14"/>
                <w:b w:val="1"/>
                <w:bCs w:val="1"/>
                <w:color w:val="auto"/>
              </w:rPr>
              <w:t>Consolidated Financial Statements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08"/>
        </w:trPr>
        <w:tc>
          <w:tcPr>
            <w:tcW w:w="680" w:type="dxa"/>
            <w:vAlign w:val="bottom"/>
          </w:tcPr>
          <w:p>
            <w:pPr>
              <w:spacing w:after="0"/>
              <w:rPr>
                <w:sz w:val="24"/>
                <w:szCs w:val="24"/>
                <w:color w:val="auto"/>
              </w:rPr>
            </w:pPr>
          </w:p>
        </w:tc>
        <w:tc>
          <w:tcPr>
            <w:tcW w:w="7380" w:type="dxa"/>
            <w:vAlign w:val="bottom"/>
            <w:gridSpan w:val="3"/>
          </w:tcPr>
          <w:p>
            <w:pPr>
              <w:ind w:left="2580"/>
              <w:spacing w:after="0"/>
              <w:rPr>
                <w:sz w:val="20"/>
                <w:szCs w:val="20"/>
                <w:color w:val="auto"/>
              </w:rPr>
            </w:pPr>
            <w:r>
              <w:rPr>
                <w:rFonts w:ascii="Arial" w:cs="Arial" w:eastAsia="Arial" w:hAnsi="Arial"/>
                <w:sz w:val="14"/>
                <w:szCs w:val="14"/>
                <w:b w:val="1"/>
                <w:bCs w:val="1"/>
                <w:color w:val="auto"/>
              </w:rPr>
              <w:t>PENNANTPARK FLOATING RATE CAPITAL LTD. AND SUBSIDIARIES</w:t>
            </w: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6"/>
        </w:trPr>
        <w:tc>
          <w:tcPr>
            <w:tcW w:w="680" w:type="dxa"/>
            <w:vAlign w:val="bottom"/>
          </w:tcPr>
          <w:p>
            <w:pPr>
              <w:spacing w:after="0"/>
              <w:rPr>
                <w:sz w:val="16"/>
                <w:szCs w:val="16"/>
                <w:color w:val="auto"/>
              </w:rPr>
            </w:pPr>
          </w:p>
        </w:tc>
        <w:tc>
          <w:tcPr>
            <w:tcW w:w="7080" w:type="dxa"/>
            <w:vAlign w:val="bottom"/>
          </w:tcPr>
          <w:p>
            <w:pPr>
              <w:ind w:left="282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54"/>
        </w:trPr>
        <w:tc>
          <w:tcPr>
            <w:tcW w:w="6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June 30, 2020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September 30, 2019</w:t>
            </w:r>
          </w:p>
        </w:tc>
      </w:tr>
      <w:tr>
        <w:trPr>
          <w:trHeight w:val="171"/>
        </w:trPr>
        <w:tc>
          <w:tcPr>
            <w:tcW w:w="68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68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4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(cost—$956,767,973 and $886,955,156, respectively)</w:t>
            </w:r>
          </w:p>
        </w:tc>
        <w:tc>
          <w:tcPr>
            <w:tcW w:w="300" w:type="dxa"/>
            <w:vAlign w:val="bottom"/>
            <w:gridSpan w:val="2"/>
            <w:shd w:val="clear" w:color="auto" w:fill="CCECFF"/>
          </w:tcPr>
          <w:p>
            <w:pPr>
              <w:jc w:val="right"/>
              <w:ind w:right="16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935,279,231</w:t>
            </w:r>
          </w:p>
        </w:tc>
        <w:tc>
          <w:tcPr>
            <w:tcW w:w="160" w:type="dxa"/>
            <w:vAlign w:val="bottom"/>
            <w:shd w:val="clear" w:color="auto" w:fill="CCECFF"/>
          </w:tcPr>
          <w:p>
            <w:pPr>
              <w:spacing w:after="0"/>
              <w:rPr>
                <w:sz w:val="14"/>
                <w:szCs w:val="14"/>
                <w:color w:val="auto"/>
              </w:rPr>
            </w:pPr>
          </w:p>
        </w:tc>
        <w:tc>
          <w:tcPr>
            <w:tcW w:w="24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889,113,264</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(cost—$21,136,074 and $23,645,693, respectively)</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9,677,605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20,430,565</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(cost—$176,312,500 and $174,562,500, respectively)</w:t>
            </w:r>
          </w:p>
        </w:tc>
        <w:tc>
          <w:tcPr>
            <w:tcW w:w="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159,396,415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172,163,080</w:t>
            </w:r>
          </w:p>
        </w:tc>
        <w:tc>
          <w:tcPr>
            <w:tcW w:w="120" w:type="dxa"/>
            <w:vAlign w:val="bottom"/>
            <w:shd w:val="clear" w:color="auto" w:fill="CCECFF"/>
          </w:tcPr>
          <w:p>
            <w:pPr>
              <w:spacing w:after="0"/>
              <w:rPr>
                <w:sz w:val="14"/>
                <w:szCs w:val="14"/>
                <w:color w:val="auto"/>
              </w:rPr>
            </w:pPr>
          </w:p>
        </w:tc>
      </w:tr>
      <w:tr>
        <w:trPr>
          <w:trHeight w:val="156"/>
        </w:trPr>
        <w:tc>
          <w:tcPr>
            <w:tcW w:w="776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of investments (cost—$1,154,216,547 and $1,085,172,349, respectively)</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1,104,353,251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spacing w:after="0" w:line="155" w:lineRule="exact"/>
              <w:rPr>
                <w:sz w:val="20"/>
                <w:szCs w:val="20"/>
                <w:color w:val="auto"/>
              </w:rPr>
            </w:pPr>
            <w:r>
              <w:rPr>
                <w:rFonts w:ascii="Arial" w:cs="Arial" w:eastAsia="Arial" w:hAnsi="Arial"/>
                <w:sz w:val="14"/>
                <w:szCs w:val="14"/>
                <w:color w:val="auto"/>
              </w:rPr>
              <w:t>1,081,706,909</w:t>
            </w:r>
          </w:p>
        </w:tc>
        <w:tc>
          <w:tcPr>
            <w:tcW w:w="120" w:type="dxa"/>
            <w:vAlign w:val="bottom"/>
          </w:tcPr>
          <w:p>
            <w:pPr>
              <w:spacing w:after="0"/>
              <w:rPr>
                <w:sz w:val="13"/>
                <w:szCs w:val="13"/>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(cost—$53,473,103 and $63,367,237, respectively)</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53,405,925</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63,337,728</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Receivable for investments sold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8,441,713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2,997,546</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3,626,998</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3,892,292</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Distribution receivable from controlled, affiliated investment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1,225,000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20" w:type="dxa"/>
            <w:vAlign w:val="bottom"/>
            <w:shd w:val="clear" w:color="auto" w:fill="CCECFF"/>
          </w:tcPr>
          <w:p>
            <w:pPr>
              <w:spacing w:after="0"/>
              <w:rPr>
                <w:sz w:val="14"/>
                <w:szCs w:val="14"/>
                <w:color w:val="auto"/>
              </w:rPr>
            </w:pPr>
          </w:p>
        </w:tc>
        <w:tc>
          <w:tcPr>
            <w:tcW w:w="28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614,370</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4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441,337</w:t>
            </w:r>
          </w:p>
        </w:tc>
        <w:tc>
          <w:tcPr>
            <w:tcW w:w="120" w:type="dxa"/>
            <w:vAlign w:val="bottom"/>
            <w:shd w:val="clear" w:color="auto" w:fill="CCECFF"/>
          </w:tcPr>
          <w:p>
            <w:pPr>
              <w:spacing w:after="0"/>
              <w:rPr>
                <w:sz w:val="14"/>
                <w:szCs w:val="14"/>
                <w:color w:val="auto"/>
              </w:rPr>
            </w:pPr>
          </w:p>
        </w:tc>
      </w:tr>
      <w:tr>
        <w:trPr>
          <w:trHeight w:val="155"/>
        </w:trPr>
        <w:tc>
          <w:tcPr>
            <w:tcW w:w="680" w:type="dxa"/>
            <w:vAlign w:val="bottom"/>
            <w:tcBorders>
              <w:bottom w:val="single" w:sz="8" w:color="CCECFF"/>
            </w:tcBorders>
          </w:tcPr>
          <w:p>
            <w:pPr>
              <w:spacing w:after="0"/>
              <w:rPr>
                <w:sz w:val="13"/>
                <w:szCs w:val="13"/>
                <w:color w:val="auto"/>
              </w:rPr>
            </w:pPr>
          </w:p>
        </w:tc>
        <w:tc>
          <w:tcPr>
            <w:tcW w:w="7080" w:type="dxa"/>
            <w:vAlign w:val="bottom"/>
            <w:tcBorders>
              <w:bottom w:val="single" w:sz="8" w:color="CCECFF"/>
            </w:tcBorders>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20" w:type="dxa"/>
            <w:vAlign w:val="bottom"/>
            <w:tcBorders>
              <w:bottom w:val="single" w:sz="8" w:color="CCEC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1,171,667,257</w:t>
            </w:r>
          </w:p>
        </w:tc>
        <w:tc>
          <w:tcPr>
            <w:tcW w:w="16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1,152,375,812</w:t>
            </w:r>
          </w:p>
        </w:tc>
        <w:tc>
          <w:tcPr>
            <w:tcW w:w="120" w:type="dxa"/>
            <w:vAlign w:val="bottom"/>
            <w:tcBorders>
              <w:bottom w:val="single" w:sz="8" w:color="CCECFF"/>
            </w:tcBorders>
          </w:tcPr>
          <w:p>
            <w:pPr>
              <w:spacing w:after="0"/>
              <w:rPr>
                <w:sz w:val="13"/>
                <w:szCs w:val="13"/>
                <w:color w:val="auto"/>
              </w:rPr>
            </w:pPr>
          </w:p>
        </w:tc>
      </w:tr>
      <w:tr>
        <w:trPr>
          <w:trHeight w:val="156"/>
        </w:trPr>
        <w:tc>
          <w:tcPr>
            <w:tcW w:w="68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42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Distributions payable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3,683,347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3,683,347</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12,033,794</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Credit Facility payable, at fair value (cost—$351,598,500 and $265,307,500, respectively) (See Notes 5 and 10)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340,926,080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263,988,583</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2023 Notes payable, at fair value (par—$138,579,858) (See Notes 5 and 10)</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121,853,269</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135,240,084</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2031 Asset-Backed Debt, net (par—$228,000,000) (See Notes 5 and 10)</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224,708,624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224,321,845</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debt</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2,644,746</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3,275,481</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Base management fee payable (See Note 3)</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2,872,725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2,728,019</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Performance-based incentive fee payable (See Note 3)</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1,975,831</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2,532,205</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2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1,668,257</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1,514,943</w:t>
            </w:r>
          </w:p>
        </w:tc>
        <w:tc>
          <w:tcPr>
            <w:tcW w:w="120" w:type="dxa"/>
            <w:vAlign w:val="bottom"/>
            <w:tcBorders>
              <w:bottom w:val="single" w:sz="8" w:color="CCECFF"/>
            </w:tcBorders>
          </w:tcPr>
          <w:p>
            <w:pPr>
              <w:spacing w:after="0"/>
              <w:rPr>
                <w:sz w:val="14"/>
                <w:szCs w:val="14"/>
                <w:color w:val="auto"/>
              </w:rPr>
            </w:pPr>
          </w:p>
        </w:tc>
      </w:tr>
      <w:tr>
        <w:trPr>
          <w:trHeight w:val="155"/>
        </w:trPr>
        <w:tc>
          <w:tcPr>
            <w:tcW w:w="680" w:type="dxa"/>
            <w:vAlign w:val="bottom"/>
            <w:shd w:val="clear" w:color="auto" w:fill="CCECFF"/>
          </w:tcPr>
          <w:p>
            <w:pPr>
              <w:spacing w:after="0"/>
              <w:rPr>
                <w:sz w:val="13"/>
                <w:szCs w:val="13"/>
                <w:color w:val="auto"/>
              </w:rPr>
            </w:pPr>
          </w:p>
        </w:tc>
        <w:tc>
          <w:tcPr>
            <w:tcW w:w="7080" w:type="dxa"/>
            <w:vAlign w:val="bottom"/>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2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700,332,879</w:t>
            </w:r>
          </w:p>
        </w:tc>
        <w:tc>
          <w:tcPr>
            <w:tcW w:w="16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14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649,318,301</w:t>
            </w:r>
          </w:p>
        </w:tc>
        <w:tc>
          <w:tcPr>
            <w:tcW w:w="120" w:type="dxa"/>
            <w:vAlign w:val="bottom"/>
            <w:shd w:val="clear" w:color="auto" w:fill="CCECFF"/>
          </w:tcPr>
          <w:p>
            <w:pPr>
              <w:spacing w:after="0"/>
              <w:rPr>
                <w:sz w:val="13"/>
                <w:szCs w:val="13"/>
                <w:color w:val="auto"/>
              </w:rPr>
            </w:pPr>
          </w:p>
        </w:tc>
      </w:tr>
      <w:tr>
        <w:trPr>
          <w:trHeight w:val="156"/>
        </w:trPr>
        <w:tc>
          <w:tcPr>
            <w:tcW w:w="776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680" w:type="dxa"/>
            <w:vAlign w:val="bottom"/>
            <w:shd w:val="clear" w:color="auto" w:fill="CCECFF"/>
          </w:tcPr>
          <w:p>
            <w:pPr>
              <w:spacing w:after="0"/>
              <w:rPr>
                <w:sz w:val="20"/>
                <w:szCs w:val="20"/>
                <w:color w:val="auto"/>
              </w:rPr>
            </w:pPr>
            <w:r>
              <w:rPr>
                <w:rFonts w:ascii="Arial" w:cs="Arial" w:eastAsia="Arial" w:hAnsi="Arial"/>
                <w:sz w:val="14"/>
                <w:szCs w:val="14"/>
                <w:b w:val="1"/>
                <w:bCs w:val="1"/>
                <w:color w:val="auto"/>
                <w:w w:val="94"/>
              </w:rPr>
              <w:t>Net assets</w:t>
            </w:r>
          </w:p>
        </w:tc>
        <w:tc>
          <w:tcPr>
            <w:tcW w:w="70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r>
      <w:tr>
        <w:trPr>
          <w:trHeight w:val="143"/>
        </w:trPr>
        <w:tc>
          <w:tcPr>
            <w:tcW w:w="7760" w:type="dxa"/>
            <w:vAlign w:val="bottom"/>
            <w:gridSpan w:val="2"/>
          </w:tcPr>
          <w:p>
            <w:pPr>
              <w:spacing w:after="0" w:line="143" w:lineRule="exact"/>
              <w:rPr>
                <w:sz w:val="20"/>
                <w:szCs w:val="20"/>
                <w:color w:val="auto"/>
              </w:rPr>
            </w:pPr>
            <w:r>
              <w:rPr>
                <w:rFonts w:ascii="Arial" w:cs="Arial" w:eastAsia="Arial" w:hAnsi="Arial"/>
                <w:sz w:val="14"/>
                <w:szCs w:val="14"/>
                <w:color w:val="auto"/>
              </w:rPr>
              <w:t>Common stock, 38,772,074 shares issued and outstanding Par value $0.001 per share and 100,000,000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7760" w:type="dxa"/>
            <w:vAlign w:val="bottom"/>
            <w:gridSpan w:val="2"/>
          </w:tcPr>
          <w:p>
            <w:pPr>
              <w:ind w:left="120"/>
              <w:spacing w:after="0"/>
              <w:rPr>
                <w:sz w:val="20"/>
                <w:szCs w:val="20"/>
                <w:color w:val="auto"/>
              </w:rPr>
            </w:pPr>
            <w:r>
              <w:rPr>
                <w:rFonts w:ascii="Arial" w:cs="Arial" w:eastAsia="Arial" w:hAnsi="Arial"/>
                <w:sz w:val="14"/>
                <w:szCs w:val="14"/>
                <w:color w:val="auto"/>
              </w:rPr>
              <w:t>shares authorized</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38,772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38,772</w:t>
            </w:r>
          </w:p>
        </w:tc>
        <w:tc>
          <w:tcPr>
            <w:tcW w:w="120" w:type="dxa"/>
            <w:vAlign w:val="bottom"/>
          </w:tcPr>
          <w:p>
            <w:pPr>
              <w:spacing w:after="0"/>
              <w:rPr>
                <w:sz w:val="14"/>
                <w:szCs w:val="14"/>
                <w:color w:val="auto"/>
              </w:rPr>
            </w:pPr>
          </w:p>
        </w:tc>
      </w:tr>
      <w:tr>
        <w:trPr>
          <w:trHeight w:val="162"/>
        </w:trPr>
        <w:tc>
          <w:tcPr>
            <w:tcW w:w="77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2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538,632,828</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538,632,828</w:t>
            </w:r>
          </w:p>
        </w:tc>
        <w:tc>
          <w:tcPr>
            <w:tcW w:w="120" w:type="dxa"/>
            <w:vAlign w:val="bottom"/>
            <w:shd w:val="clear" w:color="auto" w:fill="CCECFF"/>
          </w:tcPr>
          <w:p>
            <w:pPr>
              <w:spacing w:after="0"/>
              <w:rPr>
                <w:sz w:val="14"/>
                <w:szCs w:val="14"/>
                <w:color w:val="auto"/>
              </w:rPr>
            </w:pPr>
          </w:p>
        </w:tc>
      </w:tr>
      <w:tr>
        <w:trPr>
          <w:trHeight w:val="162"/>
        </w:trPr>
        <w:tc>
          <w:tcPr>
            <w:tcW w:w="7760" w:type="dxa"/>
            <w:vAlign w:val="bottom"/>
            <w:gridSpan w:val="2"/>
          </w:tcPr>
          <w:p>
            <w:pPr>
              <w:spacing w:after="0"/>
              <w:rPr>
                <w:sz w:val="20"/>
                <w:szCs w:val="20"/>
                <w:color w:val="auto"/>
              </w:rPr>
            </w:pPr>
            <w:r>
              <w:rPr>
                <w:rFonts w:ascii="Arial" w:cs="Arial" w:eastAsia="Arial" w:hAnsi="Arial"/>
                <w:sz w:val="14"/>
                <w:szCs w:val="14"/>
                <w:color w:val="auto"/>
              </w:rPr>
              <w:t>Distributable income</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4"/>
                <w:szCs w:val="14"/>
                <w:color w:val="auto"/>
              </w:rPr>
              <w:t>(67,337,222)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right"/>
              <w:ind w:right="80"/>
              <w:spacing w:after="0"/>
              <w:rPr>
                <w:sz w:val="20"/>
                <w:szCs w:val="20"/>
                <w:color w:val="auto"/>
              </w:rPr>
            </w:pPr>
            <w:r>
              <w:rPr>
                <w:rFonts w:ascii="Arial" w:cs="Arial" w:eastAsia="Arial" w:hAnsi="Arial"/>
                <w:sz w:val="14"/>
                <w:szCs w:val="14"/>
                <w:color w:val="auto"/>
              </w:rPr>
              <w:t>(35,614,089)</w:t>
            </w:r>
          </w:p>
        </w:tc>
      </w:tr>
      <w:tr>
        <w:trPr>
          <w:trHeight w:val="156"/>
        </w:trPr>
        <w:tc>
          <w:tcPr>
            <w:tcW w:w="680" w:type="dxa"/>
            <w:vAlign w:val="bottom"/>
            <w:tcBorders>
              <w:top w:val="single" w:sz="8" w:color="CCECFF"/>
            </w:tcBorders>
            <w:shd w:val="clear" w:color="auto" w:fill="CCECFF"/>
          </w:tcPr>
          <w:p>
            <w:pPr>
              <w:spacing w:after="0"/>
              <w:rPr>
                <w:sz w:val="13"/>
                <w:szCs w:val="13"/>
                <w:color w:val="auto"/>
              </w:rPr>
            </w:pPr>
          </w:p>
        </w:tc>
        <w:tc>
          <w:tcPr>
            <w:tcW w:w="7080" w:type="dxa"/>
            <w:vAlign w:val="bottom"/>
            <w:tcBorders>
              <w:top w:val="single" w:sz="8" w:color="CCECFF"/>
            </w:tcBorders>
            <w:shd w:val="clear" w:color="auto" w:fill="CCECFF"/>
          </w:tcPr>
          <w:p>
            <w:pPr>
              <w:ind w:left="60"/>
              <w:spacing w:after="0" w:line="155" w:lineRule="exact"/>
              <w:rPr>
                <w:sz w:val="20"/>
                <w:szCs w:val="20"/>
                <w:color w:val="auto"/>
              </w:rPr>
            </w:pPr>
            <w:r>
              <w:rPr>
                <w:rFonts w:ascii="Arial" w:cs="Arial" w:eastAsia="Arial" w:hAnsi="Arial"/>
                <w:sz w:val="14"/>
                <w:szCs w:val="14"/>
                <w:b w:val="1"/>
                <w:bCs w:val="1"/>
                <w:color w:val="auto"/>
              </w:rPr>
              <w:t>Total net assets</w:t>
            </w:r>
          </w:p>
        </w:tc>
        <w:tc>
          <w:tcPr>
            <w:tcW w:w="2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471,334,378</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503,057,511</w:t>
            </w:r>
          </w:p>
        </w:tc>
        <w:tc>
          <w:tcPr>
            <w:tcW w:w="120" w:type="dxa"/>
            <w:vAlign w:val="bottom"/>
            <w:tcBorders>
              <w:top w:val="single" w:sz="8" w:color="CCECFF"/>
            </w:tcBorders>
            <w:shd w:val="clear" w:color="auto" w:fill="CCECFF"/>
          </w:tcPr>
          <w:p>
            <w:pPr>
              <w:spacing w:after="0"/>
              <w:rPr>
                <w:sz w:val="13"/>
                <w:szCs w:val="13"/>
                <w:color w:val="auto"/>
              </w:rPr>
            </w:pPr>
          </w:p>
        </w:tc>
      </w:tr>
      <w:tr>
        <w:trPr>
          <w:trHeight w:val="196"/>
        </w:trPr>
        <w:tc>
          <w:tcPr>
            <w:tcW w:w="680" w:type="dxa"/>
            <w:vAlign w:val="bottom"/>
            <w:tcBorders>
              <w:bottom w:val="single" w:sz="8" w:color="CCECFF"/>
            </w:tcBorders>
          </w:tcPr>
          <w:p>
            <w:pPr>
              <w:spacing w:after="0"/>
              <w:rPr>
                <w:sz w:val="17"/>
                <w:szCs w:val="17"/>
                <w:color w:val="auto"/>
              </w:rPr>
            </w:pPr>
          </w:p>
        </w:tc>
        <w:tc>
          <w:tcPr>
            <w:tcW w:w="7080" w:type="dxa"/>
            <w:vAlign w:val="bottom"/>
            <w:tcBorders>
              <w:bottom w:val="single" w:sz="8" w:color="CCECFF"/>
            </w:tcBorders>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1,171,667,257</w:t>
            </w: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1,152,375,812</w:t>
            </w:r>
          </w:p>
        </w:tc>
        <w:tc>
          <w:tcPr>
            <w:tcW w:w="120" w:type="dxa"/>
            <w:vAlign w:val="bottom"/>
            <w:tcBorders>
              <w:bottom w:val="single" w:sz="8" w:color="CCECFF"/>
            </w:tcBorders>
          </w:tcPr>
          <w:p>
            <w:pPr>
              <w:spacing w:after="0"/>
              <w:rPr>
                <w:sz w:val="17"/>
                <w:szCs w:val="17"/>
                <w:color w:val="auto"/>
              </w:rPr>
            </w:pPr>
          </w:p>
        </w:tc>
      </w:tr>
      <w:tr>
        <w:trPr>
          <w:trHeight w:val="142"/>
        </w:trPr>
        <w:tc>
          <w:tcPr>
            <w:tcW w:w="7760" w:type="dxa"/>
            <w:vAlign w:val="bottom"/>
            <w:tcBorders>
              <w:bottom w:val="single" w:sz="8" w:color="CCECFF"/>
            </w:tcBorders>
            <w:gridSpan w:val="2"/>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20" w:type="dxa"/>
            <w:vAlign w:val="bottom"/>
            <w:tcBorders>
              <w:bottom w:val="single" w:sz="8" w:color="CCECFF"/>
            </w:tcBorders>
            <w:shd w:val="clear" w:color="auto" w:fill="CCECFF"/>
          </w:tcPr>
          <w:p>
            <w:pPr>
              <w:spacing w:after="0"/>
              <w:rPr>
                <w:sz w:val="12"/>
                <w:szCs w:val="12"/>
                <w:color w:val="auto"/>
              </w:rPr>
            </w:pPr>
          </w:p>
        </w:tc>
        <w:tc>
          <w:tcPr>
            <w:tcW w:w="280" w:type="dxa"/>
            <w:vAlign w:val="bottom"/>
            <w:tcBorders>
              <w:bottom w:val="single" w:sz="8" w:color="auto"/>
            </w:tcBorders>
            <w:shd w:val="clear" w:color="auto" w:fill="CCECFF"/>
          </w:tcPr>
          <w:p>
            <w:pPr>
              <w:jc w:val="right"/>
              <w:ind w:right="16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12.16</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12.97</w:t>
            </w:r>
          </w:p>
        </w:tc>
        <w:tc>
          <w:tcPr>
            <w:tcW w:w="120" w:type="dxa"/>
            <w:vAlign w:val="bottom"/>
            <w:tcBorders>
              <w:bottom w:val="single" w:sz="8" w:color="CCECFF"/>
            </w:tcBorders>
            <w:shd w:val="clear" w:color="auto" w:fill="CCECFF"/>
          </w:tcPr>
          <w:p>
            <w:pPr>
              <w:spacing w:after="0"/>
              <w:rPr>
                <w:sz w:val="12"/>
                <w:szCs w:val="12"/>
                <w:color w:val="auto"/>
              </w:rPr>
            </w:pPr>
          </w:p>
        </w:tc>
      </w:tr>
      <w:tr>
        <w:trPr>
          <w:trHeight w:val="20"/>
        </w:trPr>
        <w:tc>
          <w:tcPr>
            <w:tcW w:w="68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Nine Months Ended June 30,</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3"/>
                <w:szCs w:val="13"/>
                <w:color w:val="auto"/>
              </w:rPr>
            </w:pPr>
          </w:p>
        </w:tc>
        <w:tc>
          <w:tcPr>
            <w:tcW w:w="2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17,543,157</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16,670,408</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56,760,434</w:t>
            </w:r>
          </w:p>
        </w:tc>
        <w:tc>
          <w:tcPr>
            <w:tcW w:w="240" w:type="dxa"/>
            <w:vAlign w:val="bottom"/>
            <w:shd w:val="clear" w:color="auto" w:fill="CCECFF"/>
          </w:tcPr>
          <w:p>
            <w:pPr>
              <w:spacing w:after="0"/>
              <w:rPr>
                <w:sz w:val="14"/>
                <w:szCs w:val="14"/>
                <w:color w:val="auto"/>
              </w:rPr>
            </w:pPr>
          </w:p>
        </w:tc>
        <w:tc>
          <w:tcPr>
            <w:tcW w:w="26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50,888,582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820,997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974,760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2,734,600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2,971,768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spacing w:after="0"/>
              <w:rPr>
                <w:sz w:val="20"/>
                <w:szCs w:val="20"/>
                <w:color w:val="auto"/>
              </w:rPr>
            </w:pPr>
            <w:r>
              <w:rPr>
                <w:rFonts w:ascii="Arial" w:cs="Arial" w:eastAsia="Arial" w:hAnsi="Arial"/>
                <w:sz w:val="14"/>
                <w:szCs w:val="14"/>
                <w:color w:val="auto"/>
              </w:rPr>
              <w:t>From non-controlled, affiliated investments:</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195,904</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305,217</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655,029</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1,082,208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36,170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109,863</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36,170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124,734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2,944,290</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3,240,760</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9,169,399</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9,273,287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Dividend</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1,225,000</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1,575,000</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4,375,000</w:t>
            </w:r>
          </w:p>
        </w:tc>
        <w:tc>
          <w:tcPr>
            <w:tcW w:w="24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4,725,000</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0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22,765,518</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22,876,008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73,730,632</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69,065,579</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Base management fee (See Note 3)</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2,872,725</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2,564,074</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8,651,825</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7,481,546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1,975,831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2,350,270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7,228,690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3,671,908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6,653,045</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5,663,183</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21,586,859</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16,284,841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350,000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350,000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1,050,000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20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616,077</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616,077</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1,848,230</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1,848,229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Pr>
          <w:p>
            <w:pPr>
              <w:ind w:left="260"/>
              <w:spacing w:after="0" w:line="155" w:lineRule="exact"/>
              <w:rPr>
                <w:sz w:val="20"/>
                <w:szCs w:val="20"/>
                <w:color w:val="auto"/>
              </w:rPr>
            </w:pPr>
            <w:r>
              <w:rPr>
                <w:rFonts w:ascii="Arial" w:cs="Arial" w:eastAsia="Arial" w:hAnsi="Arial"/>
                <w:sz w:val="14"/>
                <w:szCs w:val="14"/>
                <w:b w:val="1"/>
                <w:bCs w:val="1"/>
                <w:color w:val="auto"/>
              </w:rPr>
              <w:t>Expenses before amendment costs, debt issuance costs and provision for taxes:</w:t>
            </w:r>
          </w:p>
        </w:tc>
        <w:tc>
          <w:tcPr>
            <w:tcW w:w="200" w:type="dxa"/>
            <w:vAlign w:val="bottom"/>
          </w:tcPr>
          <w:p>
            <w:pPr>
              <w:spacing w:after="0"/>
              <w:rPr>
                <w:sz w:val="13"/>
                <w:szCs w:val="13"/>
                <w:color w:val="auto"/>
              </w:rPr>
            </w:pP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12,467,678</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11,543,604</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40,365,604</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Arial" w:cs="Arial" w:eastAsia="Arial" w:hAnsi="Arial"/>
                <w:sz w:val="14"/>
                <w:szCs w:val="14"/>
                <w:color w:val="auto"/>
              </w:rPr>
              <w:t>30,486,524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amendment costs and debt issuance costs (See Notes 5 and 10)</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4,517,292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Provision for taxes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584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12,567,678</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11,543,604</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40,665,604</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35,003,816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10,197,840</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11,332,404</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33,065,028</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34,061,763</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tcPr>
          <w:p>
            <w:pPr>
              <w:spacing w:after="0"/>
              <w:rPr>
                <w:sz w:val="20"/>
                <w:szCs w:val="20"/>
                <w:color w:val="auto"/>
              </w:rPr>
            </w:pPr>
            <w:r>
              <w:rPr>
                <w:rFonts w:ascii="Arial" w:cs="Arial" w:eastAsia="Arial" w:hAnsi="Arial"/>
                <w:sz w:val="14"/>
                <w:szCs w:val="14"/>
                <w:color w:val="auto"/>
              </w:rPr>
              <w:t>Net realized loss on investments:</w:t>
            </w: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(1,694,710)</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(11,230,236)</w:t>
            </w:r>
          </w:p>
        </w:tc>
        <w:tc>
          <w:tcPr>
            <w:tcW w:w="22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(2,281,683)</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(9,227,422)</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2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(5,683,145)</w:t>
            </w:r>
          </w:p>
        </w:tc>
        <w:tc>
          <w:tcPr>
            <w:tcW w:w="240" w:type="dxa"/>
            <w:vAlign w:val="bottom"/>
          </w:tcPr>
          <w:p>
            <w:pPr>
              <w:spacing w:after="0"/>
              <w:rPr>
                <w:sz w:val="14"/>
                <w:szCs w:val="14"/>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(7,164,304)</w:t>
            </w:r>
          </w:p>
        </w:tc>
        <w:tc>
          <w:tcPr>
            <w:tcW w:w="2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(5,683,145)</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(7,164,304)</w:t>
            </w:r>
          </w:p>
        </w:tc>
        <w:tc>
          <w:tcPr>
            <w:tcW w:w="0" w:type="dxa"/>
            <w:vAlign w:val="bottom"/>
          </w:tcPr>
          <w:p>
            <w:pPr>
              <w:spacing w:after="0"/>
              <w:rPr>
                <w:sz w:val="1"/>
                <w:szCs w:val="1"/>
                <w:color w:val="auto"/>
              </w:rPr>
            </w:pPr>
          </w:p>
        </w:tc>
      </w:tr>
      <w:tr>
        <w:trPr>
          <w:trHeight w:val="155"/>
        </w:trPr>
        <w:tc>
          <w:tcPr>
            <w:tcW w:w="584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realized loss on investments</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(7,377,855)</w:t>
            </w:r>
          </w:p>
        </w:tc>
        <w:tc>
          <w:tcPr>
            <w:tcW w:w="24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(18,394,540)</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(7,964,828)</w:t>
            </w:r>
          </w:p>
        </w:tc>
        <w:tc>
          <w:tcPr>
            <w:tcW w:w="24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spacing w:after="0"/>
              <w:rPr>
                <w:sz w:val="13"/>
                <w:szCs w:val="13"/>
                <w:color w:val="auto"/>
              </w:rPr>
            </w:pP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(16,391,726)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tcPr>
          <w:p>
            <w:pPr>
              <w:spacing w:after="0" w:line="155" w:lineRule="exact"/>
              <w:rPr>
                <w:sz w:val="20"/>
                <w:szCs w:val="20"/>
                <w:color w:val="auto"/>
              </w:rPr>
            </w:pPr>
            <w:r>
              <w:rPr>
                <w:rFonts w:ascii="Arial" w:cs="Arial" w:eastAsia="Arial" w:hAnsi="Arial"/>
                <w:sz w:val="14"/>
                <w:szCs w:val="14"/>
                <w:color w:val="auto"/>
              </w:rPr>
              <w:t>Net change in unrealized appreciation (depreciation) on:</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20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13,962,606</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8,492,044</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(23,662,521)</w:t>
            </w: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(9,292,141)</w:t>
            </w:r>
          </w:p>
        </w:tc>
        <w:tc>
          <w:tcPr>
            <w:tcW w:w="0" w:type="dxa"/>
            <w:vAlign w:val="bottom"/>
          </w:tcPr>
          <w:p>
            <w:pPr>
              <w:spacing w:after="0"/>
              <w:rPr>
                <w:sz w:val="1"/>
                <w:szCs w:val="1"/>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Controlled and non-controlled, affiliated investments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7,931,471</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3,444,481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(22,751,006)</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color w:val="auto"/>
              </w:rPr>
              <w:t>(3,892,061)</w:t>
            </w:r>
          </w:p>
        </w:tc>
        <w:tc>
          <w:tcPr>
            <w:tcW w:w="0" w:type="dxa"/>
            <w:vAlign w:val="bottom"/>
          </w:tcPr>
          <w:p>
            <w:pPr>
              <w:spacing w:after="0"/>
              <w:rPr>
                <w:sz w:val="1"/>
                <w:szCs w:val="1"/>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Debt (appreciation) depreciation (See Notes 5 and 10)</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(12,158,917)</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(355,573)</w:t>
            </w: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22,740,317</w:t>
            </w:r>
          </w:p>
        </w:tc>
        <w:tc>
          <w:tcPr>
            <w:tcW w:w="24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(443,549)</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9,735,160</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11,580,952</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(23,673,210)</w:t>
            </w:r>
          </w:p>
        </w:tc>
        <w:tc>
          <w:tcPr>
            <w:tcW w:w="24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(13,627,751)</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20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2,357,305</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(6,813,588)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(31,638,038)</w:t>
            </w:r>
          </w:p>
        </w:tc>
        <w:tc>
          <w:tcPr>
            <w:tcW w:w="24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(30,019,477)</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12,555,145</w:t>
            </w:r>
          </w:p>
        </w:tc>
        <w:tc>
          <w:tcPr>
            <w:tcW w:w="24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4,518,816</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1,426,990</w:t>
            </w:r>
          </w:p>
        </w:tc>
        <w:tc>
          <w:tcPr>
            <w:tcW w:w="240" w:type="dxa"/>
            <w:vAlign w:val="bottom"/>
            <w:tcBorders>
              <w:bottom w:val="single" w:sz="8" w:color="CCECFF"/>
            </w:tcBorders>
          </w:tcPr>
          <w:p>
            <w:pPr>
              <w:spacing w:after="0"/>
              <w:rPr>
                <w:sz w:val="17"/>
                <w:szCs w:val="17"/>
                <w:color w:val="auto"/>
              </w:rPr>
            </w:pPr>
          </w:p>
        </w:tc>
        <w:tc>
          <w:tcPr>
            <w:tcW w:w="2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4,042,286</w:t>
            </w: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84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increase in net assets resulting from operations per common share (See Note 7)</w:t>
            </w: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0.32</w:t>
            </w:r>
          </w:p>
        </w:tc>
        <w:tc>
          <w:tcPr>
            <w:tcW w:w="24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0.12</w:t>
            </w:r>
          </w:p>
        </w:tc>
        <w:tc>
          <w:tcPr>
            <w:tcW w:w="24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0.04</w:t>
            </w:r>
          </w:p>
        </w:tc>
        <w:tc>
          <w:tcPr>
            <w:tcW w:w="240" w:type="dxa"/>
            <w:vAlign w:val="bottom"/>
            <w:tcBorders>
              <w:bottom w:val="single" w:sz="8" w:color="CCECFF"/>
            </w:tcBorders>
            <w:shd w:val="clear" w:color="auto" w:fill="CCECFF"/>
          </w:tcPr>
          <w:p>
            <w:pPr>
              <w:spacing w:after="0"/>
              <w:rPr>
                <w:sz w:val="12"/>
                <w:szCs w:val="12"/>
                <w:color w:val="auto"/>
              </w:rPr>
            </w:pPr>
          </w:p>
        </w:tc>
        <w:tc>
          <w:tcPr>
            <w:tcW w:w="2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840" w:type="dxa"/>
            <w:vAlign w:val="bottom"/>
            <w:vMerge w:val="continue"/>
          </w:tcPr>
          <w:p>
            <w:pPr>
              <w:spacing w:after="0"/>
              <w:rPr>
                <w:sz w:val="12"/>
                <w:szCs w:val="12"/>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0.26</w:t>
            </w:r>
          </w:p>
        </w:tc>
        <w:tc>
          <w:tcPr>
            <w:tcW w:w="24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0.29</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0.85</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0.88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Three Months Ended June 30,</w:t>
            </w:r>
          </w:p>
        </w:tc>
        <w:tc>
          <w:tcPr>
            <w:tcW w:w="220" w:type="dxa"/>
            <w:vAlign w:val="bottom"/>
          </w:tcPr>
          <w:p>
            <w:pPr>
              <w:spacing w:after="0"/>
              <w:rPr>
                <w:sz w:val="14"/>
                <w:szCs w:val="1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9"/>
              </w:rPr>
              <w:t>Nine Months Ended June 30,</w:t>
            </w:r>
          </w:p>
        </w:tc>
      </w:tr>
      <w:tr>
        <w:trPr>
          <w:trHeight w:val="155"/>
        </w:trPr>
        <w:tc>
          <w:tcPr>
            <w:tcW w:w="584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10,197,840</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11,332,404</w:t>
            </w:r>
          </w:p>
        </w:tc>
        <w:tc>
          <w:tcPr>
            <w:tcW w:w="240" w:type="dxa"/>
            <w:vAlign w:val="bottom"/>
          </w:tcPr>
          <w:p>
            <w:pPr>
              <w:spacing w:after="0"/>
              <w:rPr>
                <w:sz w:val="14"/>
                <w:szCs w:val="14"/>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33,065,028</w:t>
            </w:r>
          </w:p>
        </w:tc>
        <w:tc>
          <w:tcPr>
            <w:tcW w:w="140" w:type="dxa"/>
            <w:vAlign w:val="bottom"/>
          </w:tcPr>
          <w:p>
            <w:pPr>
              <w:spacing w:after="0"/>
              <w:rPr>
                <w:sz w:val="14"/>
                <w:szCs w:val="14"/>
                <w:color w:val="auto"/>
              </w:rPr>
            </w:pPr>
          </w:p>
        </w:tc>
        <w:tc>
          <w:tcPr>
            <w:tcW w:w="34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34,061,763</w:t>
            </w:r>
          </w:p>
        </w:tc>
        <w:tc>
          <w:tcPr>
            <w:tcW w:w="100" w:type="dxa"/>
            <w:vAlign w:val="bottom"/>
          </w:tcPr>
          <w:p>
            <w:pPr>
              <w:spacing w:after="0"/>
              <w:rPr>
                <w:sz w:val="14"/>
                <w:szCs w:val="14"/>
                <w:color w:val="auto"/>
              </w:rPr>
            </w:pP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loss on investments</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(7,377,855)</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(18,394,540)</w:t>
            </w:r>
          </w:p>
        </w:tc>
        <w:tc>
          <w:tcPr>
            <w:tcW w:w="220" w:type="dxa"/>
            <w:vAlign w:val="bottom"/>
            <w:shd w:val="clear" w:color="auto" w:fill="CCECFF"/>
          </w:tcPr>
          <w:p>
            <w:pPr>
              <w:spacing w:after="0"/>
              <w:rPr>
                <w:sz w:val="14"/>
                <w:szCs w:val="14"/>
                <w:color w:val="auto"/>
              </w:rPr>
            </w:pPr>
          </w:p>
        </w:tc>
        <w:tc>
          <w:tcPr>
            <w:tcW w:w="106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(7,964,828)</w:t>
            </w: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(16,391,726)</w:t>
            </w:r>
          </w:p>
        </w:tc>
      </w:tr>
      <w:tr>
        <w:trPr>
          <w:trHeight w:val="162"/>
        </w:trPr>
        <w:tc>
          <w:tcPr>
            <w:tcW w:w="5840" w:type="dxa"/>
            <w:vAlign w:val="bottom"/>
          </w:tcPr>
          <w:p>
            <w:pPr>
              <w:ind w:left="260"/>
              <w:spacing w:after="0"/>
              <w:rPr>
                <w:sz w:val="20"/>
                <w:szCs w:val="20"/>
                <w:color w:val="auto"/>
              </w:rPr>
            </w:pPr>
            <w:r>
              <w:rPr>
                <w:rFonts w:ascii="Arial" w:cs="Arial" w:eastAsia="Arial" w:hAnsi="Arial"/>
                <w:sz w:val="14"/>
                <w:szCs w:val="14"/>
                <w:color w:val="auto"/>
              </w:rPr>
              <w:t>Net change in unrealized appreciation (depreciation) on investments</w:t>
            </w:r>
          </w:p>
        </w:tc>
        <w:tc>
          <w:tcPr>
            <w:tcW w:w="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21,894,077</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11,936,525</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(46,413,527)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(13,184,202)</w:t>
            </w:r>
          </w:p>
        </w:tc>
      </w:tr>
      <w:tr>
        <w:trPr>
          <w:trHeight w:val="162"/>
        </w:trPr>
        <w:tc>
          <w:tcPr>
            <w:tcW w:w="58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(appreciation) depreciation on debt</w:t>
            </w:r>
          </w:p>
        </w:tc>
        <w:tc>
          <w:tcPr>
            <w:tcW w:w="20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(12,158,917)</w:t>
            </w:r>
          </w:p>
        </w:tc>
        <w:tc>
          <w:tcPr>
            <w:tcW w:w="240" w:type="dxa"/>
            <w:vAlign w:val="bottom"/>
            <w:shd w:val="clear" w:color="auto" w:fill="CCECFF"/>
          </w:tcPr>
          <w:p>
            <w:pPr>
              <w:spacing w:after="0"/>
              <w:rPr>
                <w:sz w:val="14"/>
                <w:szCs w:val="14"/>
                <w:color w:val="auto"/>
              </w:rPr>
            </w:pPr>
          </w:p>
        </w:tc>
        <w:tc>
          <w:tcPr>
            <w:tcW w:w="114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(355,573)</w:t>
            </w:r>
          </w:p>
        </w:tc>
        <w:tc>
          <w:tcPr>
            <w:tcW w:w="22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22,740,317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(443,549)</w:t>
            </w:r>
          </w:p>
        </w:tc>
      </w:tr>
      <w:tr>
        <w:trPr>
          <w:trHeight w:val="156"/>
        </w:trPr>
        <w:tc>
          <w:tcPr>
            <w:tcW w:w="58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12,555,145</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4,518,816</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1,426,990</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4,042,286</w:t>
            </w:r>
          </w:p>
        </w:tc>
        <w:tc>
          <w:tcPr>
            <w:tcW w:w="100" w:type="dxa"/>
            <w:vAlign w:val="bottom"/>
            <w:tcBorders>
              <w:bottom w:val="single" w:sz="8" w:color="CCECFF"/>
            </w:tcBorders>
          </w:tcPr>
          <w:p>
            <w:pPr>
              <w:spacing w:after="0"/>
              <w:rPr>
                <w:sz w:val="13"/>
                <w:szCs w:val="13"/>
                <w:color w:val="auto"/>
              </w:rPr>
            </w:pPr>
          </w:p>
        </w:tc>
      </w:tr>
      <w:tr>
        <w:trPr>
          <w:trHeight w:val="155"/>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20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(11,050,041)</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(33,150,123)</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(33,150,123)</w:t>
            </w:r>
          </w:p>
        </w:tc>
        <w:tc>
          <w:tcPr>
            <w:tcW w:w="100" w:type="dxa"/>
            <w:vAlign w:val="bottom"/>
            <w:shd w:val="clear" w:color="auto" w:fill="CCECFF"/>
          </w:tcPr>
          <w:p>
            <w:pPr>
              <w:spacing w:after="0"/>
              <w:rPr>
                <w:sz w:val="13"/>
                <w:szCs w:val="13"/>
                <w:color w:val="auto"/>
              </w:rPr>
            </w:pPr>
          </w:p>
        </w:tc>
      </w:tr>
      <w:tr>
        <w:trPr>
          <w:trHeight w:val="156"/>
        </w:trPr>
        <w:tc>
          <w:tcPr>
            <w:tcW w:w="58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1,505,104</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(6,531,225)</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(31,723,133)</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(29,107,837)</w:t>
            </w:r>
          </w:p>
        </w:tc>
        <w:tc>
          <w:tcPr>
            <w:tcW w:w="100" w:type="dxa"/>
            <w:vAlign w:val="bottom"/>
            <w:tcBorders>
              <w:bottom w:val="single" w:sz="8" w:color="CCECFF"/>
            </w:tcBorders>
          </w:tcPr>
          <w:p>
            <w:pPr>
              <w:spacing w:after="0"/>
              <w:rPr>
                <w:sz w:val="13"/>
                <w:szCs w:val="13"/>
                <w:color w:val="auto"/>
              </w:rPr>
            </w:pPr>
          </w:p>
        </w:tc>
      </w:tr>
      <w:tr>
        <w:trPr>
          <w:trHeight w:val="156"/>
        </w:trPr>
        <w:tc>
          <w:tcPr>
            <w:tcW w:w="58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20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584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469,829,274</w:t>
            </w:r>
          </w:p>
        </w:tc>
        <w:tc>
          <w:tcPr>
            <w:tcW w:w="24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513,264,956</w:t>
            </w:r>
          </w:p>
        </w:tc>
        <w:tc>
          <w:tcPr>
            <w:tcW w:w="24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503,057,511</w:t>
            </w:r>
          </w:p>
        </w:tc>
        <w:tc>
          <w:tcPr>
            <w:tcW w:w="140" w:type="dxa"/>
            <w:vAlign w:val="bottom"/>
            <w:tcBorders>
              <w:bottom w:val="single" w:sz="8" w:color="CCECFF"/>
            </w:tcBorders>
          </w:tcPr>
          <w:p>
            <w:pPr>
              <w:spacing w:after="0"/>
              <w:rPr>
                <w:sz w:val="14"/>
                <w:szCs w:val="14"/>
                <w:color w:val="auto"/>
              </w:rPr>
            </w:pPr>
          </w:p>
        </w:tc>
        <w:tc>
          <w:tcPr>
            <w:tcW w:w="10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535,841,568</w:t>
            </w:r>
          </w:p>
        </w:tc>
        <w:tc>
          <w:tcPr>
            <w:tcW w:w="100" w:type="dxa"/>
            <w:vAlign w:val="bottom"/>
            <w:tcBorders>
              <w:bottom w:val="single" w:sz="8" w:color="CCECFF"/>
            </w:tcBorders>
          </w:tcPr>
          <w:p>
            <w:pPr>
              <w:spacing w:after="0"/>
              <w:rPr>
                <w:sz w:val="14"/>
                <w:szCs w:val="14"/>
                <w:color w:val="auto"/>
              </w:rPr>
            </w:pPr>
          </w:p>
        </w:tc>
      </w:tr>
      <w:tr>
        <w:trPr>
          <w:trHeight w:val="156"/>
        </w:trPr>
        <w:tc>
          <w:tcPr>
            <w:tcW w:w="584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471,334,378</w:t>
            </w:r>
          </w:p>
        </w:tc>
        <w:tc>
          <w:tcPr>
            <w:tcW w:w="24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506,733,731</w:t>
            </w:r>
          </w:p>
        </w:tc>
        <w:tc>
          <w:tcPr>
            <w:tcW w:w="24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471,334,378</w:t>
            </w:r>
          </w:p>
        </w:tc>
        <w:tc>
          <w:tcPr>
            <w:tcW w:w="14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506,733,731</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1,426,990</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4,042,286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260"/>
              <w:spacing w:after="0" w:line="143" w:lineRule="exact"/>
              <w:rPr>
                <w:sz w:val="20"/>
                <w:szCs w:val="20"/>
                <w:color w:val="auto"/>
              </w:rPr>
            </w:pPr>
            <w:r>
              <w:rPr>
                <w:rFonts w:ascii="Arial" w:cs="Arial" w:eastAsia="Arial" w:hAnsi="Arial"/>
                <w:sz w:val="14"/>
                <w:szCs w:val="14"/>
                <w:color w:val="auto"/>
              </w:rPr>
              <w:t>Adjustments to reconcile net increase in net assets resulting from operations to net cash</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360"/>
              <w:spacing w:after="0"/>
              <w:rPr>
                <w:sz w:val="20"/>
                <w:szCs w:val="20"/>
                <w:color w:val="auto"/>
              </w:rPr>
            </w:pPr>
            <w:r>
              <w:rPr>
                <w:rFonts w:ascii="Arial" w:cs="Arial" w:eastAsia="Arial" w:hAnsi="Arial"/>
                <w:sz w:val="14"/>
                <w:szCs w:val="14"/>
                <w:color w:val="auto"/>
              </w:rPr>
              <w:t>used in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change in unrealized depreciation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46,413,527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13,184,202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(22,740,317)</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443,549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realized loss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7,964,828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16,391,726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(1,094,712)</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(1,000,912)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(421,374,980)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(499,505,698)</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Payment-in-kind interest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(1,666,533)</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(1,512,612)</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347,191,798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400,143,184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386,773</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(increase) in interest receivable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265,294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(552,360)</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in receivable for investments sold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(5,444,167)</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(2,977,500)</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distribution receivable from controlled, affiliated investment</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(1,225,000)</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(Increase) decrease in prepaid expenses and other assets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(173,033)</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714,146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Decrease in payable for investments purchased</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(12,033,794)</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(23,107,222)</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interest payable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(630,735)</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(861,738)</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in base management fee payable</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144,706</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144,445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Decrease in performance-based incentive fee payable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(556,374)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(948,135)</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Increase (decrease) in accrued other expenses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153,314</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(647,005)</w:t>
            </w:r>
          </w:p>
        </w:tc>
        <w:tc>
          <w:tcPr>
            <w:tcW w:w="0" w:type="dxa"/>
            <w:vAlign w:val="bottom"/>
          </w:tcPr>
          <w:p>
            <w:pPr>
              <w:spacing w:after="0"/>
              <w:rPr>
                <w:sz w:val="1"/>
                <w:szCs w:val="1"/>
                <w:color w:val="auto"/>
              </w:rPr>
            </w:pPr>
          </w:p>
        </w:tc>
      </w:tr>
      <w:tr>
        <w:trPr>
          <w:trHeight w:val="156"/>
        </w:trPr>
        <w:tc>
          <w:tcPr>
            <w:tcW w:w="772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color w:val="auto"/>
              </w:rPr>
              <w:t>Net cash used in operating activities</w:t>
            </w: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(62,992,415)</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bottom w:val="single" w:sz="8" w:color="auto"/>
            </w:tcBorders>
            <w:shd w:val="clear" w:color="auto" w:fill="CCECFF"/>
          </w:tcPr>
          <w:p>
            <w:pPr>
              <w:spacing w:after="0"/>
              <w:rPr>
                <w:sz w:val="13"/>
                <w:szCs w:val="13"/>
                <w:color w:val="auto"/>
              </w:rPr>
            </w:pP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(96,049,644)</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(33,150,123)</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(33,150,123)</w:t>
            </w: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Borrowings under Credit Facility (See Notes 5 and 10)</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265,000,000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283,700,000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Repayments under Credit Facility (See Notes 5 and 10)</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(178,709,000)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(202,120,020)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740"/>
              <w:spacing w:after="0" w:line="155" w:lineRule="exact"/>
              <w:rPr>
                <w:sz w:val="20"/>
                <w:szCs w:val="20"/>
                <w:color w:val="auto"/>
              </w:rPr>
            </w:pPr>
            <w:r>
              <w:rPr>
                <w:rFonts w:ascii="Arial" w:cs="Arial" w:eastAsia="Arial" w:hAnsi="Arial"/>
                <w:sz w:val="14"/>
                <w:szCs w:val="14"/>
                <w:color w:val="auto"/>
              </w:rPr>
              <w:t>Net cash provided by financing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53,140,877</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48,429,857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decrease in cash and cash equivalents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(9,851,538)</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(47,619,787)</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(80,265)</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759,638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63,337,728</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72,224,183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53,405,925</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25,364,034</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21,747,764</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17,146,578</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501,633</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276,657</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8,025,882</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33,587,726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8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120" w:type="dxa"/>
            <w:vAlign w:val="bottom"/>
          </w:tcPr>
          <w:p>
            <w:pPr>
              <w:jc w:val="center"/>
              <w:ind w:left="366"/>
              <w:spacing w:after="0"/>
              <w:rPr>
                <w:sz w:val="20"/>
                <w:szCs w:val="20"/>
                <w:color w:val="auto"/>
              </w:rPr>
            </w:pPr>
            <w:r>
              <w:rPr>
                <w:rFonts w:ascii="Arial" w:cs="Arial" w:eastAsia="Arial" w:hAnsi="Arial"/>
                <w:sz w:val="11"/>
                <w:szCs w:val="11"/>
                <w:b w:val="1"/>
                <w:bCs w:val="1"/>
                <w:color w:val="auto"/>
                <w:w w:val="98"/>
              </w:rPr>
              <w:t>Maturity</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b w:val="1"/>
                <w:bCs w:val="1"/>
                <w:color w:val="auto"/>
                <w:w w:val="96"/>
              </w:rPr>
              <w:t>Industry</w:t>
            </w:r>
          </w:p>
        </w:tc>
        <w:tc>
          <w:tcPr>
            <w:tcW w:w="94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Cost</w:t>
            </w:r>
          </w:p>
        </w:tc>
        <w:tc>
          <w:tcPr>
            <w:tcW w:w="780" w:type="dxa"/>
            <w:vAlign w:val="bottom"/>
            <w:gridSpan w:val="3"/>
          </w:tcPr>
          <w:p>
            <w:pPr>
              <w:jc w:val="right"/>
              <w:ind w:right="14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r>
      <w:tr>
        <w:trPr>
          <w:trHeight w:val="129"/>
        </w:trPr>
        <w:tc>
          <w:tcPr>
            <w:tcW w:w="430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Non-Controlled, Non-Affiliated Portfolio Companies—198.4% </w:t>
            </w:r>
            <w:r>
              <w:rPr>
                <w:rFonts w:ascii="Arial" w:cs="Arial" w:eastAsia="Arial" w:hAnsi="Arial"/>
                <w:sz w:val="9"/>
                <w:szCs w:val="9"/>
                <w:b w:val="1"/>
                <w:bCs w:val="1"/>
                <w:color w:val="auto"/>
              </w:rPr>
              <w:t>(3), (4)</w:t>
            </w:r>
          </w:p>
        </w:tc>
        <w:tc>
          <w:tcPr>
            <w:tcW w:w="24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b w:val="1"/>
                <w:bCs w:val="1"/>
                <w:color w:val="auto"/>
              </w:rPr>
              <w:t>First Lien Secured Debt—183.6%</w:t>
            </w:r>
          </w:p>
        </w:tc>
        <w:tc>
          <w:tcPr>
            <w:tcW w:w="1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08/11/2025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6,697,697</w:t>
            </w:r>
          </w:p>
        </w:tc>
        <w:tc>
          <w:tcPr>
            <w:tcW w:w="3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6,576,571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6,295,835</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Advantage Sales &amp; Marketing</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07/23/2021</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Food and Staples Retailing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4.25%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L+325</w:t>
            </w:r>
          </w:p>
        </w:tc>
        <w:tc>
          <w:tcPr>
            <w:tcW w:w="660" w:type="dxa"/>
            <w:vAlign w:val="bottom"/>
          </w:tcPr>
          <w:p>
            <w:pPr>
              <w:jc w:val="right"/>
              <w:spacing w:after="0"/>
              <w:rPr>
                <w:sz w:val="20"/>
                <w:szCs w:val="20"/>
                <w:color w:val="auto"/>
              </w:rPr>
            </w:pPr>
            <w:r>
              <w:rPr>
                <w:rFonts w:ascii="Arial" w:cs="Arial" w:eastAsia="Arial" w:hAnsi="Arial"/>
                <w:sz w:val="11"/>
                <w:szCs w:val="11"/>
                <w:color w:val="auto"/>
              </w:rPr>
              <w:t>3,166,536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3,070,883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2,883,131</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Altamira Technologies,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07/24/2025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6,353,626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6,269,444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6,067,713</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07/24/2025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1,372,813</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 (9)</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07/24/2025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718,750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(32,344)</w:t>
            </w: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American Auto Auction Group, LLC</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01/02/2024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Transportation: Consumer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7,404,083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7,332,038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7,181,961</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12/21/2023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6.87%</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14,812,570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14,598,114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14,220,067</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American Teleconferencing Services, Ltd.</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06/08/2023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7.50%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tcPr>
          <w:p>
            <w:pPr>
              <w:jc w:val="right"/>
              <w:spacing w:after="0"/>
              <w:rPr>
                <w:sz w:val="20"/>
                <w:szCs w:val="20"/>
                <w:color w:val="auto"/>
              </w:rPr>
            </w:pPr>
            <w:r>
              <w:rPr>
                <w:rFonts w:ascii="Arial" w:cs="Arial" w:eastAsia="Arial" w:hAnsi="Arial"/>
                <w:sz w:val="11"/>
                <w:szCs w:val="11"/>
                <w:color w:val="auto"/>
              </w:rPr>
              <w:t>9,655,594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9,547,918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7,917,587</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Apex Service Partners,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07/31/2025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6,811,686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6,751,278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6,624,365</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 xml:space="preserve">Apex Service Partners, LLC </w:t>
            </w:r>
            <w:r>
              <w:rPr>
                <w:rFonts w:ascii="Arial" w:cs="Arial" w:eastAsia="Arial" w:hAnsi="Arial"/>
                <w:sz w:val="9"/>
                <w:szCs w:val="9"/>
                <w:color w:val="auto"/>
              </w:rPr>
              <w:t>(7), (9)</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07/31/2021</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Energy Equipment and Services</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1,383,015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(38,033)</w:t>
            </w: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API Holdings III Corp.</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05/11/2026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4.43%</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5,940,000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5,911,669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5,761,800</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BEI Precision Systems &amp; Space Company, Inc.</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04/28/2023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6.58%</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tcPr>
          <w:p>
            <w:pPr>
              <w:jc w:val="right"/>
              <w:spacing w:after="0"/>
              <w:rPr>
                <w:sz w:val="20"/>
                <w:szCs w:val="20"/>
                <w:color w:val="auto"/>
              </w:rPr>
            </w:pPr>
            <w:r>
              <w:rPr>
                <w:rFonts w:ascii="Arial" w:cs="Arial" w:eastAsia="Arial" w:hAnsi="Arial"/>
                <w:sz w:val="11"/>
                <w:szCs w:val="11"/>
                <w:color w:val="auto"/>
              </w:rPr>
              <w:t>11,640,000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11,547,732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11,465,400</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By Light Professional IT Services,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05/16/2022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29,108,108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28,937,552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28,234,865</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By Light Professional IT Services, LLC (Revolver)</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05/16/2022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3,062,602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3,062,602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2,970,724</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11/14/2023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2,846,212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2,821,125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2,738,910</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Cano Health, LLC</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12/23/2021</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18,290,520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18,163,721</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18,290,520</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Cardenas Markets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11/29/2023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3,805,309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3,808,963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3,767,255</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Centauri Group Holdings, LLC</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02/12/2024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3,257,126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3,252,312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3,191,984</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CHA Holdings, Inc.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04/10/2025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Environmental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5.57%</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7,310,360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7,284,915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7,164,153</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9"/>
                <w:szCs w:val="9"/>
                <w:color w:val="auto"/>
              </w:rPr>
              <w:t>(7), (9)</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08/31/2023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711,447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(60,473)</w:t>
            </w: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Compex Legal Services, Inc.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02/09/2026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7.34%</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7,750,045</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7,596,238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7,393,543</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 xml:space="preserve">Compex Legal Services, Inc. </w:t>
            </w:r>
            <w:r>
              <w:rPr>
                <w:rFonts w:ascii="Arial" w:cs="Arial" w:eastAsia="Arial" w:hAnsi="Arial"/>
                <w:sz w:val="9"/>
                <w:szCs w:val="9"/>
                <w:color w:val="auto"/>
              </w:rPr>
              <w:t>(7), (9)</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02/08/2021</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3,322,470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(119,609)</w:t>
            </w: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Compex Legal Services, Inc. (Revolver) </w:t>
            </w:r>
            <w:r>
              <w:rPr>
                <w:rFonts w:ascii="Arial" w:cs="Arial" w:eastAsia="Arial" w:hAnsi="Arial"/>
                <w:sz w:val="9"/>
                <w:szCs w:val="9"/>
                <w:color w:val="auto"/>
              </w:rPr>
              <w:t>(7)</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02/07/2025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6.82%</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1,405,660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1,405,660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1,341,000</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Confluent Health, LLC</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06/24/2026</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Healthcare Providers and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5.44%</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3,960,000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3,922,114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3,861,000</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Datalot Inc.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01/24/2025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6.27%</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15,296,141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15,003,013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15,071,287</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 xml:space="preserve">Datalot Inc. (Revolver) </w:t>
            </w:r>
            <w:r>
              <w:rPr>
                <w:rFonts w:ascii="Arial" w:cs="Arial" w:eastAsia="Arial" w:hAnsi="Arial"/>
                <w:sz w:val="9"/>
                <w:szCs w:val="9"/>
                <w:color w:val="auto"/>
              </w:rPr>
              <w:t>(7)</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01/24/2025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Insurance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6.25%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L+525</w:t>
            </w:r>
          </w:p>
        </w:tc>
        <w:tc>
          <w:tcPr>
            <w:tcW w:w="660" w:type="dxa"/>
            <w:vAlign w:val="bottom"/>
          </w:tcPr>
          <w:p>
            <w:pPr>
              <w:jc w:val="right"/>
              <w:spacing w:after="0"/>
              <w:rPr>
                <w:sz w:val="20"/>
                <w:szCs w:val="20"/>
                <w:color w:val="auto"/>
              </w:rPr>
            </w:pPr>
            <w:r>
              <w:rPr>
                <w:rFonts w:ascii="Arial" w:cs="Arial" w:eastAsia="Arial" w:hAnsi="Arial"/>
                <w:sz w:val="11"/>
                <w:szCs w:val="11"/>
                <w:color w:val="auto"/>
              </w:rPr>
              <w:t>3,833,619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3,833,619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3,777,265</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Digital Room Holdings, Inc.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05/22/2026</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Media: Advertising, 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6.07%</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9,900,000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9,756,237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9,306,000</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6,629,872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6,564,593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6,497,275</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 (Revolver)</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P+475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4,391,176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4,391,176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4,303,353</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Douglas Sewer Intermediate, LLC</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10/19/2022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3,029,487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3,014,796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2,968,897</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11/03/2025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4,928,723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4,863,062</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DRS Holdings III, Inc. (Revolver)</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11/03/2025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6.75%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361,486</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361,486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353,353</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DRS Holdings III, Inc. (Revolver) </w:t>
            </w:r>
            <w:r>
              <w:rPr>
                <w:rFonts w:ascii="Arial" w:cs="Arial" w:eastAsia="Arial" w:hAnsi="Arial"/>
                <w:sz w:val="9"/>
                <w:szCs w:val="9"/>
                <w:color w:val="auto"/>
              </w:rPr>
              <w:t>(9)</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11/03/2025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Personal Products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542,230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(12,200)</w:t>
            </w: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East Valley Tourist Development Authority</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03/07/2022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9.07%</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tcPr>
          <w:p>
            <w:pPr>
              <w:jc w:val="right"/>
              <w:spacing w:after="0"/>
              <w:rPr>
                <w:sz w:val="20"/>
                <w:szCs w:val="20"/>
                <w:color w:val="auto"/>
              </w:rPr>
            </w:pPr>
            <w:r>
              <w:rPr>
                <w:rFonts w:ascii="Arial" w:cs="Arial" w:eastAsia="Arial" w:hAnsi="Arial"/>
                <w:sz w:val="11"/>
                <w:szCs w:val="11"/>
                <w:color w:val="auto"/>
              </w:rPr>
              <w:t>18,870,295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18,730,064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18,304,186</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ECM Industries,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12/23/2025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5,088,717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5,038,881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5,012,386</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ECM Industries, LLC (Revolver)</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12/23/2025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5.50%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tcPr>
          <w:p>
            <w:pPr>
              <w:jc w:val="right"/>
              <w:spacing w:after="0"/>
              <w:rPr>
                <w:sz w:val="20"/>
                <w:szCs w:val="20"/>
                <w:color w:val="auto"/>
              </w:rPr>
            </w:pPr>
            <w:r>
              <w:rPr>
                <w:rFonts w:ascii="Arial" w:cs="Arial" w:eastAsia="Arial" w:hAnsi="Arial"/>
                <w:sz w:val="11"/>
                <w:szCs w:val="11"/>
                <w:color w:val="auto"/>
              </w:rPr>
              <w:t>914,415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914,415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893,201</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9"/>
                <w:szCs w:val="9"/>
                <w:color w:val="auto"/>
              </w:rPr>
              <w:t>(10)</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10/05/2023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16,255,000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16,255,000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16,011,175</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9"/>
                <w:szCs w:val="9"/>
                <w:color w:val="auto"/>
              </w:rPr>
              <w:t>(7), (10)</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10/05/2023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4,925,000</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Education Networks of America, Inc.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05/06/2021</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8.75%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L+725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9,935,029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9,935,029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9,736,328</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Education Networks of America, Inc. (Revolver)</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05/06/2021</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8.75%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L+725</w:t>
            </w:r>
          </w:p>
        </w:tc>
        <w:tc>
          <w:tcPr>
            <w:tcW w:w="660" w:type="dxa"/>
            <w:vAlign w:val="bottom"/>
          </w:tcPr>
          <w:p>
            <w:pPr>
              <w:jc w:val="right"/>
              <w:spacing w:after="0"/>
              <w:rPr>
                <w:sz w:val="20"/>
                <w:szCs w:val="20"/>
                <w:color w:val="auto"/>
              </w:rPr>
            </w:pPr>
            <w:r>
              <w:rPr>
                <w:rFonts w:ascii="Arial" w:cs="Arial" w:eastAsia="Arial" w:hAnsi="Arial"/>
                <w:sz w:val="11"/>
                <w:szCs w:val="11"/>
                <w:color w:val="auto"/>
              </w:rPr>
              <w:t>2,197,230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2,197,230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2,153,285</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Efficient Collaborative Retail Marketing Company,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06/15/2022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Media: Diversified and Production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7.82%</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7,189,139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7,165,999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6,894,384</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Empire Resorts, Inc.</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03/22/2021</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2.43%</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L+225</w:t>
            </w:r>
          </w:p>
        </w:tc>
        <w:tc>
          <w:tcPr>
            <w:tcW w:w="660" w:type="dxa"/>
            <w:vAlign w:val="bottom"/>
          </w:tcPr>
          <w:p>
            <w:pPr>
              <w:jc w:val="right"/>
              <w:spacing w:after="0"/>
              <w:rPr>
                <w:sz w:val="20"/>
                <w:szCs w:val="20"/>
                <w:color w:val="auto"/>
              </w:rPr>
            </w:pPr>
            <w:r>
              <w:rPr>
                <w:rFonts w:ascii="Arial" w:cs="Arial" w:eastAsia="Arial" w:hAnsi="Arial"/>
                <w:sz w:val="11"/>
                <w:szCs w:val="11"/>
                <w:color w:val="auto"/>
              </w:rPr>
              <w:t>7,500,000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7,467,410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7,425,000</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FlexPrint,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01/02/2024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L+735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4,975,898</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4,913,180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4,637,537</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 xml:space="preserve">FlexPrint, LLC </w:t>
            </w:r>
            <w:r>
              <w:rPr>
                <w:rFonts w:ascii="Arial" w:cs="Arial" w:eastAsia="Arial" w:hAnsi="Arial"/>
                <w:sz w:val="9"/>
                <w:szCs w:val="9"/>
                <w:color w:val="auto"/>
              </w:rPr>
              <w:t>(7), (9)</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12/31/2020</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3,077,342</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(186,179)</w:t>
            </w: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11/14/2022</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7.75%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13,828,354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13,602,059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13,662,414</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GCOM Software LLC (Revolver)</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11/14/2022</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8.75%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P+550</w:t>
            </w:r>
          </w:p>
        </w:tc>
        <w:tc>
          <w:tcPr>
            <w:tcW w:w="660" w:type="dxa"/>
            <w:vAlign w:val="bottom"/>
          </w:tcPr>
          <w:p>
            <w:pPr>
              <w:jc w:val="right"/>
              <w:spacing w:after="0"/>
              <w:rPr>
                <w:sz w:val="20"/>
                <w:szCs w:val="20"/>
                <w:color w:val="auto"/>
              </w:rPr>
            </w:pPr>
            <w:r>
              <w:rPr>
                <w:rFonts w:ascii="Arial" w:cs="Arial" w:eastAsia="Arial" w:hAnsi="Arial"/>
                <w:sz w:val="11"/>
                <w:szCs w:val="11"/>
                <w:color w:val="auto"/>
              </w:rPr>
              <w:t>2,666,667</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2,666,667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2,634,667</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Good2Grow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11/18/2024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5.32%</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6,797,549</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6,745,135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6,722,776</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 xml:space="preserve">Good2Grow LLC (Revolver) </w:t>
            </w:r>
            <w:r>
              <w:rPr>
                <w:rFonts w:ascii="Arial" w:cs="Arial" w:eastAsia="Arial" w:hAnsi="Arial"/>
                <w:sz w:val="9"/>
                <w:szCs w:val="9"/>
                <w:color w:val="auto"/>
              </w:rPr>
              <w:t>(7), (9)</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11/16/2023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Beverages</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3,137,000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(34,507)</w:t>
            </w: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GSM Holdings, Inc.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06/03/2024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5.56%</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19,179,080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19,083,490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18,699,603</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GSM Holdings, Inc. (Revolver)</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06/03/2024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Consumer Goods: Durable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6.97%</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L+425</w:t>
            </w:r>
          </w:p>
        </w:tc>
        <w:tc>
          <w:tcPr>
            <w:tcW w:w="660" w:type="dxa"/>
            <w:vAlign w:val="bottom"/>
          </w:tcPr>
          <w:p>
            <w:pPr>
              <w:jc w:val="right"/>
              <w:spacing w:after="0"/>
              <w:rPr>
                <w:sz w:val="20"/>
                <w:szCs w:val="20"/>
                <w:color w:val="auto"/>
              </w:rPr>
            </w:pPr>
            <w:r>
              <w:rPr>
                <w:rFonts w:ascii="Arial" w:cs="Arial" w:eastAsia="Arial" w:hAnsi="Arial"/>
                <w:sz w:val="11"/>
                <w:szCs w:val="11"/>
                <w:color w:val="auto"/>
              </w:rPr>
              <w:t>7,126,484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7,126,484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6,948,322</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HW Holdco,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12/10/2024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5.50%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7,435,161</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7,374,261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7,212,107</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 (9)</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12/10/2024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1,451,613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(43,548)</w:t>
            </w: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 (9)</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10/28/2024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1,968,504</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Impact Group, LLC</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06/27/2023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8.37%</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L+737</w:t>
            </w:r>
          </w:p>
        </w:tc>
        <w:tc>
          <w:tcPr>
            <w:tcW w:w="660" w:type="dxa"/>
            <w:vAlign w:val="bottom"/>
          </w:tcPr>
          <w:p>
            <w:pPr>
              <w:jc w:val="right"/>
              <w:spacing w:after="0"/>
              <w:rPr>
                <w:sz w:val="20"/>
                <w:szCs w:val="20"/>
                <w:color w:val="auto"/>
              </w:rPr>
            </w:pPr>
            <w:r>
              <w:rPr>
                <w:rFonts w:ascii="Arial" w:cs="Arial" w:eastAsia="Arial" w:hAnsi="Arial"/>
                <w:sz w:val="11"/>
                <w:szCs w:val="11"/>
                <w:color w:val="auto"/>
              </w:rPr>
              <w:t>12,705,184</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8"/>
              </w:rPr>
              <w:t>12,651,655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12,578,132</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9"/>
                <w:szCs w:val="9"/>
                <w:color w:val="auto"/>
              </w:rPr>
              <w:t>(5), (10)</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04/13/2023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3,280,147</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3,250,703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3,043,976</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9"/>
                <w:szCs w:val="9"/>
                <w:color w:val="auto"/>
              </w:rPr>
              <w:t>(5), (7), (10)</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04/13/2023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7.25%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530,973</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530,973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492,743</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09/29/2023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5"/>
              </w:rPr>
              <w:t>Consumer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5.75%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24,189,276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24,020,177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23,221,704</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Integrative Nutrition, LLC (Revolver)</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09/29/2023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5"/>
              </w:rPr>
              <w:t>Consumer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5.75%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L+475</w:t>
            </w: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4,800,000</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Inventus Power, Inc.</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04/30/2021</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Consumer Goods: Durable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3,721,890</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3,712,257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3,535,796</w:t>
            </w:r>
          </w:p>
        </w:tc>
        <w:tc>
          <w:tcPr>
            <w:tcW w:w="100" w:type="dxa"/>
            <w:vAlign w:val="bottom"/>
            <w:shd w:val="clear" w:color="auto" w:fill="CCECFF"/>
          </w:tcPr>
          <w:p>
            <w:pPr>
              <w:spacing w:after="0"/>
              <w:rPr>
                <w:sz w:val="11"/>
                <w:szCs w:val="11"/>
                <w:color w:val="auto"/>
              </w:rPr>
            </w:pP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12/20/2023</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L+700</w:t>
            </w:r>
          </w:p>
        </w:tc>
        <w:tc>
          <w:tcPr>
            <w:tcW w:w="660" w:type="dxa"/>
            <w:vAlign w:val="bottom"/>
          </w:tcPr>
          <w:p>
            <w:pPr>
              <w:jc w:val="right"/>
              <w:spacing w:after="0"/>
              <w:rPr>
                <w:sz w:val="20"/>
                <w:szCs w:val="20"/>
                <w:color w:val="auto"/>
              </w:rPr>
            </w:pPr>
            <w:r>
              <w:rPr>
                <w:rFonts w:ascii="Arial" w:cs="Arial" w:eastAsia="Arial" w:hAnsi="Arial"/>
                <w:sz w:val="11"/>
                <w:szCs w:val="11"/>
                <w:color w:val="auto"/>
              </w:rPr>
              <w:t>1,071,429</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1,071,429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1,047,321</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 (9)</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12/20/2023</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357,143</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(8,036)</w:t>
            </w:r>
          </w:p>
        </w:tc>
      </w:tr>
      <w:tr>
        <w:trPr>
          <w:trHeight w:val="139"/>
        </w:trPr>
        <w:tc>
          <w:tcPr>
            <w:tcW w:w="3180" w:type="dxa"/>
            <w:vAlign w:val="bottom"/>
          </w:tcPr>
          <w:p>
            <w:pPr>
              <w:spacing w:after="0"/>
              <w:rPr>
                <w:sz w:val="20"/>
                <w:szCs w:val="20"/>
                <w:color w:val="auto"/>
              </w:rPr>
            </w:pPr>
            <w:r>
              <w:rPr>
                <w:rFonts w:ascii="Arial" w:cs="Arial" w:eastAsia="Arial" w:hAnsi="Arial"/>
                <w:sz w:val="11"/>
                <w:szCs w:val="11"/>
                <w:color w:val="auto"/>
              </w:rPr>
              <w:t>Kentucky Downs, LLC</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03/07/2025</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10.00%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tcPr>
          <w:p>
            <w:pPr>
              <w:jc w:val="right"/>
              <w:spacing w:after="0"/>
              <w:rPr>
                <w:sz w:val="20"/>
                <w:szCs w:val="20"/>
                <w:color w:val="auto"/>
              </w:rPr>
            </w:pPr>
            <w:r>
              <w:rPr>
                <w:rFonts w:ascii="Arial" w:cs="Arial" w:eastAsia="Arial" w:hAnsi="Arial"/>
                <w:sz w:val="11"/>
                <w:szCs w:val="11"/>
                <w:color w:val="auto"/>
              </w:rPr>
              <w:t>5,485,560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5,393,657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5,375,849</w:t>
            </w:r>
          </w:p>
        </w:tc>
        <w:tc>
          <w:tcPr>
            <w:tcW w:w="100" w:type="dxa"/>
            <w:vAlign w:val="bottom"/>
          </w:tcPr>
          <w:p>
            <w:pPr>
              <w:spacing w:after="0"/>
              <w:rPr>
                <w:sz w:val="12"/>
                <w:szCs w:val="12"/>
                <w:color w:val="auto"/>
              </w:rPr>
            </w:pPr>
          </w:p>
        </w:tc>
      </w:tr>
      <w:tr>
        <w:trPr>
          <w:trHeight w:val="131"/>
        </w:trPr>
        <w:tc>
          <w:tcPr>
            <w:tcW w:w="31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1"/>
                <w:szCs w:val="11"/>
                <w:color w:val="auto"/>
              </w:rPr>
              <w:t>(PIK 3.00%)</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 (9)</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03/07/2025</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448,276</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66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(8,966)</w:t>
            </w:r>
          </w:p>
        </w:tc>
      </w:tr>
      <w:tr>
        <w:trPr>
          <w:trHeight w:val="135"/>
        </w:trPr>
        <w:tc>
          <w:tcPr>
            <w:tcW w:w="3180" w:type="dxa"/>
            <w:vAlign w:val="bottom"/>
          </w:tcPr>
          <w:p>
            <w:pPr>
              <w:spacing w:after="0"/>
              <w:rPr>
                <w:sz w:val="20"/>
                <w:szCs w:val="20"/>
                <w:color w:val="auto"/>
              </w:rPr>
            </w:pPr>
            <w:r>
              <w:rPr>
                <w:rFonts w:ascii="Arial" w:cs="Arial" w:eastAsia="Arial" w:hAnsi="Arial"/>
                <w:sz w:val="11"/>
                <w:szCs w:val="11"/>
                <w:color w:val="auto"/>
              </w:rPr>
              <w:t>LAV Gear Holdings, Inc.</w:t>
            </w:r>
          </w:p>
        </w:tc>
        <w:tc>
          <w:tcPr>
            <w:tcW w:w="1120" w:type="dxa"/>
            <w:vAlign w:val="bottom"/>
          </w:tcPr>
          <w:p>
            <w:pPr>
              <w:jc w:val="center"/>
              <w:ind w:left="386"/>
              <w:spacing w:after="0"/>
              <w:rPr>
                <w:sz w:val="20"/>
                <w:szCs w:val="20"/>
                <w:color w:val="auto"/>
              </w:rPr>
            </w:pPr>
            <w:r>
              <w:rPr>
                <w:rFonts w:ascii="Arial" w:cs="Arial" w:eastAsia="Arial" w:hAnsi="Arial"/>
                <w:sz w:val="11"/>
                <w:szCs w:val="11"/>
                <w:color w:val="auto"/>
                <w:w w:val="87"/>
              </w:rPr>
              <w:t>10/31/2024</w:t>
            </w:r>
          </w:p>
        </w:tc>
        <w:tc>
          <w:tcPr>
            <w:tcW w:w="254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6.50%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8,914,371</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8,868,639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8,501,636</w:t>
            </w:r>
          </w:p>
        </w:tc>
        <w:tc>
          <w:tcPr>
            <w:tcW w:w="100" w:type="dxa"/>
            <w:vAlign w:val="bottom"/>
          </w:tcPr>
          <w:p>
            <w:pPr>
              <w:spacing w:after="0"/>
              <w:rPr>
                <w:sz w:val="11"/>
                <w:szCs w:val="11"/>
                <w:color w:val="auto"/>
              </w:rPr>
            </w:pPr>
          </w:p>
        </w:tc>
      </w:tr>
      <w:tr>
        <w:trPr>
          <w:trHeight w:val="135"/>
        </w:trPr>
        <w:tc>
          <w:tcPr>
            <w:tcW w:w="318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w:t>
            </w:r>
          </w:p>
        </w:tc>
        <w:tc>
          <w:tcPr>
            <w:tcW w:w="1120" w:type="dxa"/>
            <w:vAlign w:val="bottom"/>
            <w:shd w:val="clear" w:color="auto" w:fill="CCECFF"/>
          </w:tcPr>
          <w:p>
            <w:pPr>
              <w:jc w:val="center"/>
              <w:ind w:left="386"/>
              <w:spacing w:after="0"/>
              <w:rPr>
                <w:sz w:val="20"/>
                <w:szCs w:val="20"/>
                <w:color w:val="auto"/>
              </w:rPr>
            </w:pPr>
            <w:r>
              <w:rPr>
                <w:rFonts w:ascii="Arial" w:cs="Arial" w:eastAsia="Arial" w:hAnsi="Arial"/>
                <w:sz w:val="11"/>
                <w:szCs w:val="11"/>
                <w:color w:val="auto"/>
                <w:w w:val="87"/>
              </w:rPr>
              <w:t>10/31/2024</w:t>
            </w:r>
          </w:p>
        </w:tc>
        <w:tc>
          <w:tcPr>
            <w:tcW w:w="254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6.94%</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1,587,302</w:t>
            </w:r>
          </w:p>
        </w:tc>
        <w:tc>
          <w:tcPr>
            <w:tcW w:w="2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1,587,302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1,513,810</w:t>
            </w:r>
          </w:p>
        </w:tc>
        <w:tc>
          <w:tcPr>
            <w:tcW w:w="100" w:type="dxa"/>
            <w:vAlign w:val="bottom"/>
            <w:shd w:val="clear" w:color="auto" w:fill="CCECFF"/>
          </w:tcPr>
          <w:p>
            <w:pPr>
              <w:spacing w:after="0"/>
              <w:rPr>
                <w:sz w:val="11"/>
                <w:szCs w:val="1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86"/>
              </w:rPr>
              <w:t>Basis Point</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Spread</w:t>
            </w: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1"/>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Current</w:t>
            </w:r>
          </w:p>
        </w:tc>
        <w:tc>
          <w:tcPr>
            <w:tcW w:w="140" w:type="dxa"/>
            <w:vAlign w:val="bottom"/>
          </w:tcPr>
          <w:p>
            <w:pPr>
              <w:spacing w:after="0"/>
              <w:rPr>
                <w:sz w:val="10"/>
                <w:szCs w:val="10"/>
                <w:color w:val="auto"/>
              </w:rPr>
            </w:pPr>
          </w:p>
        </w:tc>
        <w:tc>
          <w:tcPr>
            <w:tcW w:w="6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Above</w:t>
            </w:r>
          </w:p>
        </w:tc>
        <w:tc>
          <w:tcPr>
            <w:tcW w:w="220" w:type="dxa"/>
            <w:vAlign w:val="bottom"/>
          </w:tcPr>
          <w:p>
            <w:pPr>
              <w:spacing w:after="0"/>
              <w:rPr>
                <w:sz w:val="10"/>
                <w:szCs w:val="10"/>
                <w:color w:val="auto"/>
              </w:rPr>
            </w:pPr>
          </w:p>
        </w:tc>
        <w:tc>
          <w:tcPr>
            <w:tcW w:w="900" w:type="dxa"/>
            <w:vAlign w:val="bottom"/>
            <w:gridSpan w:val="2"/>
          </w:tcPr>
          <w:p>
            <w:pPr>
              <w:ind w:left="220"/>
              <w:spacing w:after="0" w:line="122" w:lineRule="exact"/>
              <w:rPr>
                <w:sz w:val="20"/>
                <w:szCs w:val="20"/>
                <w:color w:val="auto"/>
              </w:rPr>
            </w:pPr>
            <w:r>
              <w:rPr>
                <w:rFonts w:ascii="Arial" w:cs="Arial" w:eastAsia="Arial" w:hAnsi="Arial"/>
                <w:sz w:val="11"/>
                <w:szCs w:val="11"/>
                <w:b w:val="1"/>
                <w:bCs w:val="1"/>
                <w:color w:val="auto"/>
              </w:rPr>
              <w:t>Par /</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5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Maturity</w:t>
            </w:r>
          </w:p>
        </w:tc>
        <w:tc>
          <w:tcPr>
            <w:tcW w:w="120" w:type="dxa"/>
            <w:vAlign w:val="bottom"/>
            <w:tcBorders>
              <w:bottom w:val="single" w:sz="8" w:color="CCECFF"/>
            </w:tcBorders>
          </w:tcPr>
          <w:p>
            <w:pPr>
              <w:spacing w:after="0"/>
              <w:rPr>
                <w:sz w:val="11"/>
                <w:szCs w:val="11"/>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1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00" w:type="dxa"/>
            <w:vAlign w:val="bottom"/>
            <w:tcBorders>
              <w:bottom w:val="single" w:sz="8" w:color="CCECFF"/>
            </w:tcBorders>
          </w:tcPr>
          <w:p>
            <w:pPr>
              <w:spacing w:after="0"/>
              <w:rPr>
                <w:sz w:val="11"/>
                <w:szCs w:val="11"/>
                <w:color w:val="auto"/>
              </w:rPr>
            </w:pPr>
          </w:p>
        </w:tc>
      </w:tr>
      <w:tr>
        <w:trPr>
          <w:trHeight w:val="128"/>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Lash Opco,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12/12/2024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8.75%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8,833,734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8,578,591</w:t>
            </w:r>
          </w:p>
        </w:tc>
        <w:tc>
          <w:tcPr>
            <w:tcW w:w="340" w:type="dxa"/>
            <w:vAlign w:val="bottom"/>
            <w:gridSpan w:val="2"/>
            <w:shd w:val="clear" w:color="auto" w:fill="CCECFF"/>
          </w:tcPr>
          <w:p>
            <w:pPr>
              <w:jc w:val="right"/>
              <w:ind w:right="6"/>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8,506,885</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9"/>
                <w:szCs w:val="9"/>
                <w:color w:val="auto"/>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12/12/2024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8.73%</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P+450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1,743,147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1,743,147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1,678,651</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Lash Opco, LLC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12/12/2024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Personal Products</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36</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9"/>
                <w:szCs w:val="9"/>
                <w:color w:val="auto"/>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11/30/2021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4,736,107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4,599,788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236,805</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02/03/2026</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Healthcare Technology</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27,076,971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26,560,029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26,372,971</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Lightspeed Buyer Inc.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08/03/2021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Healthcare Technology</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5,252,966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(84,047)</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Lightspeed Buyer Inc. (Revolver)</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02/03/2026</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Healthcare Technology</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2,499,299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2,499,299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2,434,317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Lombart Brothers,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04/13/2023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L+625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13,675,470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13,544,206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12,690,836</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04/13/2023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1,238,938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1,238,938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1,149,734</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Long Island Vision Management,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09/07/2023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5.84%</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L+475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8,991,682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8,938,180</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8,505,232</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LSF9 Atlantis Holdings,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05/01/2023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Retail</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13,331,287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13,255,440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12,131,472</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Manna Pro Products,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12/08/2023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L+600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8,326,250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8,272,195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7,924,092</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Marketplace Events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01/27/2023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0.00%</w:t>
            </w:r>
          </w:p>
        </w:tc>
        <w:tc>
          <w:tcPr>
            <w:tcW w:w="14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(6)</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5,284,919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5,220,978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4,920,260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(11)</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0.00%</w:t>
            </w:r>
          </w:p>
        </w:tc>
        <w:tc>
          <w:tcPr>
            <w:tcW w:w="140" w:type="dxa"/>
            <w:vAlign w:val="bottom"/>
          </w:tcPr>
          <w:p>
            <w:pPr>
              <w:jc w:val="right"/>
              <w:spacing w:after="0"/>
              <w:rPr>
                <w:sz w:val="20"/>
                <w:szCs w:val="20"/>
                <w:color w:val="auto"/>
              </w:rPr>
            </w:pPr>
            <w:r>
              <w:rPr>
                <w:rFonts w:ascii="Arial" w:cs="Arial" w:eastAsia="Arial" w:hAnsi="Arial"/>
                <w:sz w:val="9"/>
                <w:szCs w:val="9"/>
                <w:color w:val="auto"/>
                <w:w w:val="90"/>
              </w:rPr>
              <w:t>(6)</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1120" w:type="dxa"/>
            <w:vAlign w:val="bottom"/>
            <w:gridSpan w:val="3"/>
          </w:tcPr>
          <w:p>
            <w:pPr>
              <w:ind w:left="140"/>
              <w:spacing w:after="0"/>
              <w:rPr>
                <w:sz w:val="20"/>
                <w:szCs w:val="20"/>
                <w:color w:val="auto"/>
              </w:rPr>
            </w:pPr>
            <w:r>
              <w:rPr>
                <w:rFonts w:ascii="Arial" w:cs="Arial" w:eastAsia="Arial" w:hAnsi="Arial"/>
                <w:sz w:val="11"/>
                <w:szCs w:val="11"/>
                <w:color w:val="auto"/>
              </w:rPr>
              <w:t>C $  16,213,270</w:t>
            </w: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11,375,979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11,082,640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Marketplace Events LLC (Revolver)</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01/27/2023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0.00%</w:t>
            </w:r>
          </w:p>
        </w:tc>
        <w:tc>
          <w:tcPr>
            <w:tcW w:w="14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(6)</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1,703,163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1,703,163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1,585,645</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MeritDirect,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05/23/2024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29,966,744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29,595,426</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28,618,241</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4,481,655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(201,674)</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Mission Critical Electronics,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L+500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613,737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608,733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596,000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09/28/2021</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618,375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618,375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600,503</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09/28/2021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706,714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(20,424)</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05/14/2024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1,428,452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1,414,168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1,414,168</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Olde Thompson, LLC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05/14/2023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2,642,857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(26,428)</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Output Services Group,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03/27/2024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4,473,740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3,917,442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4,071,104</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Ox Two,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L+625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12,589,875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12,531,638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12,287,718</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02/27/2023</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552,888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552,888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539,619</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2,667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(64)</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Peninsula Pacific Entertainment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11/13/2024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Hotel, Gaming and Leisure</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8.32%</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10,250,120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10,216,812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9,327,610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10/19/2022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Chemicals, Plastics and Rubber</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652,300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647,319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639,254</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05/08/2026</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Leisure Products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5.81%</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5,462,680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5,413,430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5,189,547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PRA Events,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08/08/2022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11.25%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P+800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2,558,746</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2,523,508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2,407,780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Questex,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09/09/2024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6.00%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7,368,750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7,258,240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7,000,313</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Questex, LLC (Revolver)</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09/09/2024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598,404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598,404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568,484</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09/09/2024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598,404</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(29,920)</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Research Horizons,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06/28/2022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Media: Advertising, Printing and Publishing</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7.25%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L+625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6,986,402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6,932,598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6,637,082</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Research Now Group, Inc. and Survey Sampling</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23,326,687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22,690,921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21,373,077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International LLC</w:t>
            </w:r>
          </w:p>
        </w:tc>
        <w:tc>
          <w:tcPr>
            <w:tcW w:w="120" w:type="dxa"/>
            <w:vAlign w:val="bottom"/>
            <w:shd w:val="clear" w:color="auto" w:fill="CCECFF"/>
          </w:tcPr>
          <w:p>
            <w:pPr>
              <w:spacing w:after="0"/>
              <w:rPr>
                <w:sz w:val="11"/>
                <w:szCs w:val="11"/>
                <w:color w:val="auto"/>
              </w:rPr>
            </w:pPr>
          </w:p>
        </w:tc>
        <w:tc>
          <w:tcPr>
            <w:tcW w:w="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Riverpoint Medical,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06/20/2025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5.75%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L+475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4,950,000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4,906,171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4,745,070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06/20/2025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Healthcare Equipment and Supplies</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909,091</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(37,636)</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Riverside Assessments,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03/10/2025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15,710,625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15,413,973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14,846,541</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Sales Benchmark Index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5"/>
              </w:rPr>
              <w:t>01/3/2025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7.75%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13,969,055</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13,711,658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13,591,891</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Sales Benchmark Index LLC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07/07/2021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3,231,707</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(87,256)</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Sales Benchmark Index LLC (Revolver)</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5"/>
              </w:rPr>
              <w:t>01/3/2025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7.75%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861,789</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861,789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838,520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Sales Benchmark Index LLC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85"/>
              </w:rPr>
              <w:t>01/3/2025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430,894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(11,634)</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Salient CRGT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02/28/2022</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7.57%</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1,721,512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1,707,950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1,540,753</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Sargent &amp; Greenleaf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7.00%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L+550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4,724,515</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4,659,658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4,625,300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Sargent &amp; Greenleaf Inc. (Revolver)</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528,183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528,183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517,091</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Sargent &amp; Greenleaf Inc.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Electronic Equipment, Instruments, and Components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528,183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(11,092)</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7.00%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13,492,470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13,360,380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12,696,414</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Schlesinger Global, Inc. (Revolver)</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7.43%</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L+600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774,839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774,839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729,124</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1,095,462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(64,632)</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Signature Systems Holding Company</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Commercial Services &amp; Supplies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7.50%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L+650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12,512,500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12,357,821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11,911,900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Signature Systems Holding Company (Revolver)</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05/03/2024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Commercial Services &amp; Supplies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7.50%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559,140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559,140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532,301</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Commercial Services &amp; Supplies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1,188,172</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(57,032)</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Smile Brands Inc.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5.22%</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3,412,432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3,412,432</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3,310,059</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1,076,088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(32,283)</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1,616,250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(99,027)</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07/19/2021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233,333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233,333</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224,000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 (9)</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07/19/2021</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60" w:type="dxa"/>
            <w:vAlign w:val="bottom"/>
            <w:gridSpan w:val="2"/>
            <w:shd w:val="clear" w:color="auto" w:fill="CCECFF"/>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261,803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(10,472)</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Solutionreach,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Healthcare Technology</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6.75%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L+575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6,350,390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6,254,782</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6,182,741</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Solutionreach, Inc. (Revolver)</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Healthcare Technology</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1,248,750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1,215,783</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Solutionreach, Inc. (Revolver)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Healthcare Technology</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416,250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(10,989)</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Spear Education,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02/26/2025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15,087,188</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14,945,169</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14,785,444</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Spear Education, LLC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02/26/2022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6,875,000</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(137,500)</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Spectacle Gary Holdings,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11.00%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L+900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8,427,027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8,188,885</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8,089,946</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Spectacle Gary Holdings, LLC </w:t>
            </w:r>
            <w:r>
              <w:rPr>
                <w:rFonts w:ascii="Arial" w:cs="Arial" w:eastAsia="Arial" w:hAnsi="Arial"/>
                <w:sz w:val="9"/>
                <w:szCs w:val="9"/>
                <w:color w:val="auto"/>
              </w:rPr>
              <w:t>(7), (9)</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12/23/2025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972,973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1"/>
                <w:szCs w:val="11"/>
                <w:color w:val="auto"/>
              </w:rPr>
              <w:t>(38,919)</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STV Group Incorporated</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12/11/2026</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Construction &amp; Engineering</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5.43%</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13,203,297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13,075,940</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12,939,231</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TeleGuam Holdings, LLC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11/20/2025</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L+450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6,600,733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6,533,535</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6,336,703</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07/18/2025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Diversified Financial Services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6.25%</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9,572,598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9,379,125</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Tensar Corporation</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07/09/2021</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5.75%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L+475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22,439,744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w w:val="94"/>
              </w:rPr>
              <w:t>22,380,117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21,317,757</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09/16/2024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6.33%</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18,315,243</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4"/>
              </w:rPr>
              <w:t>18,184,714</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17,820,732</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The Original Cakerie, Co. </w:t>
            </w:r>
            <w:r>
              <w:rPr>
                <w:rFonts w:ascii="Arial" w:cs="Arial" w:eastAsia="Arial" w:hAnsi="Arial"/>
                <w:sz w:val="9"/>
                <w:szCs w:val="9"/>
                <w:color w:val="auto"/>
              </w:rPr>
              <w:t>(5), (10)</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6.00%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2M L+500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7,566,918</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7,509,541</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7,377,745</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The Original Cakerie Ltd. </w:t>
            </w:r>
            <w:r>
              <w:rPr>
                <w:rFonts w:ascii="Arial" w:cs="Arial" w:eastAsia="Arial" w:hAnsi="Arial"/>
                <w:sz w:val="9"/>
                <w:szCs w:val="9"/>
                <w:color w:val="auto"/>
              </w:rPr>
              <w:t>(5), (10)</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07/20/2022</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5.50%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5,389,937</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5,363,048</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5,255,188</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9"/>
                <w:szCs w:val="9"/>
                <w:color w:val="auto"/>
              </w:rPr>
              <w:t>(5), (10)</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5.50%</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3M L+450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1,418,484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1,418,484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1,383,022</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Canada Parent, Inc. and TPC US Parent, LLC </w:t>
            </w:r>
            <w:r>
              <w:rPr>
                <w:rFonts w:ascii="Arial" w:cs="Arial" w:eastAsia="Arial" w:hAnsi="Arial"/>
                <w:sz w:val="9"/>
                <w:szCs w:val="9"/>
                <w:color w:val="auto"/>
              </w:rPr>
              <w:t>(5), (10)</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11/24/2025</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Food Products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6.68%</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4,929,063</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4,825,750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Triad Manufacturing, Inc.</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12/28/2020</w:t>
            </w:r>
          </w:p>
        </w:tc>
        <w:tc>
          <w:tcPr>
            <w:tcW w:w="120" w:type="dxa"/>
            <w:vAlign w:val="bottom"/>
          </w:tcPr>
          <w:p>
            <w:pPr>
              <w:spacing w:after="0"/>
              <w:rPr>
                <w:sz w:val="11"/>
                <w:szCs w:val="11"/>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11.25%</w:t>
            </w:r>
          </w:p>
        </w:tc>
        <w:tc>
          <w:tcPr>
            <w:tcW w:w="1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L+1,075</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4,142,484</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4,132,007</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4,142,484</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7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90"/>
              </w:rPr>
              <w:t>01/18/2024</w:t>
            </w:r>
          </w:p>
        </w:tc>
        <w:tc>
          <w:tcPr>
            <w:tcW w:w="120" w:type="dxa"/>
            <w:vAlign w:val="bottom"/>
            <w:shd w:val="clear" w:color="auto" w:fill="CCECFF"/>
          </w:tcPr>
          <w:p>
            <w:pPr>
              <w:spacing w:after="0"/>
              <w:rPr>
                <w:sz w:val="11"/>
                <w:szCs w:val="11"/>
                <w:color w:val="auto"/>
              </w:rPr>
            </w:pPr>
          </w:p>
        </w:tc>
        <w:tc>
          <w:tcPr>
            <w:tcW w:w="246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6.50%</w:t>
            </w:r>
          </w:p>
        </w:tc>
        <w:tc>
          <w:tcPr>
            <w:tcW w:w="1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8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5,884,002</w:t>
            </w:r>
          </w:p>
        </w:tc>
        <w:tc>
          <w:tcPr>
            <w:tcW w:w="2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5,795,531</w:t>
            </w:r>
          </w:p>
        </w:tc>
        <w:tc>
          <w:tcPr>
            <w:tcW w:w="2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5,742,785</w:t>
            </w:r>
          </w:p>
        </w:tc>
        <w:tc>
          <w:tcPr>
            <w:tcW w:w="100" w:type="dxa"/>
            <w:vAlign w:val="bottom"/>
            <w:shd w:val="clear" w:color="auto" w:fill="CCECFF"/>
          </w:tcPr>
          <w:p>
            <w:pPr>
              <w:spacing w:after="0"/>
              <w:rPr>
                <w:sz w:val="11"/>
                <w:szCs w:val="11"/>
                <w:color w:val="auto"/>
              </w:rPr>
            </w:pPr>
          </w:p>
        </w:tc>
      </w:tr>
      <w:tr>
        <w:trPr>
          <w:trHeight w:val="140"/>
        </w:trPr>
        <w:tc>
          <w:tcPr>
            <w:tcW w:w="3540" w:type="dxa"/>
            <w:vAlign w:val="bottom"/>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740" w:type="dxa"/>
            <w:vAlign w:val="bottom"/>
            <w:gridSpan w:val="2"/>
          </w:tcPr>
          <w:p>
            <w:pPr>
              <w:jc w:val="center"/>
              <w:ind w:left="66"/>
              <w:spacing w:after="0"/>
              <w:rPr>
                <w:sz w:val="20"/>
                <w:szCs w:val="20"/>
                <w:color w:val="auto"/>
              </w:rPr>
            </w:pPr>
            <w:r>
              <w:rPr>
                <w:rFonts w:ascii="Arial" w:cs="Arial" w:eastAsia="Arial" w:hAnsi="Arial"/>
                <w:sz w:val="11"/>
                <w:szCs w:val="11"/>
                <w:color w:val="auto"/>
                <w:w w:val="90"/>
              </w:rPr>
              <w:t>01/18/2024</w:t>
            </w:r>
          </w:p>
        </w:tc>
        <w:tc>
          <w:tcPr>
            <w:tcW w:w="120" w:type="dxa"/>
            <w:vAlign w:val="bottom"/>
          </w:tcPr>
          <w:p>
            <w:pPr>
              <w:spacing w:after="0"/>
              <w:rPr>
                <w:sz w:val="12"/>
                <w:szCs w:val="12"/>
                <w:color w:val="auto"/>
              </w:rPr>
            </w:pPr>
          </w:p>
        </w:tc>
        <w:tc>
          <w:tcPr>
            <w:tcW w:w="246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6.50%</w:t>
            </w: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1M L+550</w:t>
            </w: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1,303,813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1,303,813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1,272,521</w:t>
            </w:r>
          </w:p>
        </w:tc>
        <w:tc>
          <w:tcPr>
            <w:tcW w:w="100" w:type="dxa"/>
            <w:vAlign w:val="bottom"/>
          </w:tcPr>
          <w:p>
            <w:pPr>
              <w:spacing w:after="0"/>
              <w:rPr>
                <w:sz w:val="12"/>
                <w:szCs w:val="12"/>
                <w:color w:val="auto"/>
              </w:rPr>
            </w:pP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366"/>
              <w:spacing w:after="0" w:line="122" w:lineRule="exact"/>
              <w:rPr>
                <w:sz w:val="20"/>
                <w:szCs w:val="20"/>
                <w:color w:val="auto"/>
              </w:rPr>
            </w:pPr>
            <w:r>
              <w:rPr>
                <w:rFonts w:ascii="Arial" w:cs="Arial" w:eastAsia="Arial" w:hAnsi="Arial"/>
                <w:sz w:val="11"/>
                <w:szCs w:val="11"/>
                <w:b w:val="1"/>
                <w:bCs w:val="1"/>
                <w:color w:val="auto"/>
              </w:rPr>
              <w:t>Current</w:t>
            </w:r>
          </w:p>
        </w:tc>
        <w:tc>
          <w:tcPr>
            <w:tcW w:w="8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35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240" w:type="dxa"/>
            <w:vAlign w:val="bottom"/>
          </w:tcPr>
          <w:p>
            <w:pPr>
              <w:spacing w:after="0"/>
              <w:rPr>
                <w:sz w:val="11"/>
                <w:szCs w:val="11"/>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Industry</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8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00" w:type="dxa"/>
            <w:vAlign w:val="bottom"/>
          </w:tcPr>
          <w:p>
            <w:pPr>
              <w:spacing w:after="0"/>
              <w:rPr>
                <w:sz w:val="11"/>
                <w:szCs w:val="11"/>
                <w:color w:val="auto"/>
              </w:rPr>
            </w:pPr>
          </w:p>
        </w:tc>
      </w:tr>
      <w:tr>
        <w:trPr>
          <w:trHeight w:val="128"/>
        </w:trPr>
        <w:tc>
          <w:tcPr>
            <w:tcW w:w="354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660" w:type="dxa"/>
            <w:vAlign w:val="bottom"/>
          </w:tcPr>
          <w:p>
            <w:pPr>
              <w:jc w:val="right"/>
              <w:spacing w:after="0"/>
              <w:rPr>
                <w:sz w:val="20"/>
                <w:szCs w:val="20"/>
                <w:color w:val="auto"/>
              </w:rPr>
            </w:pPr>
            <w:r>
              <w:rPr>
                <w:rFonts w:ascii="Arial" w:cs="Arial" w:eastAsia="Arial" w:hAnsi="Arial"/>
                <w:sz w:val="11"/>
                <w:szCs w:val="11"/>
                <w:color w:val="auto"/>
              </w:rPr>
              <w:t>7.25</w:t>
            </w:r>
          </w:p>
        </w:tc>
        <w:tc>
          <w:tcPr>
            <w:tcW w:w="280" w:type="dxa"/>
            <w:vAlign w:val="bottom"/>
          </w:tcPr>
          <w:p>
            <w:pPr>
              <w:jc w:val="right"/>
              <w:ind w:right="126"/>
              <w:spacing w:after="0" w:line="120" w:lineRule="exact"/>
              <w:rPr>
                <w:sz w:val="20"/>
                <w:szCs w:val="20"/>
                <w:color w:val="auto"/>
              </w:rPr>
            </w:pPr>
            <w:r>
              <w:rPr>
                <w:rFonts w:ascii="Arial" w:cs="Arial" w:eastAsia="Arial" w:hAnsi="Arial"/>
                <w:sz w:val="11"/>
                <w:szCs w:val="11"/>
                <w:color w:val="auto"/>
                <w:w w:val="81"/>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6,910,465</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6,760,113</w:t>
            </w:r>
          </w:p>
        </w:tc>
        <w:tc>
          <w:tcPr>
            <w:tcW w:w="24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6,703,151</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TWS Acquisition Corporation (Revolver)</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06/16/2025</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7.25%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1,819,285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1,819,285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1,764,707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 (9)</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808,571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(24,257)</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Tyto Athene, LLC</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08/27/2024</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6.75%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17,536,664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17,329,713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17,040,377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 (9)</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08/27/2024</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6,818,182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(192,954)</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04/03/2024</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6.09%</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13,967,402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13,884,907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13,548,380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UBEO, LLC (Revolver)</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04/03/2024</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5.50%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2,933,333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2,933,333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2,805,939</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Urology Management Associates, LLC</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08/30/2024</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Providers and Services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6.00%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4,897,111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4,716,300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US Med Acquisition, Inc.</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08/13/2021</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10.00%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L+900</w:t>
            </w:r>
          </w:p>
        </w:tc>
        <w:tc>
          <w:tcPr>
            <w:tcW w:w="660" w:type="dxa"/>
            <w:vAlign w:val="bottom"/>
          </w:tcPr>
          <w:p>
            <w:pPr>
              <w:jc w:val="right"/>
              <w:spacing w:after="0"/>
              <w:rPr>
                <w:sz w:val="20"/>
                <w:szCs w:val="20"/>
                <w:color w:val="auto"/>
              </w:rPr>
            </w:pPr>
            <w:r>
              <w:rPr>
                <w:rFonts w:ascii="Arial" w:cs="Arial" w:eastAsia="Arial" w:hAnsi="Arial"/>
                <w:sz w:val="11"/>
                <w:szCs w:val="11"/>
                <w:color w:val="auto"/>
              </w:rPr>
              <w:t>2,972,656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2,972,656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2,928,066</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06/10/2025</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7.33%</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14,394,527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14,129,544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13,818,746</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Whitney, Bradley &amp; Brown, Inc.</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10/18/2022</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8.50%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4,211,733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4,159,982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4,169,615</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Wildcat Buyerco, Inc.</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02/27/2026</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6.50%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8,874,816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8,701,432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8,786,068</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Wildcat Buyerco, Inc. </w:t>
            </w:r>
            <w:r>
              <w:rPr>
                <w:rFonts w:ascii="Arial" w:cs="Arial" w:eastAsia="Arial" w:hAnsi="Arial"/>
                <w:sz w:val="9"/>
                <w:szCs w:val="9"/>
                <w:color w:val="auto"/>
              </w:rPr>
              <w:t>(7), (9)</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02/27/2022</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2,491,176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3,114</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02/27/2026</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6.89%</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170,824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170,824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167,715</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Wildcat Buyerco, Inc. (Revolver) </w:t>
            </w:r>
            <w:r>
              <w:rPr>
                <w:rFonts w:ascii="Arial" w:cs="Arial" w:eastAsia="Arial" w:hAnsi="Arial"/>
                <w:sz w:val="9"/>
                <w:szCs w:val="9"/>
                <w:color w:val="auto"/>
              </w:rPr>
              <w:t>(7), (9)</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02/27/2026</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363,000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(6,607)</w:t>
            </w:r>
          </w:p>
        </w:tc>
      </w:tr>
      <w:tr>
        <w:trPr>
          <w:trHeight w:val="128"/>
        </w:trPr>
        <w:tc>
          <w:tcPr>
            <w:tcW w:w="35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tcBorders>
              <w:top w:val="single" w:sz="8" w:color="CCECFF"/>
            </w:tcBorders>
            <w:shd w:val="clear" w:color="auto" w:fill="CCECFF"/>
          </w:tcPr>
          <w:p>
            <w:pPr>
              <w:spacing w:after="0"/>
              <w:rPr>
                <w:sz w:val="11"/>
                <w:szCs w:val="11"/>
                <w:color w:val="auto"/>
              </w:rPr>
            </w:pPr>
          </w:p>
        </w:tc>
        <w:tc>
          <w:tcPr>
            <w:tcW w:w="50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3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895,586,127</w:t>
            </w: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865,257,852</w:t>
            </w:r>
          </w:p>
        </w:tc>
        <w:tc>
          <w:tcPr>
            <w:tcW w:w="100" w:type="dxa"/>
            <w:vAlign w:val="bottom"/>
            <w:tcBorders>
              <w:top w:val="single" w:sz="8" w:color="CCECFF"/>
            </w:tcBorders>
            <w:shd w:val="clear" w:color="auto" w:fill="CCECFF"/>
          </w:tcPr>
          <w:p>
            <w:pPr>
              <w:spacing w:after="0"/>
              <w:rPr>
                <w:sz w:val="11"/>
                <w:szCs w:val="11"/>
                <w:color w:val="auto"/>
              </w:rPr>
            </w:pPr>
          </w:p>
        </w:tc>
      </w:tr>
      <w:tr>
        <w:trPr>
          <w:trHeight w:val="128"/>
        </w:trPr>
        <w:tc>
          <w:tcPr>
            <w:tcW w:w="3540" w:type="dxa"/>
            <w:vAlign w:val="bottom"/>
          </w:tcPr>
          <w:p>
            <w:pPr>
              <w:spacing w:after="0"/>
              <w:rPr>
                <w:sz w:val="20"/>
                <w:szCs w:val="20"/>
                <w:color w:val="auto"/>
              </w:rPr>
            </w:pPr>
            <w:r>
              <w:rPr>
                <w:rFonts w:ascii="Arial" w:cs="Arial" w:eastAsia="Arial" w:hAnsi="Arial"/>
                <w:sz w:val="11"/>
                <w:szCs w:val="11"/>
                <w:b w:val="1"/>
                <w:bCs w:val="1"/>
                <w:color w:val="auto"/>
              </w:rPr>
              <w:t>Second Lien Secured Debt—5.7%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Condor Borrower, LLC </w:t>
            </w:r>
            <w:r>
              <w:rPr>
                <w:rFonts w:ascii="Arial" w:cs="Arial" w:eastAsia="Arial" w:hAnsi="Arial"/>
                <w:sz w:val="9"/>
                <w:szCs w:val="9"/>
                <w:color w:val="auto"/>
              </w:rPr>
              <w:t>(7)</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04/25/2025</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9.75%</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1,655,172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1,630,892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1,608,827</w:t>
            </w:r>
          </w:p>
        </w:tc>
        <w:tc>
          <w:tcPr>
            <w:tcW w:w="100" w:type="dxa"/>
            <w:vAlign w:val="bottom"/>
            <w:shd w:val="clear" w:color="auto" w:fill="CCECFF"/>
          </w:tcPr>
          <w:p>
            <w:pPr>
              <w:spacing w:after="0"/>
              <w:rPr>
                <w:sz w:val="11"/>
                <w:szCs w:val="11"/>
                <w:color w:val="auto"/>
              </w:rPr>
            </w:pPr>
          </w:p>
        </w:tc>
      </w:tr>
      <w:tr>
        <w:trPr>
          <w:trHeight w:val="139"/>
        </w:trPr>
        <w:tc>
          <w:tcPr>
            <w:tcW w:w="3540" w:type="dxa"/>
            <w:vAlign w:val="bottom"/>
          </w:tcPr>
          <w:p>
            <w:pPr>
              <w:spacing w:after="0"/>
              <w:rPr>
                <w:sz w:val="20"/>
                <w:szCs w:val="20"/>
                <w:color w:val="auto"/>
              </w:rPr>
            </w:pPr>
            <w:r>
              <w:rPr>
                <w:rFonts w:ascii="Arial" w:cs="Arial" w:eastAsia="Arial" w:hAnsi="Arial"/>
                <w:sz w:val="11"/>
                <w:szCs w:val="11"/>
                <w:color w:val="auto"/>
              </w:rPr>
              <w:t>DBI Holdings, LLC, Term Loan B</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02/02/2026</w:t>
            </w:r>
          </w:p>
        </w:tc>
        <w:tc>
          <w:tcPr>
            <w:tcW w:w="240" w:type="dxa"/>
            <w:vAlign w:val="bottom"/>
          </w:tcPr>
          <w:p>
            <w:pPr>
              <w:spacing w:after="0"/>
              <w:rPr>
                <w:sz w:val="12"/>
                <w:szCs w:val="12"/>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9.00%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11,157,124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11,157,124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11,157,124</w:t>
            </w:r>
          </w:p>
        </w:tc>
        <w:tc>
          <w:tcPr>
            <w:tcW w:w="100" w:type="dxa"/>
            <w:vAlign w:val="bottom"/>
          </w:tcPr>
          <w:p>
            <w:pPr>
              <w:spacing w:after="0"/>
              <w:rPr>
                <w:sz w:val="12"/>
                <w:szCs w:val="12"/>
                <w:color w:val="auto"/>
              </w:rPr>
            </w:pPr>
          </w:p>
        </w:tc>
      </w:tr>
      <w:tr>
        <w:trPr>
          <w:trHeight w:val="131"/>
        </w:trPr>
        <w:tc>
          <w:tcPr>
            <w:tcW w:w="3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06"/>
              <w:spacing w:after="0"/>
              <w:rPr>
                <w:sz w:val="20"/>
                <w:szCs w:val="20"/>
                <w:color w:val="auto"/>
              </w:rPr>
            </w:pPr>
            <w:r>
              <w:rPr>
                <w:rFonts w:ascii="Arial" w:cs="Arial" w:eastAsia="Arial" w:hAnsi="Arial"/>
                <w:sz w:val="11"/>
                <w:szCs w:val="11"/>
                <w:color w:val="auto"/>
              </w:rPr>
              <w:t>(PIK 9.00%)</w:t>
            </w: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DBI Holdings, LLC, Term Loan C </w:t>
            </w:r>
            <w:r>
              <w:rPr>
                <w:rFonts w:ascii="Arial" w:cs="Arial" w:eastAsia="Arial" w:hAnsi="Arial"/>
                <w:sz w:val="9"/>
                <w:szCs w:val="9"/>
                <w:color w:val="auto"/>
              </w:rPr>
              <w:t>(7)</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03/26/2021</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9.00%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22,312</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06"/>
              <w:spacing w:after="0"/>
              <w:rPr>
                <w:sz w:val="20"/>
                <w:szCs w:val="20"/>
                <w:color w:val="auto"/>
              </w:rPr>
            </w:pPr>
            <w:r>
              <w:rPr>
                <w:rFonts w:ascii="Arial" w:cs="Arial" w:eastAsia="Arial" w:hAnsi="Arial"/>
                <w:sz w:val="11"/>
                <w:szCs w:val="11"/>
                <w:color w:val="auto"/>
              </w:rPr>
              <w:t>(PIK 9.00%)</w:t>
            </w: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DecoPac, Inc.</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03/31/2025</w:t>
            </w: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9.25%</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tcPr>
          <w:p>
            <w:pPr>
              <w:jc w:val="right"/>
              <w:spacing w:after="0"/>
              <w:rPr>
                <w:sz w:val="20"/>
                <w:szCs w:val="20"/>
                <w:color w:val="auto"/>
              </w:rPr>
            </w:pPr>
            <w:r>
              <w:rPr>
                <w:rFonts w:ascii="Arial" w:cs="Arial" w:eastAsia="Arial" w:hAnsi="Arial"/>
                <w:sz w:val="11"/>
                <w:szCs w:val="11"/>
                <w:color w:val="auto"/>
              </w:rPr>
              <w:t>9,738,580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9,650,783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9,738,580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MailSouth, Inc.</w:t>
            </w:r>
          </w:p>
        </w:tc>
        <w:tc>
          <w:tcPr>
            <w:tcW w:w="62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10/23/2024</w:t>
            </w: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Media: Advertising, Printing and Publishing</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xml:space="preserve">0.00% </w:t>
            </w:r>
            <w:r>
              <w:rPr>
                <w:rFonts w:ascii="Arial" w:cs="Arial" w:eastAsia="Arial" w:hAnsi="Arial"/>
                <w:sz w:val="9"/>
                <w:szCs w:val="9"/>
                <w:color w:val="auto"/>
              </w:rPr>
              <w:t>(6)</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2,871,025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2,827,178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2,440,371</w:t>
            </w:r>
          </w:p>
        </w:tc>
        <w:tc>
          <w:tcPr>
            <w:tcW w:w="100" w:type="dxa"/>
            <w:vAlign w:val="bottom"/>
            <w:shd w:val="clear" w:color="auto" w:fill="CCECFF"/>
          </w:tcPr>
          <w:p>
            <w:pPr>
              <w:spacing w:after="0"/>
              <w:rPr>
                <w:sz w:val="11"/>
                <w:szCs w:val="11"/>
                <w:color w:val="auto"/>
              </w:rPr>
            </w:pPr>
          </w:p>
        </w:tc>
      </w:tr>
      <w:tr>
        <w:trPr>
          <w:trHeight w:val="139"/>
        </w:trPr>
        <w:tc>
          <w:tcPr>
            <w:tcW w:w="3540" w:type="dxa"/>
            <w:vAlign w:val="bottom"/>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w:t>
            </w:r>
          </w:p>
        </w:tc>
        <w:tc>
          <w:tcPr>
            <w:tcW w:w="62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11/30/2024</w:t>
            </w:r>
          </w:p>
        </w:tc>
        <w:tc>
          <w:tcPr>
            <w:tcW w:w="240" w:type="dxa"/>
            <w:vAlign w:val="bottom"/>
          </w:tcPr>
          <w:p>
            <w:pPr>
              <w:spacing w:after="0"/>
              <w:rPr>
                <w:sz w:val="12"/>
                <w:szCs w:val="12"/>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11.22%</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Pr>
          <w:p>
            <w:pPr>
              <w:jc w:val="right"/>
              <w:spacing w:after="0"/>
              <w:rPr>
                <w:sz w:val="20"/>
                <w:szCs w:val="20"/>
                <w:color w:val="auto"/>
              </w:rPr>
            </w:pPr>
            <w:r>
              <w:rPr>
                <w:rFonts w:ascii="Arial" w:cs="Arial" w:eastAsia="Arial" w:hAnsi="Arial"/>
                <w:sz w:val="11"/>
                <w:szCs w:val="11"/>
                <w:color w:val="auto"/>
              </w:rPr>
              <w:t>2,041,282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2,025,303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2,041,282</w:t>
            </w:r>
          </w:p>
        </w:tc>
        <w:tc>
          <w:tcPr>
            <w:tcW w:w="100" w:type="dxa"/>
            <w:vAlign w:val="bottom"/>
          </w:tcPr>
          <w:p>
            <w:pPr>
              <w:spacing w:after="0"/>
              <w:rPr>
                <w:sz w:val="12"/>
                <w:szCs w:val="12"/>
                <w:color w:val="auto"/>
              </w:rPr>
            </w:pPr>
          </w:p>
        </w:tc>
      </w:tr>
      <w:tr>
        <w:trPr>
          <w:trHeight w:val="131"/>
        </w:trPr>
        <w:tc>
          <w:tcPr>
            <w:tcW w:w="35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0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06"/>
              <w:spacing w:after="0"/>
              <w:rPr>
                <w:sz w:val="20"/>
                <w:szCs w:val="20"/>
                <w:color w:val="auto"/>
              </w:rPr>
            </w:pPr>
            <w:r>
              <w:rPr>
                <w:rFonts w:ascii="Arial" w:cs="Arial" w:eastAsia="Arial" w:hAnsi="Arial"/>
                <w:sz w:val="11"/>
                <w:szCs w:val="11"/>
                <w:color w:val="auto"/>
              </w:rPr>
              <w:t>(PIK 11.22%)</w:t>
            </w:r>
          </w:p>
        </w:tc>
        <w:tc>
          <w:tcPr>
            <w:tcW w:w="6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r>
      <w:tr>
        <w:trPr>
          <w:trHeight w:val="128"/>
        </w:trPr>
        <w:tc>
          <w:tcPr>
            <w:tcW w:w="354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5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27,313,592</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27,008,496</w:t>
            </w:r>
          </w:p>
        </w:tc>
        <w:tc>
          <w:tcPr>
            <w:tcW w:w="100" w:type="dxa"/>
            <w:vAlign w:val="bottom"/>
            <w:shd w:val="clear" w:color="auto" w:fill="CCECFF"/>
          </w:tcPr>
          <w:p>
            <w:pPr>
              <w:spacing w:after="0"/>
              <w:rPr>
                <w:sz w:val="11"/>
                <w:szCs w:val="11"/>
                <w:color w:val="auto"/>
              </w:rPr>
            </w:pPr>
          </w:p>
        </w:tc>
      </w:tr>
      <w:tr>
        <w:trPr>
          <w:trHeight w:val="129"/>
        </w:trPr>
        <w:tc>
          <w:tcPr>
            <w:tcW w:w="354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 1.3%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21,870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(5), (7), (10)</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10,173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10,173</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(5), (7), (10)</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77,827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92,138</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DBI Holdings, LLC, Series A-1 </w:t>
            </w:r>
            <w:r>
              <w:rPr>
                <w:rFonts w:ascii="Arial" w:cs="Arial" w:eastAsia="Arial" w:hAnsi="Arial"/>
                <w:sz w:val="9"/>
                <w:szCs w:val="9"/>
                <w:color w:val="auto"/>
              </w:rPr>
              <w:t>(8)</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14.00%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7,040,844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2,411,479</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839,331</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490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544,968</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11.39%</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429,000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476,566</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Commercial Services &amp; Supplies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12.00%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1,166,993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1,338,438</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409,011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432,100</w:t>
            </w:r>
          </w:p>
        </w:tc>
        <w:tc>
          <w:tcPr>
            <w:tcW w:w="100" w:type="dxa"/>
            <w:vAlign w:val="bottom"/>
            <w:shd w:val="clear" w:color="auto" w:fill="CCECFF"/>
          </w:tcPr>
          <w:p>
            <w:pPr>
              <w:spacing w:after="0"/>
              <w:rPr>
                <w:sz w:val="11"/>
                <w:szCs w:val="11"/>
                <w:color w:val="auto"/>
              </w:rPr>
            </w:pPr>
          </w:p>
        </w:tc>
      </w:tr>
      <w:tr>
        <w:trPr>
          <w:trHeight w:val="139"/>
        </w:trPr>
        <w:tc>
          <w:tcPr>
            <w:tcW w:w="3540" w:type="dxa"/>
            <w:vAlign w:val="bottom"/>
          </w:tcPr>
          <w:p>
            <w:pPr>
              <w:spacing w:after="0"/>
              <w:rPr>
                <w:sz w:val="20"/>
                <w:szCs w:val="20"/>
                <w:color w:val="auto"/>
              </w:rPr>
            </w:pPr>
            <w:r>
              <w:rPr>
                <w:rFonts w:ascii="Arial" w:cs="Arial" w:eastAsia="Arial" w:hAnsi="Arial"/>
                <w:sz w:val="11"/>
                <w:szCs w:val="11"/>
                <w:color w:val="auto"/>
              </w:rPr>
              <w:t>UniTek Global Services, Inc. -</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20.00%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343,861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1"/>
        </w:trPr>
        <w:tc>
          <w:tcPr>
            <w:tcW w:w="3540" w:type="dxa"/>
            <w:vAlign w:val="bottom"/>
          </w:tcPr>
          <w:p>
            <w:pPr>
              <w:ind w:left="14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26"/>
              <w:spacing w:after="0"/>
              <w:rPr>
                <w:sz w:val="20"/>
                <w:szCs w:val="20"/>
                <w:color w:val="auto"/>
              </w:rPr>
            </w:pPr>
            <w:r>
              <w:rPr>
                <w:rFonts w:ascii="Arial" w:cs="Arial" w:eastAsia="Arial" w:hAnsi="Arial"/>
                <w:sz w:val="11"/>
                <w:szCs w:val="11"/>
                <w:color w:val="auto"/>
              </w:rPr>
              <w:t>19.00%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26"/>
              <w:spacing w:after="0"/>
              <w:rPr>
                <w:sz w:val="20"/>
                <w:szCs w:val="20"/>
                <w:color w:val="auto"/>
              </w:rPr>
            </w:pPr>
            <w:r>
              <w:rPr>
                <w:rFonts w:ascii="Arial" w:cs="Arial" w:eastAsia="Arial" w:hAnsi="Arial"/>
                <w:sz w:val="11"/>
                <w:szCs w:val="11"/>
                <w:color w:val="auto"/>
              </w:rPr>
              <w:t>13.50%</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1,047,317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670,283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28"/>
        </w:trPr>
        <w:tc>
          <w:tcPr>
            <w:tcW w:w="35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Preferred Equity</w:t>
            </w:r>
          </w:p>
        </w:tc>
        <w:tc>
          <w:tcPr>
            <w:tcW w:w="120" w:type="dxa"/>
            <w:vAlign w:val="bottom"/>
            <w:tcBorders>
              <w:top w:val="single" w:sz="8" w:color="CCECFF"/>
            </w:tcBorders>
            <w:shd w:val="clear" w:color="auto" w:fill="CCECFF"/>
          </w:tcPr>
          <w:p>
            <w:pPr>
              <w:spacing w:after="0"/>
              <w:rPr>
                <w:sz w:val="11"/>
                <w:szCs w:val="11"/>
                <w:color w:val="auto"/>
              </w:rPr>
            </w:pPr>
          </w:p>
        </w:tc>
        <w:tc>
          <w:tcPr>
            <w:tcW w:w="50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3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5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12,068,713</w:t>
            </w: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6,145,193</w:t>
            </w:r>
          </w:p>
        </w:tc>
        <w:tc>
          <w:tcPr>
            <w:tcW w:w="100" w:type="dxa"/>
            <w:vAlign w:val="bottom"/>
            <w:tcBorders>
              <w:top w:val="single" w:sz="8" w:color="CCECFF"/>
            </w:tcBorders>
            <w:shd w:val="clear" w:color="auto" w:fill="CCECFF"/>
          </w:tcPr>
          <w:p>
            <w:pPr>
              <w:spacing w:after="0"/>
              <w:rPr>
                <w:sz w:val="11"/>
                <w:szCs w:val="11"/>
                <w:color w:val="auto"/>
              </w:rPr>
            </w:pPr>
          </w:p>
        </w:tc>
      </w:tr>
      <w:tr>
        <w:trPr>
          <w:trHeight w:val="128"/>
        </w:trPr>
        <w:tc>
          <w:tcPr>
            <w:tcW w:w="3540" w:type="dxa"/>
            <w:vAlign w:val="bottom"/>
          </w:tcPr>
          <w:p>
            <w:pPr>
              <w:spacing w:after="0"/>
              <w:rPr>
                <w:sz w:val="20"/>
                <w:szCs w:val="20"/>
                <w:color w:val="auto"/>
              </w:rPr>
            </w:pPr>
            <w:r>
              <w:rPr>
                <w:rFonts w:ascii="Arial" w:cs="Arial" w:eastAsia="Arial" w:hAnsi="Arial"/>
                <w:sz w:val="11"/>
                <w:szCs w:val="11"/>
                <w:b w:val="1"/>
                <w:bCs w:val="1"/>
                <w:color w:val="auto"/>
              </w:rPr>
              <w:t xml:space="preserve">Common Equity/Warrants— 7.8% </w:t>
            </w:r>
            <w:r>
              <w:rPr>
                <w:rFonts w:ascii="Arial" w:cs="Arial" w:eastAsia="Arial" w:hAnsi="Arial"/>
                <w:sz w:val="9"/>
                <w:szCs w:val="9"/>
                <w:b w:val="1"/>
                <w:bCs w:val="1"/>
                <w:color w:val="auto"/>
              </w:rPr>
              <w:t>(6)</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Consumer Goods: Durable</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244,998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805,164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732,365</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 (9)</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194,836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(17,616)</w:t>
            </w: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1,437,500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1,010,643</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2,190,771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7,454,583</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5,592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CI (Allied)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120,962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1,243,217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7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540" w:type="dxa"/>
            <w:vAlign w:val="bottom"/>
          </w:tcPr>
          <w:p>
            <w:pPr>
              <w:spacing w:after="0"/>
              <w:rPr>
                <w:sz w:val="20"/>
                <w:szCs w:val="20"/>
                <w:color w:val="auto"/>
              </w:rPr>
            </w:pPr>
            <w:r>
              <w:rPr>
                <w:rFonts w:ascii="Arial" w:cs="Arial" w:eastAsia="Arial" w:hAnsi="Arial"/>
                <w:sz w:val="11"/>
                <w:szCs w:val="11"/>
                <w:color w:val="auto"/>
              </w:rPr>
              <w:t>CI (PTN) Investment Holdings II,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13,333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1"/>
        </w:trPr>
        <w:tc>
          <w:tcPr>
            <w:tcW w:w="3540" w:type="dxa"/>
            <w:vAlign w:val="bottom"/>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CI (Summit) Investment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58,846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629,620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735,892</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(SFP Holding, Inc.)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DBI Holdings, LLC, Series B </w:t>
            </w:r>
            <w:r>
              <w:rPr>
                <w:rFonts w:ascii="Arial" w:cs="Arial" w:eastAsia="Arial" w:hAnsi="Arial"/>
                <w:sz w:val="9"/>
                <w:szCs w:val="9"/>
                <w:color w:val="auto"/>
              </w:rPr>
              <w:t>(8)</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1,489,508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330,791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DecoPac Holdings Inc.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1,632,744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2,781,036</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ECM Investors, LLC </w:t>
            </w:r>
            <w:r>
              <w:rPr>
                <w:rFonts w:ascii="Arial" w:cs="Arial" w:eastAsia="Arial" w:hAnsi="Arial"/>
                <w:sz w:val="9"/>
                <w:szCs w:val="9"/>
                <w:color w:val="auto"/>
              </w:rPr>
              <w:t>(7), (8)</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Electronic Equipment, Instruments, and Components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295,982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295,982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306,435</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(7), (10)</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251,156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352,971</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Faraday Holdings, LLC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58,044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325,138</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Gauge InfosoftCoInvest,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143,663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724,999</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Gauge Lash Coinvest LLC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Personal Products</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1,124,483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1,124,483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1,124,483</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437,371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770,420</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391,144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386,059</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1,738,884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1,612,886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3,235,153</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 (9)</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261,116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Go Dawgs Capital III,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324,675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285,714</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r>
        <w:trPr>
          <w:trHeight w:val="139"/>
        </w:trPr>
        <w:tc>
          <w:tcPr>
            <w:tcW w:w="3540" w:type="dxa"/>
            <w:vAlign w:val="bottom"/>
          </w:tcPr>
          <w:p>
            <w:pPr>
              <w:spacing w:after="0"/>
              <w:rPr>
                <w:sz w:val="20"/>
                <w:szCs w:val="20"/>
                <w:color w:val="auto"/>
              </w:rPr>
            </w:pPr>
            <w:r>
              <w:rPr>
                <w:rFonts w:ascii="Arial" w:cs="Arial" w:eastAsia="Arial" w:hAnsi="Arial"/>
                <w:sz w:val="11"/>
                <w:szCs w:val="11"/>
                <w:color w:val="auto"/>
              </w:rPr>
              <w:t>IIN Group Holdings, LLC</w:t>
            </w:r>
          </w:p>
        </w:tc>
        <w:tc>
          <w:tcPr>
            <w:tcW w:w="12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5"/>
              </w:rPr>
              <w:t>Consumer Services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923,341</w:t>
            </w:r>
          </w:p>
        </w:tc>
        <w:tc>
          <w:tcPr>
            <w:tcW w:w="100" w:type="dxa"/>
            <w:vAlign w:val="bottom"/>
          </w:tcPr>
          <w:p>
            <w:pPr>
              <w:spacing w:after="0"/>
              <w:rPr>
                <w:sz w:val="12"/>
                <w:szCs w:val="12"/>
                <w:color w:val="auto"/>
              </w:rPr>
            </w:pPr>
          </w:p>
        </w:tc>
      </w:tr>
      <w:tr>
        <w:trPr>
          <w:trHeight w:val="131"/>
        </w:trPr>
        <w:tc>
          <w:tcPr>
            <w:tcW w:w="3540" w:type="dxa"/>
            <w:vAlign w:val="bottom"/>
          </w:tcPr>
          <w:p>
            <w:pPr>
              <w:ind w:left="14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9"/>
                <w:szCs w:val="9"/>
                <w:color w:val="auto"/>
              </w:rPr>
              <w:t>(7), (8)</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46,763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766,149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1,373,361</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tcPr>
          <w:p>
            <w:pPr>
              <w:spacing w:after="0"/>
              <w:rPr>
                <w:sz w:val="20"/>
                <w:szCs w:val="20"/>
                <w:color w:val="auto"/>
              </w:rPr>
            </w:pPr>
            <w:r>
              <w:rPr>
                <w:rFonts w:ascii="Arial" w:cs="Arial" w:eastAsia="Arial" w:hAnsi="Arial"/>
                <w:sz w:val="11"/>
                <w:szCs w:val="11"/>
                <w:color w:val="auto"/>
              </w:rPr>
              <w:t xml:space="preserve">JWC/UMA Holdings, L.P. </w:t>
            </w:r>
            <w:r>
              <w:rPr>
                <w:rFonts w:ascii="Arial" w:cs="Arial" w:eastAsia="Arial" w:hAnsi="Arial"/>
                <w:sz w:val="9"/>
                <w:szCs w:val="9"/>
                <w:color w:val="auto"/>
              </w:rPr>
              <w:t>(7)</w:t>
            </w:r>
          </w:p>
        </w:tc>
        <w:tc>
          <w:tcPr>
            <w:tcW w:w="120" w:type="dxa"/>
            <w:vAlign w:val="bottom"/>
          </w:tcPr>
          <w:p>
            <w:pPr>
              <w:spacing w:after="0"/>
              <w:rPr>
                <w:sz w:val="11"/>
                <w:szCs w:val="11"/>
                <w:color w:val="auto"/>
              </w:rPr>
            </w:pP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1,122,110</w:t>
            </w:r>
          </w:p>
        </w:tc>
        <w:tc>
          <w:tcPr>
            <w:tcW w:w="100" w:type="dxa"/>
            <w:vAlign w:val="bottom"/>
          </w:tcPr>
          <w:p>
            <w:pPr>
              <w:spacing w:after="0"/>
              <w:rPr>
                <w:sz w:val="11"/>
                <w:szCs w:val="11"/>
                <w:color w:val="auto"/>
              </w:rPr>
            </w:pPr>
          </w:p>
        </w:tc>
      </w:tr>
      <w:tr>
        <w:trPr>
          <w:trHeight w:val="135"/>
        </w:trPr>
        <w:tc>
          <w:tcPr>
            <w:tcW w:w="3540" w:type="dxa"/>
            <w:vAlign w:val="bottom"/>
            <w:shd w:val="clear" w:color="auto" w:fill="CCECFF"/>
          </w:tcPr>
          <w:p>
            <w:pPr>
              <w:spacing w:after="0"/>
              <w:rPr>
                <w:sz w:val="20"/>
                <w:szCs w:val="20"/>
                <w:color w:val="auto"/>
              </w:rPr>
            </w:pPr>
            <w:r>
              <w:rPr>
                <w:rFonts w:ascii="Arial" w:cs="Arial" w:eastAsia="Arial" w:hAnsi="Arial"/>
                <w:sz w:val="11"/>
                <w:szCs w:val="11"/>
                <w:color w:val="auto"/>
              </w:rPr>
              <w:t>JWC-WE Holdings, L.P.</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shd w:val="clear" w:color="auto" w:fill="CCECFF"/>
          </w:tcPr>
          <w:p>
            <w:pPr>
              <w:jc w:val="right"/>
              <w:ind w:right="246"/>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1,381,741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1,381,741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6,356,007</w:t>
            </w:r>
          </w:p>
        </w:tc>
        <w:tc>
          <w:tcPr>
            <w:tcW w:w="100" w:type="dxa"/>
            <w:vAlign w:val="bottom"/>
            <w:shd w:val="clear" w:color="auto" w:fill="CCECFF"/>
          </w:tcPr>
          <w:p>
            <w:pPr>
              <w:spacing w:after="0"/>
              <w:rPr>
                <w:sz w:val="11"/>
                <w:szCs w:val="11"/>
                <w:color w:val="auto"/>
              </w:rPr>
            </w:pPr>
          </w:p>
        </w:tc>
      </w:tr>
      <w:tr>
        <w:trPr>
          <w:trHeight w:val="135"/>
        </w:trPr>
        <w:tc>
          <w:tcPr>
            <w:tcW w:w="35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(7), (8)</w:t>
            </w:r>
          </w:p>
        </w:tc>
        <w:tc>
          <w:tcPr>
            <w:tcW w:w="120" w:type="dxa"/>
            <w:vAlign w:val="bottom"/>
            <w:shd w:val="clear" w:color="auto" w:fill="CCECFF"/>
          </w:tcPr>
          <w:p>
            <w:pPr>
              <w:spacing w:after="0"/>
              <w:rPr>
                <w:sz w:val="11"/>
                <w:szCs w:val="11"/>
                <w:color w:val="auto"/>
              </w:rPr>
            </w:pPr>
          </w:p>
        </w:tc>
        <w:tc>
          <w:tcPr>
            <w:tcW w:w="50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Maturity</w:t>
            </w:r>
          </w:p>
        </w:tc>
        <w:tc>
          <w:tcPr>
            <w:tcW w:w="220" w:type="dxa"/>
            <w:vAlign w:val="bottom"/>
          </w:tcPr>
          <w:p>
            <w:pPr>
              <w:spacing w:after="0"/>
              <w:rPr>
                <w:sz w:val="11"/>
                <w:szCs w:val="11"/>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Pr>
          <w:p>
            <w:pPr>
              <w:spacing w:after="0"/>
              <w:rPr>
                <w:sz w:val="11"/>
                <w:szCs w:val="11"/>
                <w:color w:val="auto"/>
              </w:rPr>
            </w:pPr>
          </w:p>
        </w:tc>
        <w:tc>
          <w:tcPr>
            <w:tcW w:w="6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Coupon</w:t>
            </w:r>
          </w:p>
        </w:tc>
        <w:tc>
          <w:tcPr>
            <w:tcW w:w="280" w:type="dxa"/>
            <w:vAlign w:val="bottom"/>
          </w:tcPr>
          <w:p>
            <w:pPr>
              <w:spacing w:after="0"/>
              <w:rPr>
                <w:sz w:val="11"/>
                <w:szCs w:val="11"/>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Hotels, Restaurants and Leisure</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87,345</w:t>
            </w: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167,728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Lightspeed Investment Holdco LLC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Healthcare Technology</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585,587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556,308</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960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w w:val="96"/>
              </w:rPr>
              <w:t xml:space="preserve">OceanSound Discovery Equity, LP (Holdco Sands Intermediate, LLC) </w:t>
            </w:r>
            <w:r>
              <w:rPr>
                <w:rFonts w:ascii="Arial" w:cs="Arial" w:eastAsia="Arial" w:hAnsi="Arial"/>
                <w:sz w:val="9"/>
                <w:szCs w:val="9"/>
                <w:color w:val="auto"/>
                <w:w w:val="96"/>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173,638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1,736,381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2,166,315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286,000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737,596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83,333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83,333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83,333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QuantiTech InvestCo LP </w:t>
            </w:r>
            <w:r>
              <w:rPr>
                <w:rFonts w:ascii="Arial" w:cs="Arial" w:eastAsia="Arial" w:hAnsi="Arial"/>
                <w:sz w:val="9"/>
                <w:szCs w:val="9"/>
                <w:color w:val="auto"/>
              </w:rPr>
              <w:t>(7), (8), (9)</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SBI Holdings Investments LLC (Sales Benchmark Index LLC)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64,634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646,341</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561,627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61,421</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4,113</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560" w:type="dxa"/>
            <w:vAlign w:val="bottom"/>
            <w:gridSpan w:val="2"/>
          </w:tcPr>
          <w:p>
            <w:pPr>
              <w:spacing w:after="0"/>
              <w:rPr>
                <w:sz w:val="20"/>
                <w:szCs w:val="20"/>
                <w:color w:val="auto"/>
              </w:rPr>
            </w:pPr>
            <w:r>
              <w:rPr>
                <w:rFonts w:ascii="Arial" w:cs="Arial" w:eastAsia="Arial" w:hAnsi="Arial"/>
                <w:sz w:val="11"/>
                <w:szCs w:val="11"/>
                <w:color w:val="auto"/>
              </w:rPr>
              <w:t>SSC Dominion Holdings, LLC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500,000</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540,000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560" w:type="dxa"/>
            <w:vAlign w:val="bottom"/>
            <w:gridSpan w:val="2"/>
          </w:tcPr>
          <w:p>
            <w:pPr>
              <w:ind w:left="14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1,133,647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9"/>
                <w:szCs w:val="9"/>
                <w:color w:val="auto"/>
              </w:rPr>
              <w:t>(7)</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TPC Holding Company, LP </w:t>
            </w:r>
            <w:r>
              <w:rPr>
                <w:rFonts w:ascii="Arial" w:cs="Arial" w:eastAsia="Arial" w:hAnsi="Arial"/>
                <w:sz w:val="9"/>
                <w:szCs w:val="9"/>
                <w:color w:val="auto"/>
              </w:rPr>
              <w:t>(5), (7), (10)</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Food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21,527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21,527</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141,647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213,739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23,889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WBB Equity, LLC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142,857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142,857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590,000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3560" w:type="dxa"/>
            <w:vAlign w:val="bottom"/>
            <w:gridSpan w:val="2"/>
          </w:tcPr>
          <w:p>
            <w:pPr>
              <w:spacing w:after="0" w:line="125" w:lineRule="exact"/>
              <w:rPr>
                <w:sz w:val="20"/>
                <w:szCs w:val="20"/>
                <w:color w:val="auto"/>
              </w:rPr>
            </w:pPr>
            <w:r>
              <w:rPr>
                <w:rFonts w:ascii="Arial" w:cs="Arial" w:eastAsia="Arial" w:hAnsi="Arial"/>
                <w:sz w:val="11"/>
                <w:szCs w:val="11"/>
                <w:color w:val="auto"/>
              </w:rPr>
              <w:t xml:space="preserve">Wildcat Parent, LP (Wildcat Buyerco, Inc.) </w:t>
            </w:r>
            <w:r>
              <w:rPr>
                <w:rFonts w:ascii="Arial" w:cs="Arial" w:eastAsia="Arial" w:hAnsi="Arial"/>
                <w:sz w:val="9"/>
                <w:szCs w:val="9"/>
                <w:color w:val="auto"/>
              </w:rPr>
              <w:t>(7), (8)</w:t>
            </w:r>
          </w:p>
        </w:tc>
        <w:tc>
          <w:tcPr>
            <w:tcW w:w="740" w:type="dxa"/>
            <w:vAlign w:val="bottom"/>
            <w:gridSpan w:val="2"/>
          </w:tcPr>
          <w:p>
            <w:pPr>
              <w:ind w:left="240"/>
              <w:spacing w:after="0" w:line="125" w:lineRule="exact"/>
              <w:rPr>
                <w:sz w:val="20"/>
                <w:szCs w:val="20"/>
                <w:color w:val="auto"/>
              </w:rPr>
            </w:pPr>
            <w:r>
              <w:rPr>
                <w:rFonts w:ascii="Arial" w:cs="Arial" w:eastAsia="Arial" w:hAnsi="Arial"/>
                <w:sz w:val="11"/>
                <w:szCs w:val="11"/>
                <w:color w:val="auto"/>
              </w:rPr>
              <w:t>—</w:t>
            </w:r>
          </w:p>
        </w:tc>
        <w:tc>
          <w:tcPr>
            <w:tcW w:w="2400" w:type="dxa"/>
            <w:vAlign w:val="bottom"/>
            <w:gridSpan w:val="2"/>
          </w:tcPr>
          <w:p>
            <w:pPr>
              <w:jc w:val="center"/>
              <w:ind w:right="120"/>
              <w:spacing w:after="0" w:line="125" w:lineRule="exact"/>
              <w:rPr>
                <w:sz w:val="20"/>
                <w:szCs w:val="20"/>
                <w:color w:val="auto"/>
              </w:rPr>
            </w:pPr>
            <w:r>
              <w:rPr>
                <w:rFonts w:ascii="Arial" w:cs="Arial" w:eastAsia="Arial" w:hAnsi="Arial"/>
                <w:sz w:val="11"/>
                <w:szCs w:val="11"/>
                <w:color w:val="auto"/>
                <w:w w:val="89"/>
              </w:rPr>
              <w:t>Electronic Equipment, Instruments, and</w:t>
            </w:r>
          </w:p>
        </w:tc>
        <w:tc>
          <w:tcPr>
            <w:tcW w:w="940" w:type="dxa"/>
            <w:vAlign w:val="bottom"/>
            <w:gridSpan w:val="2"/>
          </w:tcPr>
          <w:p>
            <w:pPr>
              <w:jc w:val="right"/>
              <w:ind w:right="280"/>
              <w:spacing w:after="0" w:line="125"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line="125"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2,240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spacing w:after="0" w:line="125" w:lineRule="exact"/>
              <w:rPr>
                <w:sz w:val="20"/>
                <w:szCs w:val="20"/>
                <w:color w:val="auto"/>
              </w:rPr>
            </w:pPr>
            <w:r>
              <w:rPr>
                <w:rFonts w:ascii="Arial" w:cs="Arial" w:eastAsia="Arial" w:hAnsi="Arial"/>
                <w:sz w:val="11"/>
                <w:szCs w:val="11"/>
                <w:color w:val="auto"/>
              </w:rPr>
              <w:t>223,995</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line="125" w:lineRule="exact"/>
              <w:rPr>
                <w:sz w:val="20"/>
                <w:szCs w:val="20"/>
                <w:color w:val="auto"/>
              </w:rPr>
            </w:pPr>
            <w:r>
              <w:rPr>
                <w:rFonts w:ascii="Arial" w:cs="Arial" w:eastAsia="Arial" w:hAnsi="Arial"/>
                <w:sz w:val="11"/>
                <w:szCs w:val="11"/>
                <w:color w:val="auto"/>
              </w:rPr>
              <w:t>202,282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344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4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Components</w:t>
            </w: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21,799,541</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36,867,690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w w:val="93"/>
              </w:rPr>
              <w:t>Total Investments in Non-Controlled, Non-Affiliated Portfolio Companies</w:t>
            </w: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2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956,767,973</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935,279,231</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w w:val="90"/>
              </w:rPr>
              <w:t xml:space="preserve">Investments in Non-Controlled, Affiliated Portfolio Companies—2.1% </w:t>
            </w:r>
            <w:r>
              <w:rPr>
                <w:rFonts w:ascii="Arial" w:cs="Arial" w:eastAsia="Arial" w:hAnsi="Arial"/>
                <w:sz w:val="9"/>
                <w:szCs w:val="9"/>
                <w:b w:val="1"/>
                <w:bCs w:val="1"/>
                <w:color w:val="auto"/>
                <w:w w:val="90"/>
              </w:rPr>
              <w:t>(3), (4)</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First Lien Secured Debt—1.1%</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Super Senior Term Loan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06/01/2022</w:t>
            </w:r>
          </w:p>
        </w:tc>
        <w:tc>
          <w:tcPr>
            <w:tcW w:w="220" w:type="dxa"/>
            <w:vAlign w:val="bottom"/>
            <w:shd w:val="clear" w:color="auto" w:fill="CCECFF"/>
          </w:tcPr>
          <w:p>
            <w:pPr>
              <w:spacing w:after="0"/>
              <w:rPr>
                <w:sz w:val="11"/>
                <w:szCs w:val="11"/>
                <w:color w:val="auto"/>
              </w:rPr>
            </w:pP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12.00%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680,370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680,370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680,370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color w:val="auto"/>
              </w:rPr>
              <w:t xml:space="preserve">Country Fresh Holdings, LLC - Super Senior Term Loan </w:t>
            </w:r>
            <w:r>
              <w:rPr>
                <w:rFonts w:ascii="Arial" w:cs="Arial" w:eastAsia="Arial" w:hAnsi="Arial"/>
                <w:sz w:val="9"/>
                <w:szCs w:val="9"/>
                <w:color w:val="auto"/>
              </w:rPr>
              <w:t>(7), (9)</w:t>
            </w:r>
          </w:p>
        </w:tc>
        <w:tc>
          <w:tcPr>
            <w:tcW w:w="520" w:type="dxa"/>
            <w:vAlign w:val="bottom"/>
          </w:tcPr>
          <w:p>
            <w:pPr>
              <w:spacing w:after="0"/>
              <w:rPr>
                <w:sz w:val="20"/>
                <w:szCs w:val="20"/>
                <w:color w:val="auto"/>
              </w:rPr>
            </w:pPr>
            <w:r>
              <w:rPr>
                <w:rFonts w:ascii="Arial" w:cs="Arial" w:eastAsia="Arial" w:hAnsi="Arial"/>
                <w:sz w:val="11"/>
                <w:szCs w:val="11"/>
                <w:color w:val="auto"/>
                <w:w w:val="90"/>
              </w:rPr>
              <w:t>06/01/2022</w:t>
            </w:r>
          </w:p>
        </w:tc>
        <w:tc>
          <w:tcPr>
            <w:tcW w:w="220" w:type="dxa"/>
            <w:vAlign w:val="bottom"/>
          </w:tcPr>
          <w:p>
            <w:pPr>
              <w:spacing w:after="0"/>
              <w:rPr>
                <w:sz w:val="11"/>
                <w:szCs w:val="11"/>
                <w:color w:val="auto"/>
              </w:rPr>
            </w:pPr>
          </w:p>
        </w:tc>
        <w:tc>
          <w:tcPr>
            <w:tcW w:w="24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1,130,308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05/01/2023</w:t>
            </w:r>
          </w:p>
        </w:tc>
        <w:tc>
          <w:tcPr>
            <w:tcW w:w="220" w:type="dxa"/>
            <w:vAlign w:val="bottom"/>
            <w:shd w:val="clear" w:color="auto" w:fill="CCECFF"/>
          </w:tcPr>
          <w:p>
            <w:pPr>
              <w:spacing w:after="0"/>
              <w:rPr>
                <w:sz w:val="11"/>
                <w:szCs w:val="11"/>
                <w:color w:val="auto"/>
              </w:rPr>
            </w:pP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6.02%</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1,512,642</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9"/>
                <w:szCs w:val="9"/>
                <w:color w:val="auto"/>
              </w:rPr>
              <w:t>(7)</w:t>
            </w:r>
          </w:p>
        </w:tc>
        <w:tc>
          <w:tcPr>
            <w:tcW w:w="52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w w:val="90"/>
              </w:rPr>
              <w:t>05/01/2023</w:t>
            </w:r>
          </w:p>
        </w:tc>
        <w:tc>
          <w:tcPr>
            <w:tcW w:w="220" w:type="dxa"/>
            <w:vAlign w:val="bottom"/>
            <w:tcBorders>
              <w:bottom w:val="single" w:sz="8" w:color="CCECFF"/>
            </w:tcBorders>
          </w:tcPr>
          <w:p>
            <w:pPr>
              <w:spacing w:after="0"/>
              <w:rPr>
                <w:sz w:val="11"/>
                <w:szCs w:val="11"/>
                <w:color w:val="auto"/>
              </w:rPr>
            </w:pPr>
          </w:p>
        </w:tc>
        <w:tc>
          <w:tcPr>
            <w:tcW w:w="24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6.00%</w:t>
            </w:r>
          </w:p>
        </w:tc>
        <w:tc>
          <w:tcPr>
            <w:tcW w:w="8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2,746,564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2,746,564</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2,746,564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4,939,576</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4,971,095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Second Lien Secured Debt—1.0%</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04/29/2024</w:t>
            </w:r>
          </w:p>
        </w:tc>
        <w:tc>
          <w:tcPr>
            <w:tcW w:w="220" w:type="dxa"/>
            <w:vAlign w:val="bottom"/>
            <w:shd w:val="clear" w:color="auto" w:fill="CCECFF"/>
          </w:tcPr>
          <w:p>
            <w:pPr>
              <w:spacing w:after="0"/>
              <w:rPr>
                <w:sz w:val="11"/>
                <w:szCs w:val="11"/>
                <w:color w:val="auto"/>
              </w:rPr>
            </w:pPr>
          </w:p>
        </w:tc>
        <w:tc>
          <w:tcPr>
            <w:tcW w:w="24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9.50%</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5,743,148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5,743,148</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4,706,510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9.50%)</w:t>
            </w: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Total Second Lien Secured Debt</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5,743,148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4,706,510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Equity/Warrants—0.0% </w:t>
            </w:r>
            <w:r>
              <w:rPr>
                <w:rFonts w:ascii="Arial" w:cs="Arial" w:eastAsia="Arial" w:hAnsi="Arial"/>
                <w:sz w:val="9"/>
                <w:szCs w:val="9"/>
                <w:b w:val="1"/>
                <w:bCs w:val="1"/>
                <w:color w:val="auto"/>
              </w:rPr>
              <w:t>(6)</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Country Fresh Holding Company Inc.</w:t>
            </w: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8,034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 in Non-Controlled, Affiliated Portfolio Companies</w:t>
            </w: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2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21,136,074</w:t>
            </w:r>
          </w:p>
        </w:tc>
        <w:tc>
          <w:tcPr>
            <w:tcW w:w="220" w:type="dxa"/>
            <w:vAlign w:val="bottom"/>
            <w:tcBorders>
              <w:bottom w:val="single" w:sz="8" w:color="CCEC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9,677,605</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w w:val="95"/>
              </w:rPr>
              <w:t xml:space="preserve">Investments in Controlled, Affiliated Portfolio Companies—33.8% </w:t>
            </w:r>
            <w:r>
              <w:rPr>
                <w:rFonts w:ascii="Arial" w:cs="Arial" w:eastAsia="Arial" w:hAnsi="Arial"/>
                <w:sz w:val="9"/>
                <w:szCs w:val="9"/>
                <w:b w:val="1"/>
                <w:bCs w:val="1"/>
                <w:color w:val="auto"/>
                <w:w w:val="95"/>
              </w:rPr>
              <w:t>(3), (4)</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First Lien Secured Debt—26.2%</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05/06/2024</w:t>
            </w:r>
          </w:p>
        </w:tc>
        <w:tc>
          <w:tcPr>
            <w:tcW w:w="220" w:type="dxa"/>
            <w:vAlign w:val="bottom"/>
            <w:shd w:val="clear" w:color="auto" w:fill="CCECFF"/>
          </w:tcPr>
          <w:p>
            <w:pPr>
              <w:spacing w:after="0"/>
              <w:rPr>
                <w:sz w:val="11"/>
                <w:szCs w:val="11"/>
                <w:color w:val="auto"/>
              </w:rPr>
            </w:pPr>
          </w:p>
        </w:tc>
        <w:tc>
          <w:tcPr>
            <w:tcW w:w="24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8.31%</w:t>
            </w:r>
          </w:p>
        </w:tc>
        <w:tc>
          <w:tcPr>
            <w:tcW w:w="88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123,418,750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123,418,750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123,418,750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Total First Lien Secured Debt</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123,418,750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123,418,750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Equity Interests—7.6%</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4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9"/>
              </w:rPr>
              <w:t>Financial Services</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52,894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52,893,750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35,977,665</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Equity Interests</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52,893,750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35,977,665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2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176,312,500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159,396,415</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Investments—234.3%</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88"/>
              </w:rPr>
              <w:t>1,154,216,547</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3"/>
              </w:rPr>
              <w:t>1,104,353,251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Equivalents—11.3%</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11,670,877</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11,670,877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6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BNY Mellon Cash</w:t>
            </w: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2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41,802,226</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41,735,048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56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2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53,473,103</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53,405,925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Total Investments and Cash Equivalents—245.6%</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w w:val="88"/>
              </w:rPr>
              <w:t>1,207,689,650</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1"/>
                <w:szCs w:val="11"/>
                <w:color w:val="auto"/>
                <w:w w:val="93"/>
              </w:rPr>
              <w:t>1,157,759,176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CFF"/>
            </w:tcBorders>
            <w:gridSpan w:val="2"/>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Assets—(145.6)%</w:t>
            </w: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28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28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6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560" w:type="dxa"/>
            <w:vAlign w:val="bottom"/>
            <w:gridSpan w:val="2"/>
            <w:vMerge w:val="continue"/>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28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60" w:type="dxa"/>
            <w:vAlign w:val="bottom"/>
            <w:shd w:val="clear" w:color="auto" w:fill="CCECFF"/>
          </w:tcPr>
          <w:p>
            <w:pPr>
              <w:spacing w:after="0"/>
              <w:rPr>
                <w:sz w:val="10"/>
                <w:szCs w:val="10"/>
                <w:color w:val="auto"/>
              </w:rPr>
            </w:pPr>
          </w:p>
        </w:tc>
        <w:tc>
          <w:tcPr>
            <w:tcW w:w="80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rPr>
              <w:t>(686,424,798)</w:t>
            </w:r>
          </w:p>
        </w:tc>
        <w:tc>
          <w:tcPr>
            <w:tcW w:w="0" w:type="dxa"/>
            <w:vAlign w:val="bottom"/>
          </w:tcPr>
          <w:p>
            <w:pPr>
              <w:spacing w:after="0"/>
              <w:rPr>
                <w:sz w:val="1"/>
                <w:szCs w:val="1"/>
                <w:color w:val="auto"/>
              </w:rPr>
            </w:pPr>
          </w:p>
        </w:tc>
      </w:tr>
      <w:tr>
        <w:trPr>
          <w:trHeight w:val="135"/>
        </w:trPr>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Net Assets—100.0%</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471,334,378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380" w:right="2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spacing w:after="0" w:line="28"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2020, qualifying assets represent 82% of our total assets and non-qualifying assets represent 18%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Current</w:t>
            </w:r>
          </w:p>
        </w:tc>
        <w:tc>
          <w:tcPr>
            <w:tcW w:w="12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800" w:type="dxa"/>
            <w:vAlign w:val="bottom"/>
          </w:tcPr>
          <w:p>
            <w:pPr>
              <w:jc w:val="center"/>
              <w:ind w:left="46"/>
              <w:spacing w:after="0"/>
              <w:rPr>
                <w:sz w:val="20"/>
                <w:szCs w:val="20"/>
                <w:color w:val="auto"/>
              </w:rPr>
            </w:pPr>
            <w:r>
              <w:rPr>
                <w:rFonts w:ascii="Arial" w:cs="Arial" w:eastAsia="Arial" w:hAnsi="Arial"/>
                <w:sz w:val="11"/>
                <w:szCs w:val="11"/>
                <w:b w:val="1"/>
                <w:bCs w:val="1"/>
                <w:color w:val="auto"/>
                <w:w w:val="98"/>
              </w:rPr>
              <w:t>Maturity</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2"/>
              </w:rPr>
              <w:t>Industry</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Coupon</w:t>
            </w:r>
          </w:p>
        </w:tc>
        <w:tc>
          <w:tcPr>
            <w:tcW w:w="120" w:type="dxa"/>
            <w:vAlign w:val="bottom"/>
          </w:tcPr>
          <w:p>
            <w:pPr>
              <w:spacing w:after="0"/>
              <w:rPr>
                <w:sz w:val="11"/>
                <w:szCs w:val="11"/>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680" w:type="dxa"/>
            <w:vAlign w:val="bottom"/>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Pr>
          <w:p>
            <w:pPr>
              <w:spacing w:after="0"/>
              <w:rPr>
                <w:sz w:val="11"/>
                <w:szCs w:val="11"/>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r>
      <w:tr>
        <w:trPr>
          <w:trHeight w:val="128"/>
        </w:trPr>
        <w:tc>
          <w:tcPr>
            <w:tcW w:w="41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w w:val="96"/>
              </w:rPr>
              <w:t xml:space="preserve">Investments in Non-Controlled, Non-Affiliated Portfolio Companies—176.7% </w:t>
            </w:r>
            <w:r>
              <w:rPr>
                <w:rFonts w:ascii="Arial" w:cs="Arial" w:eastAsia="Arial" w:hAnsi="Arial"/>
                <w:sz w:val="9"/>
                <w:szCs w:val="9"/>
                <w:b w:val="1"/>
                <w:bCs w:val="1"/>
                <w:color w:val="auto"/>
                <w:w w:val="96"/>
              </w:rPr>
              <w:t>(3), (4)</w:t>
            </w:r>
          </w:p>
        </w:tc>
        <w:tc>
          <w:tcPr>
            <w:tcW w:w="246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b w:val="1"/>
                <w:bCs w:val="1"/>
                <w:color w:val="auto"/>
              </w:rPr>
              <w:t>First Lien Secured Debt—162.7%</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18 Freemont Street Acquisition,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08/11/2025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10.04%</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14,702,672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15,000,000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IT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8.28%</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6,500,000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6,404,125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6,500,000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Altamira Technologies,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07/24/2025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IT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2,156,250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American Auto Auction Group,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01/02/2024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Transportation: Consumer</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7.07%</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L+475</w:t>
            </w:r>
          </w:p>
        </w:tc>
        <w:tc>
          <w:tcPr>
            <w:tcW w:w="660" w:type="dxa"/>
            <w:vAlign w:val="bottom"/>
          </w:tcPr>
          <w:p>
            <w:pPr>
              <w:jc w:val="right"/>
              <w:spacing w:after="0"/>
              <w:rPr>
                <w:sz w:val="20"/>
                <w:szCs w:val="20"/>
                <w:color w:val="auto"/>
              </w:rPr>
            </w:pPr>
            <w:r>
              <w:rPr>
                <w:rFonts w:ascii="Arial" w:cs="Arial" w:eastAsia="Arial" w:hAnsi="Arial"/>
                <w:sz w:val="11"/>
                <w:szCs w:val="11"/>
                <w:color w:val="auto"/>
              </w:rPr>
              <w:t>5,798,444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5,727,667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5,740,459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American Insulated Glass,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Building Products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8.10%</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14,925,000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14,670,272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14,701,125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12/21/2023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Building Products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649,351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(9,740)</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American Teleconferencing Services, Ltd.</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12/08/2021</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8.69%</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9,672,954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9,590,848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6,771,068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API Holdings III Corp.</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05/11/2026</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Electronic Equipment, Instruments, and Components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6.45%</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L+425</w:t>
            </w:r>
          </w:p>
        </w:tc>
        <w:tc>
          <w:tcPr>
            <w:tcW w:w="660" w:type="dxa"/>
            <w:vAlign w:val="bottom"/>
          </w:tcPr>
          <w:p>
            <w:pPr>
              <w:jc w:val="right"/>
              <w:spacing w:after="0"/>
              <w:rPr>
                <w:sz w:val="20"/>
                <w:szCs w:val="20"/>
                <w:color w:val="auto"/>
              </w:rPr>
            </w:pPr>
            <w:r>
              <w:rPr>
                <w:rFonts w:ascii="Arial" w:cs="Arial" w:eastAsia="Arial" w:hAnsi="Arial"/>
                <w:sz w:val="11"/>
                <w:szCs w:val="11"/>
                <w:color w:val="auto"/>
              </w:rPr>
              <w:t>5,985,000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5,955,320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5,783,006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BEI Precision Systems &amp; Space Company,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04/28/2023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7.61%</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11,730,000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11,651,612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11,612,700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8.56%</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13,096,955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12,864,397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13,096,955</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By Light Professional IT Services, LLC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15,745,817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By Light Professional IT Services, LLC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05/16/2022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2,504,092</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11/14/2023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8.54%</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2,868,106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2,848,592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2,854,626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Cano Health,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12/23/2021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8.36%</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L+650</w:t>
            </w:r>
          </w:p>
        </w:tc>
        <w:tc>
          <w:tcPr>
            <w:tcW w:w="660" w:type="dxa"/>
            <w:vAlign w:val="bottom"/>
          </w:tcPr>
          <w:p>
            <w:pPr>
              <w:jc w:val="right"/>
              <w:spacing w:after="0"/>
              <w:rPr>
                <w:sz w:val="20"/>
                <w:szCs w:val="20"/>
                <w:color w:val="auto"/>
              </w:rPr>
            </w:pPr>
            <w:r>
              <w:rPr>
                <w:rFonts w:ascii="Arial" w:cs="Arial" w:eastAsia="Arial" w:hAnsi="Arial"/>
                <w:sz w:val="11"/>
                <w:szCs w:val="11"/>
                <w:color w:val="auto"/>
              </w:rPr>
              <w:t>23,306,224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23,094,603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23,306,224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Cardenas Markets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11/29/2023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Beverage, Food and Tobacco</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7.86%</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3,834,884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3,840,082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3,719,837</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CHA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04/10/2025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Environmental Industries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6.79%</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7,366,205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7,340,067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7,329,374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CHA Holdings, Inc.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04/10/2025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Environmental Industries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53,571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(268)</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08/31/2023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7.87%</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L+575</w:t>
            </w:r>
          </w:p>
        </w:tc>
        <w:tc>
          <w:tcPr>
            <w:tcW w:w="660" w:type="dxa"/>
            <w:vAlign w:val="bottom"/>
          </w:tcPr>
          <w:p>
            <w:pPr>
              <w:jc w:val="right"/>
              <w:spacing w:after="0"/>
              <w:rPr>
                <w:sz w:val="20"/>
                <w:szCs w:val="20"/>
                <w:color w:val="auto"/>
              </w:rPr>
            </w:pPr>
            <w:r>
              <w:rPr>
                <w:rFonts w:ascii="Arial" w:cs="Arial" w:eastAsia="Arial" w:hAnsi="Arial"/>
                <w:sz w:val="11"/>
                <w:szCs w:val="11"/>
                <w:color w:val="auto"/>
              </w:rPr>
              <w:t>284,579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284,579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277,464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Challenger Performance Optimization, Inc.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08/31/2023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Business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426,868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(10,672)</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Confluent Health,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06/24/2026</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Healthcare Providers and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7.40%</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L+500</w:t>
            </w:r>
          </w:p>
        </w:tc>
        <w:tc>
          <w:tcPr>
            <w:tcW w:w="660" w:type="dxa"/>
            <w:vAlign w:val="bottom"/>
          </w:tcPr>
          <w:p>
            <w:pPr>
              <w:jc w:val="right"/>
              <w:spacing w:after="0"/>
              <w:rPr>
                <w:sz w:val="20"/>
                <w:szCs w:val="20"/>
                <w:color w:val="auto"/>
              </w:rPr>
            </w:pPr>
            <w:r>
              <w:rPr>
                <w:rFonts w:ascii="Arial" w:cs="Arial" w:eastAsia="Arial" w:hAnsi="Arial"/>
                <w:sz w:val="11"/>
                <w:szCs w:val="11"/>
                <w:color w:val="auto"/>
              </w:rPr>
              <w:t>4,000,000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3,960,046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3,940,000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Deva Holdings,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10/31/2023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7.60%</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944,900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931,008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944,900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Deva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10/31/2022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Consumer Goods: Non-Durable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2,115,000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Digital Room Holdings, Inc.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05/22/2026</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91"/>
              </w:rPr>
              <w:t>Media: Advertising, Printing and Publishing</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7.09%</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9,975,000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9,827,383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9,495,003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8.08%</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tcPr>
          <w:p>
            <w:pPr>
              <w:jc w:val="right"/>
              <w:spacing w:after="0"/>
              <w:rPr>
                <w:sz w:val="20"/>
                <w:szCs w:val="20"/>
                <w:color w:val="auto"/>
              </w:rPr>
            </w:pPr>
            <w:r>
              <w:rPr>
                <w:rFonts w:ascii="Arial" w:cs="Arial" w:eastAsia="Arial" w:hAnsi="Arial"/>
                <w:sz w:val="11"/>
                <w:szCs w:val="11"/>
                <w:color w:val="auto"/>
              </w:rPr>
              <w:t>14,340,441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14,159,516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14,197,037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9.75%</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439,118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439,118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434,726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(Revolver) </w:t>
            </w:r>
            <w:r>
              <w:rPr>
                <w:rFonts w:ascii="Arial" w:cs="Arial" w:eastAsia="Arial" w:hAnsi="Arial"/>
                <w:sz w:val="9"/>
                <w:szCs w:val="9"/>
                <w:color w:val="auto"/>
              </w:rPr>
              <w:t>(7), (9)</w:t>
            </w: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360" w:type="dxa"/>
            <w:vAlign w:val="bottom"/>
          </w:tcPr>
          <w:p>
            <w:pPr>
              <w:spacing w:after="0"/>
              <w:rPr>
                <w:sz w:val="20"/>
                <w:szCs w:val="20"/>
                <w:color w:val="auto"/>
              </w:rPr>
            </w:pPr>
            <w:r>
              <w:rPr>
                <w:rFonts w:ascii="Arial" w:cs="Arial" w:eastAsia="Arial" w:hAnsi="Arial"/>
                <w:sz w:val="11"/>
                <w:szCs w:val="11"/>
                <w:color w:val="auto"/>
              </w:rPr>
              <w:t>Douglas Products and Packaging Company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3,952,059</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(39,522)</w:t>
            </w:r>
          </w:p>
        </w:tc>
      </w:tr>
      <w:tr>
        <w:trPr>
          <w:trHeight w:val="131"/>
        </w:trPr>
        <w:tc>
          <w:tcPr>
            <w:tcW w:w="3360" w:type="dxa"/>
            <w:vAlign w:val="bottom"/>
          </w:tcPr>
          <w:p>
            <w:pPr>
              <w:ind w:left="140"/>
              <w:spacing w:after="0"/>
              <w:rPr>
                <w:sz w:val="20"/>
                <w:szCs w:val="20"/>
                <w:color w:val="auto"/>
              </w:rPr>
            </w:pPr>
            <w:r>
              <w:rPr>
                <w:rFonts w:ascii="Arial" w:cs="Arial" w:eastAsia="Arial" w:hAnsi="Arial"/>
                <w:sz w:val="11"/>
                <w:szCs w:val="11"/>
                <w:color w:val="auto"/>
              </w:rPr>
              <w:t xml:space="preserve">(Revolver) </w:t>
            </w:r>
            <w:r>
              <w:rPr>
                <w:rFonts w:ascii="Arial" w:cs="Arial" w:eastAsia="Arial" w:hAnsi="Arial"/>
                <w:sz w:val="9"/>
                <w:szCs w:val="9"/>
                <w:color w:val="auto"/>
              </w:rPr>
              <w:t>(7), (9)</w:t>
            </w:r>
          </w:p>
        </w:tc>
        <w:tc>
          <w:tcPr>
            <w:tcW w:w="8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Douglas Sewer Intermediate, LLC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10/19/2022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7.85%</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L+575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9,816,712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9,755,921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9,718,545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East Valley Tourist Development Authority</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03/07/2022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10.06%</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L+800</w:t>
            </w:r>
          </w:p>
        </w:tc>
        <w:tc>
          <w:tcPr>
            <w:tcW w:w="660" w:type="dxa"/>
            <w:vAlign w:val="bottom"/>
          </w:tcPr>
          <w:p>
            <w:pPr>
              <w:jc w:val="right"/>
              <w:spacing w:after="0"/>
              <w:rPr>
                <w:sz w:val="20"/>
                <w:szCs w:val="20"/>
                <w:color w:val="auto"/>
              </w:rPr>
            </w:pPr>
            <w:r>
              <w:rPr>
                <w:rFonts w:ascii="Arial" w:cs="Arial" w:eastAsia="Arial" w:hAnsi="Arial"/>
                <w:sz w:val="11"/>
                <w:szCs w:val="11"/>
                <w:color w:val="auto"/>
              </w:rPr>
              <w:t>18,592,082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18,478,010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18,406,161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eCommission Financial Services, Inc. </w:t>
            </w:r>
            <w:r>
              <w:rPr>
                <w:rFonts w:ascii="Arial" w:cs="Arial" w:eastAsia="Arial" w:hAnsi="Arial"/>
                <w:sz w:val="9"/>
                <w:szCs w:val="9"/>
                <w:color w:val="auto"/>
              </w:rPr>
              <w:t>(10)</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10/05/2023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7.07%</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21,564,375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21,564,375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21,564,375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eCommission Financial Services, Inc. (Revolver) </w:t>
            </w:r>
            <w:r>
              <w:rPr>
                <w:rFonts w:ascii="Arial" w:cs="Arial" w:eastAsia="Arial" w:hAnsi="Arial"/>
                <w:sz w:val="9"/>
                <w:szCs w:val="9"/>
                <w:color w:val="auto"/>
              </w:rPr>
              <w:t>(7), (9), (10)</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10/05/2023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Banking, Finance, Insurance &amp; Real Estate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Education Networks of America,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05/06/2021</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9.62%</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L+750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10,401,338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10,401,338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10,349,331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800" w:type="dxa"/>
            <w:vAlign w:val="bottom"/>
            <w:shd w:val="clear" w:color="auto" w:fill="CCECFF"/>
          </w:tcPr>
          <w:p>
            <w:pPr>
              <w:spacing w:after="0"/>
              <w:rPr>
                <w:sz w:val="11"/>
                <w:szCs w:val="11"/>
                <w:color w:val="auto"/>
              </w:rPr>
            </w:pPr>
          </w:p>
        </w:tc>
        <w:tc>
          <w:tcPr>
            <w:tcW w:w="24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(PIK 2.50%)</w:t>
            </w: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Education Networks of America,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05/06/2021</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Telecommunications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9.66%</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L+750</w:t>
            </w:r>
          </w:p>
        </w:tc>
        <w:tc>
          <w:tcPr>
            <w:tcW w:w="660" w:type="dxa"/>
            <w:vAlign w:val="bottom"/>
          </w:tcPr>
          <w:p>
            <w:pPr>
              <w:jc w:val="right"/>
              <w:spacing w:after="0"/>
              <w:rPr>
                <w:sz w:val="20"/>
                <w:szCs w:val="20"/>
                <w:color w:val="auto"/>
              </w:rPr>
            </w:pPr>
            <w:r>
              <w:rPr>
                <w:rFonts w:ascii="Arial" w:cs="Arial" w:eastAsia="Arial" w:hAnsi="Arial"/>
                <w:sz w:val="11"/>
                <w:szCs w:val="11"/>
                <w:color w:val="auto"/>
              </w:rPr>
              <w:t>2,189,535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2,189,535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2,178,587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Efficient Collaborative Retail Marketing Company,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06/15/2022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Media: Diversified and Production</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8.85%</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L+675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7,250,797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7,220,335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7,178,290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FlexPrint,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01/02/2024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8.61%</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L+620</w:t>
            </w:r>
          </w:p>
        </w:tc>
        <w:tc>
          <w:tcPr>
            <w:tcW w:w="660" w:type="dxa"/>
            <w:vAlign w:val="bottom"/>
          </w:tcPr>
          <w:p>
            <w:pPr>
              <w:jc w:val="right"/>
              <w:spacing w:after="0"/>
              <w:rPr>
                <w:sz w:val="20"/>
                <w:szCs w:val="20"/>
                <w:color w:val="auto"/>
              </w:rPr>
            </w:pPr>
            <w:r>
              <w:rPr>
                <w:rFonts w:ascii="Arial" w:cs="Arial" w:eastAsia="Arial" w:hAnsi="Arial"/>
                <w:sz w:val="11"/>
                <w:szCs w:val="11"/>
                <w:color w:val="auto"/>
              </w:rPr>
              <w:t>4,281,014</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4,213,518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4,216,799</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FlexPrint, LLC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01/02/2024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Professional Services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3,772,226</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(28,292)</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GCOM Software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8.37%</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12,112,187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11,880,407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12,112,187</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GCOM Software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11/14/2022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High Tech Industries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2,666,667</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Good2Grow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11/16/2023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Beverages</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3,137,000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(31,370)</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GSM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06/03/2024</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6.66%</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L+450</w:t>
            </w:r>
          </w:p>
        </w:tc>
        <w:tc>
          <w:tcPr>
            <w:tcW w:w="660" w:type="dxa"/>
            <w:vAlign w:val="bottom"/>
          </w:tcPr>
          <w:p>
            <w:pPr>
              <w:jc w:val="right"/>
              <w:spacing w:after="0"/>
              <w:rPr>
                <w:sz w:val="20"/>
                <w:szCs w:val="20"/>
                <w:color w:val="auto"/>
              </w:rPr>
            </w:pPr>
            <w:r>
              <w:rPr>
                <w:rFonts w:ascii="Arial" w:cs="Arial" w:eastAsia="Arial" w:hAnsi="Arial"/>
                <w:sz w:val="11"/>
                <w:szCs w:val="11"/>
                <w:color w:val="auto"/>
              </w:rPr>
              <w:t>19,325,409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19,215,204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19,132,154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06/03/2024</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6.69%</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L+450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5,938,737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5,938,737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5,879,350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GSM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06/03/2024</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1,187,747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(11,877)</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HW Holdco,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12/10/2024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Media</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8.39%</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7,491,774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7,422,604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7,491,774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12/10/2024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Media</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8.39%</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L+625</w:t>
            </w:r>
          </w:p>
        </w:tc>
        <w:tc>
          <w:tcPr>
            <w:tcW w:w="660" w:type="dxa"/>
            <w:vAlign w:val="bottom"/>
          </w:tcPr>
          <w:p>
            <w:pPr>
              <w:jc w:val="right"/>
              <w:spacing w:after="0"/>
              <w:rPr>
                <w:sz w:val="20"/>
                <w:szCs w:val="20"/>
                <w:color w:val="auto"/>
              </w:rPr>
            </w:pPr>
            <w:r>
              <w:rPr>
                <w:rFonts w:ascii="Arial" w:cs="Arial" w:eastAsia="Arial" w:hAnsi="Arial"/>
                <w:sz w:val="11"/>
                <w:szCs w:val="11"/>
                <w:color w:val="auto"/>
              </w:rPr>
              <w:t>209,032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209,032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209,032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HW Holdco, LLC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12/10/2024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Media</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1,242,581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IMIA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10/28/2024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Aerospace and Defense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1,968,504</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06/27/2023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Wholesale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8.72%</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12,807,129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12,742,367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12,679,058</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Innova Medical Ophthalmics Inc. </w:t>
            </w:r>
            <w:r>
              <w:rPr>
                <w:rFonts w:ascii="Arial" w:cs="Arial" w:eastAsia="Arial" w:hAnsi="Arial"/>
                <w:sz w:val="9"/>
                <w:szCs w:val="9"/>
                <w:color w:val="auto"/>
              </w:rPr>
              <w:t>(5), (10)</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04/13/2023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8.35%</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3,305,640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3,271,191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3,272,584</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9"/>
                <w:szCs w:val="9"/>
                <w:color w:val="auto"/>
              </w:rPr>
              <w:t>(5), (7), (10)</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04/13/2023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10.00%</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159,292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159,292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158,495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Innova Medical Ophthalmics Inc. (Revolver) </w:t>
            </w:r>
            <w:r>
              <w:rPr>
                <w:rFonts w:ascii="Arial" w:cs="Arial" w:eastAsia="Arial" w:hAnsi="Arial"/>
                <w:sz w:val="9"/>
                <w:szCs w:val="9"/>
                <w:color w:val="auto"/>
              </w:rPr>
              <w:t>(5), (7), (9), (10)</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04/13/2023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371,681</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(1,858)</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09/29/2023</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7"/>
              </w:rPr>
              <w:t>Consumer Services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6.85%</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25,755,126</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25,541,479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25,755,126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Integrative Nutrition, LLC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09/29/2023</w:t>
            </w:r>
          </w:p>
        </w:tc>
        <w:tc>
          <w:tcPr>
            <w:tcW w:w="2580" w:type="dxa"/>
            <w:vAlign w:val="bottom"/>
            <w:gridSpan w:val="2"/>
          </w:tcPr>
          <w:p>
            <w:pPr>
              <w:jc w:val="center"/>
              <w:ind w:right="60"/>
              <w:spacing w:after="0"/>
              <w:rPr>
                <w:sz w:val="20"/>
                <w:szCs w:val="20"/>
                <w:color w:val="auto"/>
              </w:rPr>
            </w:pPr>
            <w:r>
              <w:rPr>
                <w:rFonts w:ascii="Arial" w:cs="Arial" w:eastAsia="Arial" w:hAnsi="Arial"/>
                <w:sz w:val="11"/>
                <w:szCs w:val="11"/>
                <w:color w:val="auto"/>
                <w:w w:val="87"/>
              </w:rPr>
              <w:t>Consumer Services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Inventus Power, Inc.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04/30/2020</w:t>
            </w:r>
          </w:p>
        </w:tc>
        <w:tc>
          <w:tcPr>
            <w:tcW w:w="2580" w:type="dxa"/>
            <w:vAlign w:val="bottom"/>
            <w:gridSpan w:val="2"/>
            <w:shd w:val="clear" w:color="auto" w:fill="CCECFF"/>
          </w:tcPr>
          <w:p>
            <w:pPr>
              <w:jc w:val="center"/>
              <w:ind w:right="60"/>
              <w:spacing w:after="0"/>
              <w:rPr>
                <w:sz w:val="20"/>
                <w:szCs w:val="20"/>
                <w:color w:val="auto"/>
              </w:rPr>
            </w:pPr>
            <w:r>
              <w:rPr>
                <w:rFonts w:ascii="Arial" w:cs="Arial" w:eastAsia="Arial" w:hAnsi="Arial"/>
                <w:sz w:val="11"/>
                <w:szCs w:val="11"/>
                <w:color w:val="auto"/>
                <w:w w:val="88"/>
              </w:rPr>
              <w:t>Consumer Goods: Durable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8.54%</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L+650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4,105,494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4,100,506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3,777,055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12/20/2023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7.30%</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L+525</w:t>
            </w:r>
          </w:p>
        </w:tc>
        <w:tc>
          <w:tcPr>
            <w:tcW w:w="660" w:type="dxa"/>
            <w:vAlign w:val="bottom"/>
          </w:tcPr>
          <w:p>
            <w:pPr>
              <w:jc w:val="right"/>
              <w:spacing w:after="0"/>
              <w:rPr>
                <w:sz w:val="20"/>
                <w:szCs w:val="20"/>
                <w:color w:val="auto"/>
              </w:rPr>
            </w:pPr>
            <w:r>
              <w:rPr>
                <w:rFonts w:ascii="Arial" w:cs="Arial" w:eastAsia="Arial" w:hAnsi="Arial"/>
                <w:sz w:val="11"/>
                <w:szCs w:val="11"/>
                <w:color w:val="auto"/>
              </w:rPr>
              <w:t>500,000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493,950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K2 Pure Solutions NoCal, L.P. (Revolver)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12/20/2023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8"/>
              </w:rPr>
              <w:t>Chemicals, Plastics and Rubber</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928,571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CFF"/>
          </w:tcPr>
          <w:p>
            <w:pPr>
              <w:jc w:val="right"/>
              <w:ind w:right="80"/>
              <w:spacing w:after="0"/>
              <w:rPr>
                <w:sz w:val="20"/>
                <w:szCs w:val="20"/>
                <w:color w:val="auto"/>
              </w:rPr>
            </w:pPr>
            <w:r>
              <w:rPr>
                <w:rFonts w:ascii="Arial" w:cs="Arial" w:eastAsia="Arial" w:hAnsi="Arial"/>
                <w:sz w:val="11"/>
                <w:szCs w:val="11"/>
                <w:color w:val="auto"/>
              </w:rPr>
              <w:t>(11,236)</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Kentucky Downs, LLC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03/07/2025</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10.60%</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L+850</w:t>
            </w:r>
          </w:p>
        </w:tc>
        <w:tc>
          <w:tcPr>
            <w:tcW w:w="660" w:type="dxa"/>
            <w:vAlign w:val="bottom"/>
          </w:tcPr>
          <w:p>
            <w:pPr>
              <w:jc w:val="right"/>
              <w:spacing w:after="0"/>
              <w:rPr>
                <w:sz w:val="20"/>
                <w:szCs w:val="20"/>
                <w:color w:val="auto"/>
              </w:rPr>
            </w:pPr>
            <w:r>
              <w:rPr>
                <w:rFonts w:ascii="Arial" w:cs="Arial" w:eastAsia="Arial" w:hAnsi="Arial"/>
                <w:sz w:val="11"/>
                <w:szCs w:val="11"/>
                <w:color w:val="auto"/>
              </w:rPr>
              <w:t>5,429,692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5,327,414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5,429,692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Kentucky Downs, LLC </w:t>
            </w:r>
            <w:r>
              <w:rPr>
                <w:rFonts w:ascii="Arial" w:cs="Arial" w:eastAsia="Arial" w:hAnsi="Arial"/>
                <w:sz w:val="9"/>
                <w:szCs w:val="9"/>
                <w:color w:val="auto"/>
              </w:rPr>
              <w:t>(7), (9)</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03/07/2025</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7"/>
              </w:rPr>
              <w:t>Hotels, Restaurants and Leisure</w:t>
            </w:r>
          </w:p>
        </w:tc>
        <w:tc>
          <w:tcPr>
            <w:tcW w:w="78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1,344,828</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KHC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10/31/2022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Wholesale</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8.23%</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L+600</w:t>
            </w:r>
          </w:p>
        </w:tc>
        <w:tc>
          <w:tcPr>
            <w:tcW w:w="660" w:type="dxa"/>
            <w:vAlign w:val="bottom"/>
          </w:tcPr>
          <w:p>
            <w:pPr>
              <w:jc w:val="right"/>
              <w:spacing w:after="0"/>
              <w:rPr>
                <w:sz w:val="20"/>
                <w:szCs w:val="20"/>
                <w:color w:val="auto"/>
              </w:rPr>
            </w:pPr>
            <w:r>
              <w:rPr>
                <w:rFonts w:ascii="Arial" w:cs="Arial" w:eastAsia="Arial" w:hAnsi="Arial"/>
                <w:sz w:val="11"/>
                <w:szCs w:val="11"/>
                <w:color w:val="auto"/>
              </w:rPr>
              <w:t>12,031,250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11,925,121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12,031,250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KHC Holdings, Inc. (Revolver)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10/30/2020</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9"/>
              </w:rPr>
              <w:t>Wholesale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6.29%</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L+425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479,839</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479,839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479,839</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KHC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10/30/2020</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Wholesale</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729,839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Lago Resort &amp; Casino,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03/07/2022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0"/>
              </w:rPr>
              <w:t>Hotel, Gaming and Leisure</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11.60%</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L+950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9,316,000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9,224,654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9,176,260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LAV Gear Holdings,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10/31/2024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7.60%</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1M L+550</w:t>
            </w:r>
          </w:p>
        </w:tc>
        <w:tc>
          <w:tcPr>
            <w:tcW w:w="660" w:type="dxa"/>
            <w:vAlign w:val="bottom"/>
          </w:tcPr>
          <w:p>
            <w:pPr>
              <w:jc w:val="right"/>
              <w:spacing w:after="0"/>
              <w:rPr>
                <w:sz w:val="20"/>
                <w:szCs w:val="20"/>
                <w:color w:val="auto"/>
              </w:rPr>
            </w:pPr>
            <w:r>
              <w:rPr>
                <w:rFonts w:ascii="Arial" w:cs="Arial" w:eastAsia="Arial" w:hAnsi="Arial"/>
                <w:sz w:val="11"/>
                <w:szCs w:val="11"/>
                <w:color w:val="auto"/>
              </w:rPr>
              <w:t>8,357,143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8,311,279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8,349,621</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10/31/2024</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7.61%</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126,984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126,984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126,870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LAV Gear Holdings,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10/31/2024</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1,460,317</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(1,314)</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11/30/2021</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0.00%</w:t>
            </w:r>
          </w:p>
        </w:tc>
        <w:tc>
          <w:tcPr>
            <w:tcW w:w="120" w:type="dxa"/>
            <w:vAlign w:val="bottom"/>
            <w:shd w:val="clear" w:color="auto" w:fill="CCECFF"/>
          </w:tcPr>
          <w:p>
            <w:pPr>
              <w:jc w:val="right"/>
              <w:spacing w:after="0"/>
              <w:rPr>
                <w:sz w:val="20"/>
                <w:szCs w:val="20"/>
                <w:color w:val="auto"/>
              </w:rPr>
            </w:pPr>
            <w:r>
              <w:rPr>
                <w:rFonts w:ascii="Arial" w:cs="Arial" w:eastAsia="Arial" w:hAnsi="Arial"/>
                <w:sz w:val="9"/>
                <w:szCs w:val="9"/>
                <w:color w:val="auto"/>
                <w:w w:val="90"/>
              </w:rPr>
              <w:t>(6)</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4,736,107</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4,599,788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94,722</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Lombart Brothers, Inc.</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04/13/2022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tcPr>
          <w:p>
            <w:pPr>
              <w:jc w:val="right"/>
              <w:ind w:right="20"/>
              <w:spacing w:after="0"/>
              <w:rPr>
                <w:sz w:val="20"/>
                <w:szCs w:val="20"/>
                <w:color w:val="auto"/>
              </w:rPr>
            </w:pPr>
            <w:r>
              <w:rPr>
                <w:rFonts w:ascii="Arial" w:cs="Arial" w:eastAsia="Arial" w:hAnsi="Arial"/>
                <w:sz w:val="11"/>
                <w:szCs w:val="11"/>
                <w:color w:val="auto"/>
              </w:rPr>
              <w:t>8.35%</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3M L+625</w:t>
            </w:r>
          </w:p>
        </w:tc>
        <w:tc>
          <w:tcPr>
            <w:tcW w:w="660" w:type="dxa"/>
            <w:vAlign w:val="bottom"/>
          </w:tcPr>
          <w:p>
            <w:pPr>
              <w:jc w:val="right"/>
              <w:spacing w:after="0"/>
              <w:rPr>
                <w:sz w:val="20"/>
                <w:szCs w:val="20"/>
                <w:color w:val="auto"/>
              </w:rPr>
            </w:pPr>
            <w:r>
              <w:rPr>
                <w:rFonts w:ascii="Arial" w:cs="Arial" w:eastAsia="Arial" w:hAnsi="Arial"/>
                <w:sz w:val="11"/>
                <w:szCs w:val="11"/>
                <w:color w:val="auto"/>
              </w:rPr>
              <w:t>13,783,976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13,628,111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13,646,136</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04/13/2022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10.00%</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P+500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437,272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437,272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435,086</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Lombart Brothers, Inc.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04/13/2022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91"/>
              </w:rPr>
              <w:t>Capital Equipment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801,666</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(4,009)</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Long Island Vision Management, LLC</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09/11/2023</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7.05%</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3M L+475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8,165,763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8,114,887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8,124,934</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tcPr>
          <w:p>
            <w:pPr>
              <w:spacing w:after="0"/>
              <w:rPr>
                <w:sz w:val="20"/>
                <w:szCs w:val="20"/>
                <w:color w:val="auto"/>
              </w:rPr>
            </w:pPr>
            <w:r>
              <w:rPr>
                <w:rFonts w:ascii="Arial" w:cs="Arial" w:eastAsia="Arial" w:hAnsi="Arial"/>
                <w:sz w:val="11"/>
                <w:szCs w:val="11"/>
                <w:color w:val="auto"/>
              </w:rPr>
              <w:t xml:space="preserve">Long Island Vision Management, LLC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09/11/2023</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1,788,843</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(8,944)</w:t>
            </w: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Long’s Drugs Incorporated</w:t>
            </w:r>
          </w:p>
        </w:tc>
        <w:tc>
          <w:tcPr>
            <w:tcW w:w="800" w:type="dxa"/>
            <w:vAlign w:val="bottom"/>
            <w:shd w:val="clear" w:color="auto" w:fill="CCECFF"/>
          </w:tcPr>
          <w:p>
            <w:pPr>
              <w:jc w:val="center"/>
              <w:ind w:left="26"/>
              <w:spacing w:after="0"/>
              <w:rPr>
                <w:sz w:val="20"/>
                <w:szCs w:val="20"/>
                <w:color w:val="auto"/>
              </w:rPr>
            </w:pPr>
            <w:r>
              <w:rPr>
                <w:rFonts w:ascii="Arial" w:cs="Arial" w:eastAsia="Arial" w:hAnsi="Arial"/>
                <w:sz w:val="11"/>
                <w:szCs w:val="11"/>
                <w:color w:val="auto"/>
                <w:w w:val="87"/>
              </w:rPr>
              <w:t>08/19/2022</w:t>
            </w:r>
          </w:p>
        </w:tc>
        <w:tc>
          <w:tcPr>
            <w:tcW w:w="2580" w:type="dxa"/>
            <w:vAlign w:val="bottom"/>
            <w:gridSpan w:val="2"/>
            <w:shd w:val="clear" w:color="auto" w:fill="CCECFF"/>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78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7.10%</w:t>
            </w:r>
          </w:p>
        </w:tc>
        <w:tc>
          <w:tcPr>
            <w:tcW w:w="120" w:type="dxa"/>
            <w:vAlign w:val="bottom"/>
            <w:shd w:val="clear" w:color="auto" w:fill="CCECFF"/>
          </w:tcPr>
          <w:p>
            <w:pPr>
              <w:spacing w:after="0"/>
              <w:rPr>
                <w:sz w:val="11"/>
                <w:szCs w:val="11"/>
                <w:color w:val="auto"/>
              </w:rPr>
            </w:pP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1M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9,900,000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9,830,562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9,801,000</w:t>
            </w:r>
          </w:p>
        </w:tc>
        <w:tc>
          <w:tcPr>
            <w:tcW w:w="120" w:type="dxa"/>
            <w:vAlign w:val="bottom"/>
            <w:shd w:val="clear" w:color="auto" w:fill="CCECFF"/>
          </w:tcPr>
          <w:p>
            <w:pPr>
              <w:spacing w:after="0"/>
              <w:rPr>
                <w:sz w:val="11"/>
                <w:szCs w:val="11"/>
                <w:color w:val="auto"/>
              </w:rPr>
            </w:pPr>
          </w:p>
        </w:tc>
      </w:tr>
      <w:tr>
        <w:trPr>
          <w:trHeight w:val="140"/>
        </w:trPr>
        <w:tc>
          <w:tcPr>
            <w:tcW w:w="3360" w:type="dxa"/>
            <w:vAlign w:val="bottom"/>
          </w:tcPr>
          <w:p>
            <w:pPr>
              <w:spacing w:after="0"/>
              <w:rPr>
                <w:sz w:val="20"/>
                <w:szCs w:val="20"/>
                <w:color w:val="auto"/>
              </w:rPr>
            </w:pPr>
            <w:r>
              <w:rPr>
                <w:rFonts w:ascii="Arial" w:cs="Arial" w:eastAsia="Arial" w:hAnsi="Arial"/>
                <w:sz w:val="11"/>
                <w:szCs w:val="11"/>
                <w:color w:val="auto"/>
              </w:rPr>
              <w:t xml:space="preserve">Long’s Drugs Incorporated (Revolver) </w:t>
            </w:r>
            <w:r>
              <w:rPr>
                <w:rFonts w:ascii="Arial" w:cs="Arial" w:eastAsia="Arial" w:hAnsi="Arial"/>
                <w:sz w:val="9"/>
                <w:szCs w:val="9"/>
                <w:color w:val="auto"/>
              </w:rPr>
              <w:t>(7), (9)</w:t>
            </w:r>
          </w:p>
        </w:tc>
        <w:tc>
          <w:tcPr>
            <w:tcW w:w="800" w:type="dxa"/>
            <w:vAlign w:val="bottom"/>
          </w:tcPr>
          <w:p>
            <w:pPr>
              <w:jc w:val="center"/>
              <w:ind w:left="26"/>
              <w:spacing w:after="0"/>
              <w:rPr>
                <w:sz w:val="20"/>
                <w:szCs w:val="20"/>
                <w:color w:val="auto"/>
              </w:rPr>
            </w:pPr>
            <w:r>
              <w:rPr>
                <w:rFonts w:ascii="Arial" w:cs="Arial" w:eastAsia="Arial" w:hAnsi="Arial"/>
                <w:sz w:val="11"/>
                <w:szCs w:val="11"/>
                <w:color w:val="auto"/>
                <w:w w:val="87"/>
              </w:rPr>
              <w:t>08/19/2022</w:t>
            </w:r>
          </w:p>
        </w:tc>
        <w:tc>
          <w:tcPr>
            <w:tcW w:w="2580" w:type="dxa"/>
            <w:vAlign w:val="bottom"/>
            <w:gridSpan w:val="2"/>
          </w:tcPr>
          <w:p>
            <w:pPr>
              <w:jc w:val="center"/>
              <w:ind w:right="40"/>
              <w:spacing w:after="0"/>
              <w:rPr>
                <w:sz w:val="20"/>
                <w:szCs w:val="20"/>
                <w:color w:val="auto"/>
              </w:rPr>
            </w:pPr>
            <w:r>
              <w:rPr>
                <w:rFonts w:ascii="Arial" w:cs="Arial" w:eastAsia="Arial" w:hAnsi="Arial"/>
                <w:sz w:val="11"/>
                <w:szCs w:val="11"/>
                <w:color w:val="auto"/>
                <w:w w:val="86"/>
              </w:rPr>
              <w:t>Healthcare and Pharmaceuticals</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3,000,000</w:t>
            </w:r>
          </w:p>
        </w:tc>
        <w:tc>
          <w:tcPr>
            <w:tcW w:w="2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(60,000)</w:t>
            </w:r>
          </w:p>
        </w:tc>
      </w:tr>
    </w:tbl>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Spread</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6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Above</w:t>
            </w:r>
          </w:p>
        </w:tc>
        <w:tc>
          <w:tcPr>
            <w:tcW w:w="220" w:type="dxa"/>
            <w:vAlign w:val="bottom"/>
          </w:tcPr>
          <w:p>
            <w:pPr>
              <w:spacing w:after="0"/>
              <w:rPr>
                <w:sz w:val="10"/>
                <w:szCs w:val="10"/>
                <w:color w:val="auto"/>
              </w:rPr>
            </w:pPr>
          </w:p>
        </w:tc>
        <w:tc>
          <w:tcPr>
            <w:tcW w:w="920" w:type="dxa"/>
            <w:vAlign w:val="bottom"/>
            <w:gridSpan w:val="2"/>
          </w:tcPr>
          <w:p>
            <w:pPr>
              <w:ind w:left="240"/>
              <w:spacing w:after="0" w:line="122" w:lineRule="exact"/>
              <w:rPr>
                <w:sz w:val="20"/>
                <w:szCs w:val="20"/>
                <w:color w:val="auto"/>
              </w:rPr>
            </w:pPr>
            <w:r>
              <w:rPr>
                <w:rFonts w:ascii="Arial" w:cs="Arial" w:eastAsia="Arial" w:hAnsi="Arial"/>
                <w:sz w:val="11"/>
                <w:szCs w:val="11"/>
                <w:b w:val="1"/>
                <w:bCs w:val="1"/>
                <w:color w:val="auto"/>
              </w:rPr>
              <w:t>Par /</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Borders>
              <w:bottom w:val="single" w:sz="8" w:color="CCECFF"/>
            </w:tcBorders>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8"/>
              </w:rPr>
              <w:t>Maturity</w:t>
            </w:r>
          </w:p>
        </w:tc>
        <w:tc>
          <w:tcPr>
            <w:tcW w:w="120" w:type="dxa"/>
            <w:vAlign w:val="bottom"/>
            <w:tcBorders>
              <w:bottom w:val="single" w:sz="8" w:color="CCECFF"/>
            </w:tcBorders>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Shares</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b w:val="1"/>
                <w:bCs w:val="1"/>
                <w:color w:val="auto"/>
              </w:rPr>
              <w:t>Cost</w:t>
            </w:r>
          </w:p>
        </w:tc>
        <w:tc>
          <w:tcPr>
            <w:tcW w:w="220" w:type="dxa"/>
            <w:vAlign w:val="bottom"/>
            <w:tcBorders>
              <w:bottom w:val="single" w:sz="8" w:color="CCECFF"/>
            </w:tcBorders>
          </w:tcPr>
          <w:p>
            <w:pPr>
              <w:spacing w:after="0"/>
              <w:rPr>
                <w:sz w:val="11"/>
                <w:szCs w:val="11"/>
                <w:color w:val="auto"/>
              </w:rPr>
            </w:pPr>
          </w:p>
        </w:tc>
        <w:tc>
          <w:tcPr>
            <w:tcW w:w="72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5"/>
              </w:rPr>
              <w:t xml:space="preserve">Fair Value </w:t>
            </w:r>
            <w:r>
              <w:rPr>
                <w:rFonts w:ascii="Arial" w:cs="Arial" w:eastAsia="Arial" w:hAnsi="Arial"/>
                <w:sz w:val="9"/>
                <w:szCs w:val="9"/>
                <w:b w:val="1"/>
                <w:bCs w:val="1"/>
                <w:color w:val="auto"/>
                <w:w w:val="95"/>
              </w:rPr>
              <w:t>(2)</w:t>
            </w:r>
          </w:p>
        </w:tc>
        <w:tc>
          <w:tcPr>
            <w:tcW w:w="120" w:type="dxa"/>
            <w:vAlign w:val="bottom"/>
            <w:tcBorders>
              <w:bottom w:val="single" w:sz="8" w:color="CCECFF"/>
            </w:tcBorders>
          </w:tcPr>
          <w:p>
            <w:pPr>
              <w:spacing w:after="0"/>
              <w:rPr>
                <w:sz w:val="11"/>
                <w:szCs w:val="11"/>
                <w:color w:val="auto"/>
              </w:rPr>
            </w:pPr>
          </w:p>
        </w:tc>
      </w:tr>
      <w:tr>
        <w:trPr>
          <w:trHeight w:val="128"/>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LSF9 Atlantis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05/01/2023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Retail</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8.04%</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13,684,375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3"/>
              </w:rPr>
              <w:t>$   13,590,322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6"/>
              </w:rPr>
              <w:t>$   12,711,826</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Manna Pro Products, LLC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12/08/2023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8.11%</w:t>
            </w:r>
          </w:p>
        </w:tc>
        <w:tc>
          <w:tcPr>
            <w:tcW w:w="680" w:type="dxa"/>
            <w:vAlign w:val="bottom"/>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8,390,000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8,327,947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8,159,275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Marketplace Events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01/27/2023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7.35%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5,312,015</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5,243,388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5,245,616</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(11)</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7.20%</w:t>
            </w:r>
          </w:p>
        </w:tc>
        <w:tc>
          <w:tcPr>
            <w:tcW w:w="680" w:type="dxa"/>
            <w:vAlign w:val="bottom"/>
          </w:tcPr>
          <w:p>
            <w:pPr>
              <w:jc w:val="right"/>
              <w:spacing w:after="0"/>
              <w:rPr>
                <w:sz w:val="20"/>
                <w:szCs w:val="20"/>
                <w:color w:val="auto"/>
              </w:rPr>
            </w:pPr>
            <w:r>
              <w:rPr>
                <w:rFonts w:ascii="Arial" w:cs="Arial" w:eastAsia="Arial" w:hAnsi="Arial"/>
                <w:sz w:val="11"/>
                <w:szCs w:val="11"/>
                <w:color w:val="auto"/>
              </w:rPr>
              <w:t>P+275</w:t>
            </w:r>
          </w:p>
        </w:tc>
        <w:tc>
          <w:tcPr>
            <w:tcW w:w="1140" w:type="dxa"/>
            <w:vAlign w:val="bottom"/>
            <w:gridSpan w:val="3"/>
          </w:tcPr>
          <w:p>
            <w:pPr>
              <w:ind w:left="140"/>
              <w:spacing w:after="0"/>
              <w:rPr>
                <w:sz w:val="20"/>
                <w:szCs w:val="20"/>
                <w:color w:val="auto"/>
              </w:rPr>
            </w:pPr>
            <w:r>
              <w:rPr>
                <w:rFonts w:ascii="Arial" w:cs="Arial" w:eastAsia="Arial" w:hAnsi="Arial"/>
                <w:sz w:val="11"/>
                <w:szCs w:val="11"/>
                <w:color w:val="auto"/>
              </w:rPr>
              <w:t>C $   16,299,990</w:t>
            </w:r>
          </w:p>
        </w:tc>
        <w:tc>
          <w:tcPr>
            <w:tcW w:w="700" w:type="dxa"/>
            <w:vAlign w:val="bottom"/>
          </w:tcPr>
          <w:p>
            <w:pPr>
              <w:jc w:val="right"/>
              <w:spacing w:after="0"/>
              <w:rPr>
                <w:sz w:val="20"/>
                <w:szCs w:val="20"/>
                <w:color w:val="auto"/>
              </w:rPr>
            </w:pPr>
            <w:r>
              <w:rPr>
                <w:rFonts w:ascii="Arial" w:cs="Arial" w:eastAsia="Arial" w:hAnsi="Arial"/>
                <w:sz w:val="11"/>
                <w:szCs w:val="11"/>
                <w:color w:val="auto"/>
              </w:rPr>
              <w:t>11,428,057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12,311,171</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Marketplace Events LLC (Revolver)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01/27/2023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P+275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476,886</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476,886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476,886</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Marketplace Events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01/27/2023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1,226,277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MeritDirect,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05/23/2024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8.06%</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34,772,838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34,280,848</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34,251,245</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MeritDirect,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05/23/2024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Media</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4,481,655</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(67,225)</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09/28/2021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7.18%</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212,014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212,014</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212,014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Mission Critical Electronics, Inc.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09/28/2021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1,113,074</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Montreign Operating Company,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01/24/2023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Hotel, Gaming and Leisure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10.37%</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27,189,858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27,394,375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24,344,712</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Nuvei Technologies Corp. </w:t>
            </w:r>
            <w:r>
              <w:rPr>
                <w:rFonts w:ascii="Arial" w:cs="Arial" w:eastAsia="Arial" w:hAnsi="Arial"/>
                <w:sz w:val="9"/>
                <w:szCs w:val="9"/>
                <w:color w:val="auto"/>
              </w:rPr>
              <w:t>(5), (10)</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09/28/2025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Diversified Financial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8.43%</w:t>
            </w:r>
          </w:p>
        </w:tc>
        <w:tc>
          <w:tcPr>
            <w:tcW w:w="680" w:type="dxa"/>
            <w:vAlign w:val="bottom"/>
          </w:tcPr>
          <w:p>
            <w:pPr>
              <w:jc w:val="right"/>
              <w:spacing w:after="0"/>
              <w:rPr>
                <w:sz w:val="20"/>
                <w:szCs w:val="20"/>
                <w:color w:val="auto"/>
              </w:rPr>
            </w:pPr>
            <w:r>
              <w:rPr>
                <w:rFonts w:ascii="Arial" w:cs="Arial" w:eastAsia="Arial" w:hAnsi="Arial"/>
                <w:sz w:val="11"/>
                <w:szCs w:val="11"/>
                <w:color w:val="auto"/>
              </w:rPr>
              <w:t>P+400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19,949,780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19,652,494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19,650,534</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05/14/2024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6.54%</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1,575,476</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1,559,721</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1,575,476</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Olde Thompson, LLC -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05/14/2024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2,642,857</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Output Services Group,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03/27/2024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6.54%</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2,962,422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2,684,289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2,547,683</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Ox Two, LLC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8.29%</w:t>
            </w:r>
          </w:p>
        </w:tc>
        <w:tc>
          <w:tcPr>
            <w:tcW w:w="68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12,780,524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12,708,453</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12,780,524</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02/27/2023</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12.25%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P+725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508,444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508,444</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508,444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Ox Two,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02/27/2023</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47,111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Peninsula Pacific Entertainment LLC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87"/>
              </w:rPr>
              <w:t>11/13/2024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Hotel, Gaming and Leisure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9.35%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13,275,810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13,225,232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13,275,810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Pestell Minerals and Ingredients Inc. </w:t>
            </w:r>
            <w:r>
              <w:rPr>
                <w:rFonts w:ascii="Arial" w:cs="Arial" w:eastAsia="Arial" w:hAnsi="Arial"/>
                <w:sz w:val="9"/>
                <w:szCs w:val="9"/>
                <w:color w:val="auto"/>
              </w:rPr>
              <w:t>(5), (10)</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06/01/2023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7.57%</w:t>
            </w:r>
          </w:p>
        </w:tc>
        <w:tc>
          <w:tcPr>
            <w:tcW w:w="680" w:type="dxa"/>
            <w:vAlign w:val="bottom"/>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14,887,500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14,769,736</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14,738,625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Plant Health Intermediate, Inc.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10/19/2022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8.00%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2,113,704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2,087,235</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2,092,567</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PlayPower, Inc.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05/08/2026</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Leisure Products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7.60%</w:t>
            </w:r>
          </w:p>
        </w:tc>
        <w:tc>
          <w:tcPr>
            <w:tcW w:w="680" w:type="dxa"/>
            <w:vAlign w:val="bottom"/>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5,586,000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5,531,151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5,579,018</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PRA Events,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08/08/2022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9.11%</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2,585,319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2,543,697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2,585,319</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Quantum Spatial, Inc.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09/04/2024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7.32%</w:t>
            </w:r>
          </w:p>
        </w:tc>
        <w:tc>
          <w:tcPr>
            <w:tcW w:w="680" w:type="dxa"/>
            <w:vAlign w:val="bottom"/>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19,000,000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18,717,745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18,715,000</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Questex,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09/09/2024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7.11%</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7,425,000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7,297,539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7,350,750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Questex,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09/09/2024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1,196,809</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(11,968)</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Research Horizons,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06/28/2022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8.36%</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7,241,807</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7,167,727</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7,096,971</w:t>
            </w: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Research Now Group, Inc. and Survey Sampling</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12/20/2024</w:t>
            </w:r>
          </w:p>
        </w:tc>
        <w:tc>
          <w:tcPr>
            <w:tcW w:w="1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7.84%</w:t>
            </w:r>
          </w:p>
        </w:tc>
        <w:tc>
          <w:tcPr>
            <w:tcW w:w="680" w:type="dxa"/>
            <w:vAlign w:val="bottom"/>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24,562,500</w:t>
            </w:r>
          </w:p>
        </w:tc>
        <w:tc>
          <w:tcPr>
            <w:tcW w:w="2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23,577,849</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24,600,818</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International LLC</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Riverpoint Medical,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06/20/2025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7.39%</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4,987,500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4,938,821</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4,961,565</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Riverpoint Medical,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06/20/2025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Equipment and Supplies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909,091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(4,727)</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Salient CRGT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02/28/2022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8.05%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1,771,740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1,752,209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1,674,294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Schlesinger Global, Inc.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7.14%</w:t>
            </w:r>
          </w:p>
        </w:tc>
        <w:tc>
          <w:tcPr>
            <w:tcW w:w="680" w:type="dxa"/>
            <w:vAlign w:val="bottom"/>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18,256,482</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17,988,515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18,256,482</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Schlesinger Global, Inc.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4,007,789</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07/14/2025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7.82%</w:t>
            </w:r>
          </w:p>
        </w:tc>
        <w:tc>
          <w:tcPr>
            <w:tcW w:w="680" w:type="dxa"/>
            <w:vAlign w:val="bottom"/>
          </w:tcPr>
          <w:p>
            <w:pPr>
              <w:jc w:val="right"/>
              <w:spacing w:after="0"/>
              <w:rPr>
                <w:sz w:val="20"/>
                <w:szCs w:val="20"/>
                <w:color w:val="auto"/>
              </w:rPr>
            </w:pPr>
            <w:r>
              <w:rPr>
                <w:rFonts w:ascii="Arial" w:cs="Arial" w:eastAsia="Arial" w:hAnsi="Arial"/>
                <w:sz w:val="11"/>
                <w:szCs w:val="11"/>
                <w:color w:val="auto"/>
              </w:rPr>
              <w:t>3M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667,965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667,965</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667,965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Schlesinger Global, Inc. (Revolver)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07/14/2025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1,202,337</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Signature Systems Holding Company</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05/03/2024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8.60%</w:t>
            </w:r>
          </w:p>
        </w:tc>
        <w:tc>
          <w:tcPr>
            <w:tcW w:w="680" w:type="dxa"/>
            <w:vAlign w:val="bottom"/>
          </w:tcPr>
          <w:p>
            <w:pPr>
              <w:jc w:val="right"/>
              <w:spacing w:after="0"/>
              <w:rPr>
                <w:sz w:val="20"/>
                <w:szCs w:val="20"/>
                <w:color w:val="auto"/>
              </w:rPr>
            </w:pPr>
            <w:r>
              <w:rPr>
                <w:rFonts w:ascii="Arial" w:cs="Arial" w:eastAsia="Arial" w:hAnsi="Arial"/>
                <w:sz w:val="11"/>
                <w:szCs w:val="11"/>
                <w:color w:val="auto"/>
              </w:rPr>
              <w:t>1M L+650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12,918,768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12,735,120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12,918,768</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Signature Systems Holding Company (Revolver)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05/03/2024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1,747,312</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6.64%</w:t>
            </w:r>
          </w:p>
        </w:tc>
        <w:tc>
          <w:tcPr>
            <w:tcW w:w="680" w:type="dxa"/>
            <w:vAlign w:val="bottom"/>
          </w:tcPr>
          <w:p>
            <w:pPr>
              <w:jc w:val="right"/>
              <w:spacing w:after="0"/>
              <w:rPr>
                <w:sz w:val="20"/>
                <w:szCs w:val="20"/>
                <w:color w:val="auto"/>
              </w:rPr>
            </w:pPr>
            <w:r>
              <w:rPr>
                <w:rFonts w:ascii="Arial" w:cs="Arial" w:eastAsia="Arial" w:hAnsi="Arial"/>
                <w:sz w:val="11"/>
                <w:szCs w:val="11"/>
                <w:color w:val="auto"/>
              </w:rPr>
              <w:t>1M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2,136,667</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2,136,667</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2,115,300</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Smile Brands Inc.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2,362,585</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(23,626)</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10/14/2024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8.61%</w:t>
            </w:r>
          </w:p>
        </w:tc>
        <w:tc>
          <w:tcPr>
            <w:tcW w:w="680" w:type="dxa"/>
            <w:vAlign w:val="bottom"/>
          </w:tcPr>
          <w:p>
            <w:pPr>
              <w:jc w:val="right"/>
              <w:spacing w:after="0"/>
              <w:rPr>
                <w:sz w:val="20"/>
                <w:szCs w:val="20"/>
                <w:color w:val="auto"/>
              </w:rPr>
            </w:pPr>
            <w:r>
              <w:rPr>
                <w:rFonts w:ascii="Arial" w:cs="Arial" w:eastAsia="Arial" w:hAnsi="Arial"/>
                <w:sz w:val="11"/>
                <w:szCs w:val="11"/>
                <w:color w:val="auto"/>
              </w:rPr>
              <w:t>P+350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242,438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242,438</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238,025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Smile Brands Inc. (Revolver)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10/14/2024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1,373,813</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(25,003)</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07/19/2021</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8.23%</w:t>
            </w:r>
          </w:p>
        </w:tc>
        <w:tc>
          <w:tcPr>
            <w:tcW w:w="680" w:type="dxa"/>
            <w:vAlign w:val="bottom"/>
          </w:tcPr>
          <w:p>
            <w:pPr>
              <w:jc w:val="right"/>
              <w:spacing w:after="0"/>
              <w:rPr>
                <w:sz w:val="20"/>
                <w:szCs w:val="20"/>
                <w:color w:val="auto"/>
              </w:rPr>
            </w:pPr>
            <w:r>
              <w:rPr>
                <w:rFonts w:ascii="Arial" w:cs="Arial" w:eastAsia="Arial" w:hAnsi="Arial"/>
                <w:sz w:val="11"/>
                <w:szCs w:val="11"/>
                <w:color w:val="auto"/>
              </w:rPr>
              <w:t>3M L+600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50,000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46,500</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Snak Club, LLC (Revolver)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07/19/2021</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445,136</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(31,160)</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01/17/2024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7.83%</w:t>
            </w:r>
          </w:p>
        </w:tc>
        <w:tc>
          <w:tcPr>
            <w:tcW w:w="680" w:type="dxa"/>
            <w:vAlign w:val="bottom"/>
          </w:tcPr>
          <w:p>
            <w:pPr>
              <w:jc w:val="right"/>
              <w:spacing w:after="0"/>
              <w:rPr>
                <w:sz w:val="20"/>
                <w:szCs w:val="20"/>
                <w:color w:val="auto"/>
              </w:rPr>
            </w:pPr>
            <w:r>
              <w:rPr>
                <w:rFonts w:ascii="Arial" w:cs="Arial" w:eastAsia="Arial" w:hAnsi="Arial"/>
                <w:sz w:val="11"/>
                <w:szCs w:val="11"/>
                <w:color w:val="auto"/>
              </w:rPr>
              <w:t>3M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13,253,400</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13,019,272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13,082,432</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Solutionreach, Inc.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01/17/2024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Healthcare Technology</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1,665,000</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(21,478)</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TeleGuam Holdings, LLC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07/25/2023</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7.10%</w:t>
            </w:r>
          </w:p>
        </w:tc>
        <w:tc>
          <w:tcPr>
            <w:tcW w:w="680" w:type="dxa"/>
            <w:vAlign w:val="bottom"/>
          </w:tcPr>
          <w:p>
            <w:pPr>
              <w:jc w:val="right"/>
              <w:spacing w:after="0"/>
              <w:rPr>
                <w:sz w:val="20"/>
                <w:szCs w:val="20"/>
                <w:color w:val="auto"/>
              </w:rPr>
            </w:pPr>
            <w:r>
              <w:rPr>
                <w:rFonts w:ascii="Arial" w:cs="Arial" w:eastAsia="Arial" w:hAnsi="Arial"/>
                <w:sz w:val="11"/>
                <w:szCs w:val="11"/>
                <w:color w:val="auto"/>
              </w:rPr>
              <w:t>1M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7,473,846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7,393,786</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7,399,108</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07/18/2025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Diversified Financial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7.45%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9,600,726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9,525,000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Tensar Corporation</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07/09/2021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Construction and Building</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6.85%</w:t>
            </w:r>
          </w:p>
        </w:tc>
        <w:tc>
          <w:tcPr>
            <w:tcW w:w="680" w:type="dxa"/>
            <w:vAlign w:val="bottom"/>
          </w:tcPr>
          <w:p>
            <w:pPr>
              <w:jc w:val="right"/>
              <w:spacing w:after="0"/>
              <w:rPr>
                <w:sz w:val="20"/>
                <w:szCs w:val="20"/>
                <w:color w:val="auto"/>
              </w:rPr>
            </w:pPr>
            <w:r>
              <w:rPr>
                <w:rFonts w:ascii="Arial" w:cs="Arial" w:eastAsia="Arial" w:hAnsi="Arial"/>
                <w:sz w:val="11"/>
                <w:szCs w:val="11"/>
                <w:color w:val="auto"/>
              </w:rPr>
              <w:t>3M L+475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22,620,696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22,523,390</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21,715,869</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09/16/2024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7.37%</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18,667,460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18,511,339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18,480,783</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The Original Cakerie, Co. </w:t>
            </w:r>
            <w:r>
              <w:rPr>
                <w:rFonts w:ascii="Arial" w:cs="Arial" w:eastAsia="Arial" w:hAnsi="Arial"/>
                <w:sz w:val="9"/>
                <w:szCs w:val="9"/>
                <w:color w:val="auto"/>
              </w:rPr>
              <w:t>(5), (10)</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7.15%</w:t>
            </w:r>
          </w:p>
        </w:tc>
        <w:tc>
          <w:tcPr>
            <w:tcW w:w="680" w:type="dxa"/>
            <w:vAlign w:val="bottom"/>
          </w:tcPr>
          <w:p>
            <w:pPr>
              <w:jc w:val="right"/>
              <w:spacing w:after="0"/>
              <w:rPr>
                <w:sz w:val="20"/>
                <w:szCs w:val="20"/>
                <w:color w:val="auto"/>
              </w:rPr>
            </w:pPr>
            <w:r>
              <w:rPr>
                <w:rFonts w:ascii="Arial" w:cs="Arial" w:eastAsia="Arial" w:hAnsi="Arial"/>
                <w:sz w:val="11"/>
                <w:szCs w:val="11"/>
                <w:color w:val="auto"/>
              </w:rPr>
              <w:t>2M L+500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7,624,976</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7,550,542</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7,586,851</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The Original Cakerie Ltd. </w:t>
            </w:r>
            <w:r>
              <w:rPr>
                <w:rFonts w:ascii="Arial" w:cs="Arial" w:eastAsia="Arial" w:hAnsi="Arial"/>
                <w:sz w:val="9"/>
                <w:szCs w:val="9"/>
                <w:color w:val="auto"/>
              </w:rPr>
              <w:t>(5), (10)</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07/20/2022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6.65%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5,431,292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5,398,553</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5,404,135</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9"/>
                <w:szCs w:val="9"/>
                <w:color w:val="auto"/>
              </w:rPr>
              <w:t>(5), (7), (10)</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07/20/2022</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6.65%</w:t>
            </w:r>
          </w:p>
        </w:tc>
        <w:tc>
          <w:tcPr>
            <w:tcW w:w="680" w:type="dxa"/>
            <w:vAlign w:val="bottom"/>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170,218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170,218</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169,367</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The Original Cakerie Ltd. (Revolver) </w:t>
            </w:r>
            <w:r>
              <w:rPr>
                <w:rFonts w:ascii="Arial" w:cs="Arial" w:eastAsia="Arial" w:hAnsi="Arial"/>
                <w:sz w:val="9"/>
                <w:szCs w:val="9"/>
                <w:color w:val="auto"/>
              </w:rPr>
              <w:t>(5), (7), (9), (10)</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07/20/2022</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1,248,266</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(6,241)</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Triad Manufacturing, Inc.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12/28/2020</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13.29%</w:t>
            </w:r>
          </w:p>
        </w:tc>
        <w:tc>
          <w:tcPr>
            <w:tcW w:w="680" w:type="dxa"/>
            <w:vAlign w:val="bottom"/>
          </w:tcPr>
          <w:p>
            <w:pPr>
              <w:jc w:val="right"/>
              <w:spacing w:after="0"/>
              <w:rPr>
                <w:sz w:val="20"/>
                <w:szCs w:val="20"/>
                <w:color w:val="auto"/>
              </w:rPr>
            </w:pPr>
            <w:r>
              <w:rPr>
                <w:rFonts w:ascii="Arial" w:cs="Arial" w:eastAsia="Arial" w:hAnsi="Arial"/>
                <w:sz w:val="11"/>
                <w:szCs w:val="11"/>
                <w:color w:val="auto"/>
              </w:rPr>
              <w:t>1M L+1,125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7,710,575</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7,664,214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7,633,469</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01/18/2024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7.61%</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5,928,804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5,824,179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5,928,804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TVC Enterprises, LLC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01/18/2024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1,955,719</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01/18/2024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7.61%</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467,022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467,022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467,022</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TVC Enterprises,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01/18/2024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Professional Services</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836,791</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06/16/2025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8.28%</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7,075,000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6,906,190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6,933,500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06/16/2025</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8.28%</w:t>
            </w:r>
          </w:p>
        </w:tc>
        <w:tc>
          <w:tcPr>
            <w:tcW w:w="680" w:type="dxa"/>
            <w:vAlign w:val="bottom"/>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808,571</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808,571</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792,400</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TWS Acquisition Corporation (Revolver) </w:t>
            </w:r>
            <w:r>
              <w:rPr>
                <w:rFonts w:ascii="Arial" w:cs="Arial" w:eastAsia="Arial" w:hAnsi="Arial"/>
                <w:sz w:val="9"/>
                <w:szCs w:val="9"/>
                <w:color w:val="auto"/>
              </w:rPr>
              <w:t>(7), (9)</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06/16/2025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Diversified Consumer Services</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1,819,286</w:t>
            </w:r>
          </w:p>
        </w:tc>
        <w:tc>
          <w:tcPr>
            <w:tcW w:w="22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ECFF"/>
          </w:tcPr>
          <w:p>
            <w:pPr>
              <w:jc w:val="right"/>
              <w:ind w:right="80"/>
              <w:spacing w:after="0"/>
              <w:rPr>
                <w:sz w:val="20"/>
                <w:szCs w:val="20"/>
                <w:color w:val="auto"/>
              </w:rPr>
            </w:pPr>
            <w:r>
              <w:rPr>
                <w:rFonts w:ascii="Arial" w:cs="Arial" w:eastAsia="Arial" w:hAnsi="Arial"/>
                <w:sz w:val="11"/>
                <w:szCs w:val="11"/>
                <w:color w:val="auto"/>
              </w:rPr>
              <w:t>(36,385)</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Tyto Athene, LLC</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08/27/2024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7.80%</w:t>
            </w:r>
          </w:p>
        </w:tc>
        <w:tc>
          <w:tcPr>
            <w:tcW w:w="680" w:type="dxa"/>
            <w:vAlign w:val="bottom"/>
          </w:tcPr>
          <w:p>
            <w:pPr>
              <w:jc w:val="right"/>
              <w:spacing w:after="0"/>
              <w:rPr>
                <w:sz w:val="20"/>
                <w:szCs w:val="20"/>
                <w:color w:val="auto"/>
              </w:rPr>
            </w:pPr>
            <w:r>
              <w:rPr>
                <w:rFonts w:ascii="Arial" w:cs="Arial" w:eastAsia="Arial" w:hAnsi="Arial"/>
                <w:sz w:val="11"/>
                <w:szCs w:val="11"/>
                <w:color w:val="auto"/>
              </w:rPr>
              <w:t>1M L+575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18,000,068</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17,763,278</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17,463,665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08/27/2024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7.80%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4,465,909</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4,465,909</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4,332,825</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Tyto Athene,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08/27/2024</w:t>
            </w:r>
          </w:p>
        </w:tc>
        <w:tc>
          <w:tcPr>
            <w:tcW w:w="1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2,352,273</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(70,098)</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UBEO, LLC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04/03/2024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6.75%</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14,169,914</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14,069,246</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14,028,214</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UBEO, LLC (Revolver) </w:t>
            </w:r>
            <w:r>
              <w:rPr>
                <w:rFonts w:ascii="Arial" w:cs="Arial" w:eastAsia="Arial" w:hAnsi="Arial"/>
                <w:sz w:val="9"/>
                <w:szCs w:val="9"/>
                <w:color w:val="auto"/>
              </w:rPr>
              <w:t>(7), (9)</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04/03/2024</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Capital Equipment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2,933,333</w:t>
            </w:r>
          </w:p>
        </w:tc>
        <w:tc>
          <w:tcPr>
            <w:tcW w:w="220" w:type="dxa"/>
            <w:vAlign w:val="bottom"/>
          </w:tcPr>
          <w:p>
            <w:pPr>
              <w:spacing w:after="0"/>
              <w:rPr>
                <w:sz w:val="11"/>
                <w:szCs w:val="11"/>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(38,661)</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UniTek Global Services, Inc.</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08/20/2024</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8.42%</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10,395,000</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10,209,742</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9,771,301</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US Med Acquisition, Inc. </w:t>
            </w:r>
            <w:r>
              <w:rPr>
                <w:rFonts w:ascii="Arial" w:cs="Arial" w:eastAsia="Arial" w:hAnsi="Arial"/>
                <w:sz w:val="9"/>
                <w:szCs w:val="9"/>
                <w:color w:val="auto"/>
              </w:rPr>
              <w:t>(7)</w:t>
            </w:r>
          </w:p>
        </w:tc>
        <w:tc>
          <w:tcPr>
            <w:tcW w:w="640" w:type="dxa"/>
            <w:vAlign w:val="bottom"/>
          </w:tcPr>
          <w:p>
            <w:pPr>
              <w:jc w:val="center"/>
              <w:spacing w:after="0"/>
              <w:rPr>
                <w:sz w:val="20"/>
                <w:szCs w:val="20"/>
                <w:color w:val="auto"/>
              </w:rPr>
            </w:pPr>
            <w:r>
              <w:rPr>
                <w:rFonts w:ascii="Arial" w:cs="Arial" w:eastAsia="Arial" w:hAnsi="Arial"/>
                <w:sz w:val="11"/>
                <w:szCs w:val="11"/>
                <w:color w:val="auto"/>
                <w:w w:val="90"/>
              </w:rPr>
              <w:t>08/13/2021</w:t>
            </w:r>
          </w:p>
        </w:tc>
        <w:tc>
          <w:tcPr>
            <w:tcW w:w="1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Healthcare and Pharmaceuticals</w:t>
            </w:r>
          </w:p>
        </w:tc>
        <w:tc>
          <w:tcPr>
            <w:tcW w:w="900" w:type="dxa"/>
            <w:vAlign w:val="bottom"/>
            <w:gridSpan w:val="2"/>
          </w:tcPr>
          <w:p>
            <w:pPr>
              <w:jc w:val="right"/>
              <w:ind w:right="140"/>
              <w:spacing w:after="0"/>
              <w:rPr>
                <w:sz w:val="20"/>
                <w:szCs w:val="20"/>
                <w:color w:val="auto"/>
              </w:rPr>
            </w:pPr>
            <w:r>
              <w:rPr>
                <w:rFonts w:ascii="Arial" w:cs="Arial" w:eastAsia="Arial" w:hAnsi="Arial"/>
                <w:sz w:val="11"/>
                <w:szCs w:val="11"/>
                <w:color w:val="auto"/>
              </w:rPr>
              <w:t>11.10%</w:t>
            </w:r>
          </w:p>
        </w:tc>
        <w:tc>
          <w:tcPr>
            <w:tcW w:w="680" w:type="dxa"/>
            <w:vAlign w:val="bottom"/>
          </w:tcPr>
          <w:p>
            <w:pPr>
              <w:jc w:val="right"/>
              <w:spacing w:after="0"/>
              <w:rPr>
                <w:sz w:val="20"/>
                <w:szCs w:val="20"/>
                <w:color w:val="auto"/>
              </w:rPr>
            </w:pPr>
            <w:r>
              <w:rPr>
                <w:rFonts w:ascii="Arial" w:cs="Arial" w:eastAsia="Arial" w:hAnsi="Arial"/>
                <w:sz w:val="11"/>
                <w:szCs w:val="11"/>
                <w:color w:val="auto"/>
              </w:rPr>
              <w:t>1M L+900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2,996,094</w:t>
            </w:r>
          </w:p>
        </w:tc>
        <w:tc>
          <w:tcPr>
            <w:tcW w:w="22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2,996,094</w:t>
            </w:r>
          </w:p>
        </w:tc>
        <w:tc>
          <w:tcPr>
            <w:tcW w:w="2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2,996,094</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Vision Purchaser Corporation</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06/10/2025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3"/>
              </w:rPr>
              <w:t>Media</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8.30%</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3,440,998</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3,373,821</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3,406,588</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tcPr>
          <w:p>
            <w:pPr>
              <w:jc w:val="center"/>
              <w:spacing w:after="0"/>
              <w:rPr>
                <w:sz w:val="20"/>
                <w:szCs w:val="20"/>
                <w:color w:val="auto"/>
              </w:rPr>
            </w:pPr>
            <w:r>
              <w:rPr>
                <w:rFonts w:ascii="Arial" w:cs="Arial" w:eastAsia="Arial" w:hAnsi="Arial"/>
                <w:sz w:val="11"/>
                <w:szCs w:val="11"/>
                <w:color w:val="auto"/>
                <w:w w:val="90"/>
              </w:rPr>
              <w:t>10/18/2022</w:t>
            </w:r>
          </w:p>
        </w:tc>
        <w:tc>
          <w:tcPr>
            <w:tcW w:w="120" w:type="dxa"/>
            <w:vAlign w:val="bottom"/>
            <w:tcBorders>
              <w:bottom w:val="single" w:sz="8" w:color="CCECFF"/>
            </w:tcBorders>
          </w:tcPr>
          <w:p>
            <w:pPr>
              <w:spacing w:after="0"/>
              <w:rPr>
                <w:sz w:val="11"/>
                <w:szCs w:val="11"/>
                <w:color w:val="auto"/>
              </w:rPr>
            </w:pPr>
          </w:p>
        </w:tc>
        <w:tc>
          <w:tcPr>
            <w:tcW w:w="25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0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9.55%</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1M L+750</w:t>
            </w:r>
          </w:p>
        </w:tc>
        <w:tc>
          <w:tcPr>
            <w:tcW w:w="920" w:type="dxa"/>
            <w:vAlign w:val="bottom"/>
            <w:tcBorders>
              <w:bottom w:val="single" w:sz="8" w:color="CCECFF"/>
            </w:tcBorders>
            <w:gridSpan w:val="2"/>
          </w:tcPr>
          <w:p>
            <w:pPr>
              <w:jc w:val="right"/>
              <w:spacing w:after="0"/>
              <w:rPr>
                <w:sz w:val="20"/>
                <w:szCs w:val="20"/>
                <w:color w:val="auto"/>
              </w:rPr>
            </w:pPr>
            <w:r>
              <w:rPr>
                <w:rFonts w:ascii="Arial" w:cs="Arial" w:eastAsia="Arial" w:hAnsi="Arial"/>
                <w:sz w:val="11"/>
                <w:szCs w:val="11"/>
                <w:color w:val="auto"/>
              </w:rPr>
              <w:t>5,187,498</w:t>
            </w:r>
          </w:p>
        </w:tc>
        <w:tc>
          <w:tcPr>
            <w:tcW w:w="22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5,083,748</w:t>
            </w:r>
          </w:p>
        </w:tc>
        <w:tc>
          <w:tcPr>
            <w:tcW w:w="220" w:type="dxa"/>
            <w:vAlign w:val="bottom"/>
            <w:tcBorders>
              <w:bottom w:val="single" w:sz="8" w:color="CCECFF"/>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5,187,498</w:t>
            </w:r>
          </w:p>
        </w:tc>
        <w:tc>
          <w:tcPr>
            <w:tcW w:w="120" w:type="dxa"/>
            <w:vAlign w:val="bottom"/>
            <w:tcBorders>
              <w:bottom w:val="single" w:sz="8" w:color="CCECFF"/>
            </w:tcBorders>
          </w:tcPr>
          <w:p>
            <w:pPr>
              <w:spacing w:after="0"/>
              <w:rPr>
                <w:sz w:val="11"/>
                <w:szCs w:val="11"/>
                <w:color w:val="auto"/>
              </w:rPr>
            </w:pPr>
          </w:p>
        </w:tc>
      </w:tr>
      <w:tr>
        <w:trPr>
          <w:trHeight w:val="128"/>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829,387,687</w:t>
            </w:r>
          </w:p>
        </w:tc>
        <w:tc>
          <w:tcPr>
            <w:tcW w:w="220" w:type="dxa"/>
            <w:vAlign w:val="bottom"/>
            <w:shd w:val="clear" w:color="auto" w:fill="CCECFF"/>
          </w:tcPr>
          <w:p>
            <w:pPr>
              <w:spacing w:after="0"/>
              <w:rPr>
                <w:sz w:val="11"/>
                <w:szCs w:val="11"/>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818,357,018</w:t>
            </w:r>
          </w:p>
        </w:tc>
        <w:tc>
          <w:tcPr>
            <w:tcW w:w="120" w:type="dxa"/>
            <w:vAlign w:val="bottom"/>
            <w:shd w:val="clear" w:color="auto" w:fill="CCECFF"/>
          </w:tcPr>
          <w:p>
            <w:pPr>
              <w:spacing w:after="0"/>
              <w:rPr>
                <w:sz w:val="11"/>
                <w:szCs w:val="11"/>
                <w:color w:val="auto"/>
              </w:rPr>
            </w:pPr>
          </w:p>
        </w:tc>
      </w:tr>
      <w:tr>
        <w:trPr>
          <w:trHeight w:val="128"/>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rPr>
              <w:t>Second Lien Secured Debt—5.7%</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Condor Borrower, LLC </w:t>
            </w:r>
            <w:r>
              <w:rPr>
                <w:rFonts w:ascii="Arial" w:cs="Arial" w:eastAsia="Arial" w:hAnsi="Arial"/>
                <w:sz w:val="9"/>
                <w:szCs w:val="9"/>
                <w:color w:val="auto"/>
              </w:rPr>
              <w:t>(7)</w:t>
            </w:r>
          </w:p>
        </w:tc>
        <w:tc>
          <w:tcPr>
            <w:tcW w:w="640" w:type="dxa"/>
            <w:vAlign w:val="bottom"/>
            <w:shd w:val="clear" w:color="auto" w:fill="CCECFF"/>
          </w:tcPr>
          <w:p>
            <w:pPr>
              <w:jc w:val="center"/>
              <w:spacing w:after="0"/>
              <w:rPr>
                <w:sz w:val="20"/>
                <w:szCs w:val="20"/>
                <w:color w:val="auto"/>
              </w:rPr>
            </w:pPr>
            <w:r>
              <w:rPr>
                <w:rFonts w:ascii="Arial" w:cs="Arial" w:eastAsia="Arial" w:hAnsi="Arial"/>
                <w:sz w:val="11"/>
                <w:szCs w:val="11"/>
                <w:color w:val="auto"/>
                <w:w w:val="90"/>
              </w:rPr>
              <w:t>04/25/2025</w:t>
            </w:r>
          </w:p>
        </w:tc>
        <w:tc>
          <w:tcPr>
            <w:tcW w:w="1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High Tech Industries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11.01%</w:t>
            </w: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L+875</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1,655,172</w:t>
            </w:r>
          </w:p>
        </w:tc>
        <w:tc>
          <w:tcPr>
            <w:tcW w:w="22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1,628,190</w:t>
            </w:r>
          </w:p>
        </w:tc>
        <w:tc>
          <w:tcPr>
            <w:tcW w:w="220" w:type="dxa"/>
            <w:vAlign w:val="bottom"/>
            <w:shd w:val="clear" w:color="auto" w:fill="CCECFF"/>
          </w:tcPr>
          <w:p>
            <w:pPr>
              <w:spacing w:after="0"/>
              <w:rPr>
                <w:sz w:val="11"/>
                <w:szCs w:val="11"/>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1,638,621</w:t>
            </w:r>
          </w:p>
        </w:tc>
        <w:tc>
          <w:tcPr>
            <w:tcW w:w="120" w:type="dxa"/>
            <w:vAlign w:val="bottom"/>
            <w:shd w:val="clear" w:color="auto" w:fill="CCECFF"/>
          </w:tcPr>
          <w:p>
            <w:pPr>
              <w:spacing w:after="0"/>
              <w:rPr>
                <w:sz w:val="11"/>
                <w:szCs w:val="1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1"/>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3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tcPr>
          <w:p>
            <w:pPr>
              <w:jc w:val="right"/>
              <w:ind w:right="42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33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Maturity</w:t>
            </w: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Industry</w:t>
            </w: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Coupon</w:t>
            </w:r>
          </w:p>
        </w:tc>
        <w:tc>
          <w:tcPr>
            <w:tcW w:w="26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Cost</w:t>
            </w: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w w:val="92"/>
              </w:rPr>
              <w:t xml:space="preserve">Fair Value </w:t>
            </w:r>
            <w:r>
              <w:rPr>
                <w:rFonts w:ascii="Arial" w:cs="Arial" w:eastAsia="Arial" w:hAnsi="Arial"/>
                <w:sz w:val="9"/>
                <w:szCs w:val="9"/>
                <w:b w:val="1"/>
                <w:bCs w:val="1"/>
                <w:color w:val="auto"/>
                <w:w w:val="92"/>
              </w:rPr>
              <w:t>(2)</w:t>
            </w:r>
          </w:p>
        </w:tc>
        <w:tc>
          <w:tcPr>
            <w:tcW w:w="120" w:type="dxa"/>
            <w:vAlign w:val="bottom"/>
            <w:tcBorders>
              <w:bottom w:val="single" w:sz="8" w:color="CCECFF"/>
            </w:tcBorders>
          </w:tcPr>
          <w:p>
            <w:pPr>
              <w:spacing w:after="0"/>
              <w:rPr>
                <w:sz w:val="11"/>
                <w:szCs w:val="11"/>
                <w:color w:val="auto"/>
              </w:rPr>
            </w:pPr>
          </w:p>
        </w:tc>
      </w:tr>
      <w:tr>
        <w:trPr>
          <w:trHeight w:val="128"/>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DBI Holdings, LLC, Term Loan B</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02/01/2026</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10,639,343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10,639,343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   10,586,145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8.00%)</w:t>
            </w: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DBI Holdings, LLC, Term Loan C </w:t>
            </w:r>
            <w:r>
              <w:rPr>
                <w:rFonts w:ascii="Arial" w:cs="Arial" w:eastAsia="Arial" w:hAnsi="Arial"/>
                <w:sz w:val="9"/>
                <w:szCs w:val="9"/>
                <w:color w:val="auto"/>
              </w:rPr>
              <w:t>(7)</w:t>
            </w:r>
          </w:p>
        </w:tc>
        <w:tc>
          <w:tcPr>
            <w:tcW w:w="520" w:type="dxa"/>
            <w:vAlign w:val="bottom"/>
          </w:tcPr>
          <w:p>
            <w:pPr>
              <w:spacing w:after="0"/>
              <w:rPr>
                <w:sz w:val="20"/>
                <w:szCs w:val="20"/>
                <w:color w:val="auto"/>
              </w:rPr>
            </w:pPr>
            <w:r>
              <w:rPr>
                <w:rFonts w:ascii="Arial" w:cs="Arial" w:eastAsia="Arial" w:hAnsi="Arial"/>
                <w:sz w:val="11"/>
                <w:szCs w:val="11"/>
                <w:color w:val="auto"/>
                <w:w w:val="90"/>
              </w:rPr>
              <w:t>03/26/2021</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21,276</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21,276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21,276</w:t>
            </w:r>
          </w:p>
        </w:tc>
        <w:tc>
          <w:tcPr>
            <w:tcW w:w="120" w:type="dxa"/>
            <w:vAlign w:val="bottom"/>
          </w:tcPr>
          <w:p>
            <w:pPr>
              <w:spacing w:after="0"/>
              <w:rPr>
                <w:sz w:val="12"/>
                <w:szCs w:val="12"/>
                <w:color w:val="auto"/>
              </w:rPr>
            </w:pPr>
          </w:p>
        </w:tc>
      </w:tr>
      <w:tr>
        <w:trPr>
          <w:trHeight w:val="131"/>
        </w:trPr>
        <w:tc>
          <w:tcPr>
            <w:tcW w:w="3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(PIK 8.00%)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DecoPac, Inc.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03/31/2025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10.35%</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9,738,580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9,643,427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9,738,580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MailSouth, Inc.</w:t>
            </w:r>
          </w:p>
        </w:tc>
        <w:tc>
          <w:tcPr>
            <w:tcW w:w="520" w:type="dxa"/>
            <w:vAlign w:val="bottom"/>
          </w:tcPr>
          <w:p>
            <w:pPr>
              <w:spacing w:after="0"/>
              <w:rPr>
                <w:sz w:val="20"/>
                <w:szCs w:val="20"/>
                <w:color w:val="auto"/>
              </w:rPr>
            </w:pPr>
            <w:r>
              <w:rPr>
                <w:rFonts w:ascii="Arial" w:cs="Arial" w:eastAsia="Arial" w:hAnsi="Arial"/>
                <w:sz w:val="11"/>
                <w:szCs w:val="11"/>
                <w:color w:val="auto"/>
                <w:w w:val="90"/>
              </w:rPr>
              <w:t>10/23/2024</w:t>
            </w:r>
          </w:p>
        </w:tc>
        <w:tc>
          <w:tcPr>
            <w:tcW w:w="220" w:type="dxa"/>
            <w:vAlign w:val="bottom"/>
          </w:tcPr>
          <w:p>
            <w:pPr>
              <w:spacing w:after="0"/>
              <w:rPr>
                <w:sz w:val="11"/>
                <w:szCs w:val="11"/>
                <w:color w:val="auto"/>
              </w:rPr>
            </w:pP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Advertising, 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12M L+925</w:t>
            </w:r>
          </w:p>
        </w:tc>
        <w:tc>
          <w:tcPr>
            <w:tcW w:w="660" w:type="dxa"/>
            <w:vAlign w:val="bottom"/>
          </w:tcPr>
          <w:p>
            <w:pPr>
              <w:jc w:val="right"/>
              <w:spacing w:after="0"/>
              <w:rPr>
                <w:sz w:val="20"/>
                <w:szCs w:val="20"/>
                <w:color w:val="auto"/>
              </w:rPr>
            </w:pPr>
            <w:r>
              <w:rPr>
                <w:rFonts w:ascii="Arial" w:cs="Arial" w:eastAsia="Arial" w:hAnsi="Arial"/>
                <w:sz w:val="11"/>
                <w:szCs w:val="11"/>
                <w:color w:val="auto"/>
              </w:rPr>
              <w:t>2,871,025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2,822,554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2,784,894</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McAfee, LLC </w:t>
            </w:r>
            <w:r>
              <w:rPr>
                <w:rFonts w:ascii="Arial" w:cs="Arial" w:eastAsia="Arial" w:hAnsi="Arial"/>
                <w:sz w:val="9"/>
                <w:szCs w:val="9"/>
                <w:color w:val="auto"/>
              </w:rPr>
              <w:t>(7)</w:t>
            </w:r>
          </w:p>
        </w:tc>
        <w:tc>
          <w:tcPr>
            <w:tcW w:w="520" w:type="dxa"/>
            <w:vAlign w:val="bottom"/>
            <w:shd w:val="clear" w:color="auto" w:fill="CCECFF"/>
          </w:tcPr>
          <w:p>
            <w:pPr>
              <w:spacing w:after="0"/>
              <w:rPr>
                <w:sz w:val="20"/>
                <w:szCs w:val="20"/>
                <w:color w:val="auto"/>
              </w:rPr>
            </w:pPr>
            <w:r>
              <w:rPr>
                <w:rFonts w:ascii="Arial" w:cs="Arial" w:eastAsia="Arial" w:hAnsi="Arial"/>
                <w:sz w:val="11"/>
                <w:szCs w:val="11"/>
                <w:color w:val="auto"/>
                <w:w w:val="90"/>
              </w:rPr>
              <w:t>09/29/2025</w:t>
            </w: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10.62%</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2,187,500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2,158,107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2,205,284</w:t>
            </w: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 (8)</w:t>
            </w:r>
          </w:p>
        </w:tc>
        <w:tc>
          <w:tcPr>
            <w:tcW w:w="520" w:type="dxa"/>
            <w:vAlign w:val="bottom"/>
          </w:tcPr>
          <w:p>
            <w:pPr>
              <w:spacing w:after="0"/>
              <w:rPr>
                <w:sz w:val="20"/>
                <w:szCs w:val="20"/>
                <w:color w:val="auto"/>
              </w:rPr>
            </w:pPr>
            <w:r>
              <w:rPr>
                <w:rFonts w:ascii="Arial" w:cs="Arial" w:eastAsia="Arial" w:hAnsi="Arial"/>
                <w:sz w:val="11"/>
                <w:szCs w:val="11"/>
                <w:color w:val="auto"/>
                <w:w w:val="90"/>
              </w:rPr>
              <w:t>11/30/2024</w:t>
            </w:r>
          </w:p>
        </w:tc>
        <w:tc>
          <w:tcPr>
            <w:tcW w:w="220" w:type="dxa"/>
            <w:vAlign w:val="bottom"/>
          </w:tcPr>
          <w:p>
            <w:pPr>
              <w:spacing w:after="0"/>
              <w:rPr>
                <w:sz w:val="12"/>
                <w:szCs w:val="12"/>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12.30%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tcPr>
          <w:p>
            <w:pPr>
              <w:jc w:val="right"/>
              <w:spacing w:after="0"/>
              <w:rPr>
                <w:sz w:val="20"/>
                <w:szCs w:val="20"/>
                <w:color w:val="auto"/>
              </w:rPr>
            </w:pPr>
            <w:r>
              <w:rPr>
                <w:rFonts w:ascii="Arial" w:cs="Arial" w:eastAsia="Arial" w:hAnsi="Arial"/>
                <w:sz w:val="11"/>
                <w:szCs w:val="11"/>
                <w:color w:val="auto"/>
              </w:rPr>
              <w:t>1,864,409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1,846,555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1,845,765</w:t>
            </w:r>
          </w:p>
        </w:tc>
        <w:tc>
          <w:tcPr>
            <w:tcW w:w="120" w:type="dxa"/>
            <w:vAlign w:val="bottom"/>
          </w:tcPr>
          <w:p>
            <w:pPr>
              <w:spacing w:after="0"/>
              <w:rPr>
                <w:sz w:val="12"/>
                <w:szCs w:val="12"/>
                <w:color w:val="auto"/>
              </w:rPr>
            </w:pPr>
          </w:p>
        </w:tc>
      </w:tr>
      <w:tr>
        <w:trPr>
          <w:trHeight w:val="131"/>
        </w:trPr>
        <w:tc>
          <w:tcPr>
            <w:tcW w:w="336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3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940" w:type="dxa"/>
            <w:vAlign w:val="bottom"/>
            <w:tcBorders>
              <w:bottom w:val="single" w:sz="8" w:color="CCECFF"/>
            </w:tcBorders>
            <w:gridSpan w:val="2"/>
          </w:tcPr>
          <w:p>
            <w:pPr>
              <w:jc w:val="right"/>
              <w:ind w:right="140"/>
              <w:spacing w:after="0"/>
              <w:rPr>
                <w:sz w:val="20"/>
                <w:szCs w:val="20"/>
                <w:color w:val="auto"/>
              </w:rPr>
            </w:pPr>
            <w:r>
              <w:rPr>
                <w:rFonts w:ascii="Arial" w:cs="Arial" w:eastAsia="Arial" w:hAnsi="Arial"/>
                <w:sz w:val="11"/>
                <w:szCs w:val="11"/>
                <w:color w:val="auto"/>
              </w:rPr>
              <w:t>(PIK 12.30%)</w:t>
            </w: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r>
      <w:tr>
        <w:trPr>
          <w:trHeight w:val="128"/>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28,759,453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28,820,565</w:t>
            </w:r>
          </w:p>
        </w:tc>
        <w:tc>
          <w:tcPr>
            <w:tcW w:w="120" w:type="dxa"/>
            <w:vAlign w:val="bottom"/>
            <w:shd w:val="clear" w:color="auto" w:fill="CCECFF"/>
          </w:tcPr>
          <w:p>
            <w:pPr>
              <w:spacing w:after="0"/>
              <w:rPr>
                <w:sz w:val="11"/>
                <w:szCs w:val="11"/>
                <w:color w:val="auto"/>
              </w:rPr>
            </w:pPr>
          </w:p>
        </w:tc>
      </w:tr>
      <w:tr>
        <w:trPr>
          <w:trHeight w:val="128"/>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rPr>
              <w:t xml:space="preserve">Preferred Equity— 1.9% </w:t>
            </w:r>
            <w:r>
              <w:rPr>
                <w:rFonts w:ascii="Arial" w:cs="Arial" w:eastAsia="Arial" w:hAnsi="Arial"/>
                <w:sz w:val="9"/>
                <w:szCs w:val="9"/>
                <w:b w:val="1"/>
                <w:bCs w:val="1"/>
                <w:color w:val="auto"/>
              </w:rPr>
              <w:t>(6)</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1,458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21,870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450</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Condor Holdings Limited </w:t>
            </w:r>
            <w:r>
              <w:rPr>
                <w:rFonts w:ascii="Arial" w:cs="Arial" w:eastAsia="Arial" w:hAnsi="Arial"/>
                <w:sz w:val="9"/>
                <w:szCs w:val="9"/>
                <w:color w:val="auto"/>
              </w:rPr>
              <w:t>(5), (7), (10)</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88,000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10,173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11,325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Condor Top Holdco Limited </w:t>
            </w:r>
            <w:r>
              <w:rPr>
                <w:rFonts w:ascii="Arial" w:cs="Arial" w:eastAsia="Arial" w:hAnsi="Arial"/>
                <w:sz w:val="9"/>
                <w:szCs w:val="9"/>
                <w:color w:val="auto"/>
              </w:rPr>
              <w:t>(5), (7), (10)</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77,827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86,640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DBI Holdings, LLC, Series A-1 </w:t>
            </w:r>
            <w:r>
              <w:rPr>
                <w:rFonts w:ascii="Arial" w:cs="Arial" w:eastAsia="Arial" w:hAnsi="Arial"/>
                <w:sz w:val="9"/>
                <w:szCs w:val="9"/>
                <w:color w:val="auto"/>
              </w:rPr>
              <w:t>(8)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13.00%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7,041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7,040,844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6,545,361</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960,000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1,002,057</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490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490,000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362,645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12.14%</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359,000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370,570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12.00%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1,166,993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1,224,860</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UniTek Global Services, Inc. -</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20.00%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343,861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343,861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30,743</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Super Senior Preferred Equity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UniTek Global Services, Inc. - Senior Preferred Equity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180"/>
              <w:spacing w:after="0"/>
              <w:rPr>
                <w:sz w:val="20"/>
                <w:szCs w:val="20"/>
                <w:color w:val="auto"/>
              </w:rPr>
            </w:pPr>
            <w:r>
              <w:rPr>
                <w:rFonts w:ascii="Arial" w:cs="Arial" w:eastAsia="Arial" w:hAnsi="Arial"/>
                <w:sz w:val="11"/>
                <w:szCs w:val="11"/>
                <w:color w:val="auto"/>
              </w:rPr>
              <w:t>18.00%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448,851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448,851</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13.50%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1,047,317</w:t>
            </w: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670,283</w:t>
            </w: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CFF"/>
          </w:tcPr>
          <w:p>
            <w:pPr>
              <w:spacing w:after="0"/>
              <w:rPr>
                <w:sz w:val="11"/>
                <w:szCs w:val="11"/>
                <w:color w:val="auto"/>
              </w:rPr>
            </w:pPr>
          </w:p>
        </w:tc>
      </w:tr>
      <w:tr>
        <w:trPr>
          <w:trHeight w:val="128"/>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rPr>
              <w:t>Total Preferred Equity</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11,589,702</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9,634,652</w:t>
            </w:r>
          </w:p>
        </w:tc>
        <w:tc>
          <w:tcPr>
            <w:tcW w:w="120" w:type="dxa"/>
            <w:vAlign w:val="bottom"/>
          </w:tcPr>
          <w:p>
            <w:pPr>
              <w:spacing w:after="0"/>
              <w:rPr>
                <w:sz w:val="11"/>
                <w:szCs w:val="11"/>
                <w:color w:val="auto"/>
              </w:rPr>
            </w:pPr>
          </w:p>
        </w:tc>
      </w:tr>
      <w:tr>
        <w:trPr>
          <w:trHeight w:val="128"/>
        </w:trPr>
        <w:tc>
          <w:tcPr>
            <w:tcW w:w="350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Equity/Warrants— 6.4% </w:t>
            </w:r>
            <w:r>
              <w:rPr>
                <w:rFonts w:ascii="Arial" w:cs="Arial" w:eastAsia="Arial" w:hAnsi="Arial"/>
                <w:sz w:val="9"/>
                <w:szCs w:val="9"/>
                <w:b w:val="1"/>
                <w:bCs w:val="1"/>
                <w:color w:val="auto"/>
              </w:rPr>
              <w:t>(6)</w:t>
            </w:r>
          </w:p>
        </w:tc>
        <w:tc>
          <w:tcPr>
            <w:tcW w:w="52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38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Affinion Group Holdings, Inc. (Warrants)</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8,893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244,998</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94,129</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714,652</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714,652</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714,652</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AG Investco LP </w:t>
            </w:r>
            <w:r>
              <w:rPr>
                <w:rFonts w:ascii="Arial" w:cs="Arial" w:eastAsia="Arial" w:hAnsi="Arial"/>
                <w:sz w:val="9"/>
                <w:szCs w:val="9"/>
                <w:color w:val="auto"/>
              </w:rPr>
              <w:t>(7), (8), (9)</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Software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285,348</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Altamira Intermediate Company II, Inc.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0"/>
              </w:rPr>
              <w:t>IT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1,437,500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1,437,500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1,437,500</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21,908</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2,190,771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9,218,753</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By Light Investco LP </w:t>
            </w:r>
            <w:r>
              <w:rPr>
                <w:rFonts w:ascii="Arial" w:cs="Arial" w:eastAsia="Arial" w:hAnsi="Arial"/>
                <w:sz w:val="9"/>
                <w:szCs w:val="9"/>
                <w:color w:val="auto"/>
              </w:rPr>
              <w:t>(7), (8), (9)</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5,592</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CI (Allied) Investment Holdings, LLC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120,962</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1,243,217</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1,260,269</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(Allied America, Inc.) </w:t>
            </w:r>
            <w:r>
              <w:rPr>
                <w:rFonts w:ascii="Arial" w:cs="Arial" w:eastAsia="Arial" w:hAnsi="Arial"/>
                <w:sz w:val="9"/>
                <w:szCs w:val="9"/>
                <w:color w:val="auto"/>
              </w:rPr>
              <w:t>(7), (8)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CI (PTN) Investment Holdings II,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13,333</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200,000</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(PT Network,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CI (Summit) Investment Holdings, LLC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54,907</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581,995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720,588</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(SFP Holding, Inc.)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DBI Holdings, LLC, Series B </w:t>
            </w:r>
            <w:r>
              <w:rPr>
                <w:rFonts w:ascii="Arial" w:cs="Arial" w:eastAsia="Arial" w:hAnsi="Arial"/>
                <w:sz w:val="9"/>
                <w:szCs w:val="9"/>
                <w:color w:val="auto"/>
              </w:rPr>
              <w:t>(10), (8)</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1,489,508</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330,791</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DecoPac Holdings Inc.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1,632,744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3,149,261</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eCommission Holding Corporation </w:t>
            </w:r>
            <w:r>
              <w:rPr>
                <w:rFonts w:ascii="Arial" w:cs="Arial" w:eastAsia="Arial" w:hAnsi="Arial"/>
                <w:sz w:val="9"/>
                <w:szCs w:val="9"/>
                <w:color w:val="auto"/>
              </w:rPr>
              <w:t>(7), (10)</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Banking, Finance, Insurance &amp;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251,156</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370,436</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Faraday Holdings, LLC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58,044</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331,562</w:t>
            </w: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Gauge InfosoftCoInvest,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143,663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497,465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(The Infosoft Group, LLC)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Gauge Schlesinger Coinvest LLC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403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403,005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403,005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Gauge TVC Coinvest, LLC (TVC Enterprises, LLC) </w:t>
            </w:r>
            <w:r>
              <w:rPr>
                <w:rFonts w:ascii="Arial" w:cs="Arial" w:eastAsia="Arial" w:hAnsi="Arial"/>
                <w:sz w:val="9"/>
                <w:szCs w:val="9"/>
                <w:color w:val="auto"/>
              </w:rPr>
              <w:t>(7)</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8"/>
              </w:rPr>
              <w:t>Professional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391,144</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391,144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399,678</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1,549,209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1,549,209</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2,233,506</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GCOM InvestCo LP </w:t>
            </w:r>
            <w:r>
              <w:rPr>
                <w:rFonts w:ascii="Arial" w:cs="Arial" w:eastAsia="Arial" w:hAnsi="Arial"/>
                <w:sz w:val="9"/>
                <w:szCs w:val="9"/>
                <w:color w:val="auto"/>
              </w:rPr>
              <w:t>(7), (8), (9)</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450,791</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Go Dawgs Capital III, LP</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Building Products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324,675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324,675</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331,169</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(American Insulated Glass, LLC) </w:t>
            </w:r>
            <w:r>
              <w:rPr>
                <w:rFonts w:ascii="Arial" w:cs="Arial" w:eastAsia="Arial" w:hAnsi="Arial"/>
                <w:sz w:val="9"/>
                <w:szCs w:val="9"/>
                <w:color w:val="auto"/>
              </w:rPr>
              <w:t>(7), (8)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IIN Group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Consumer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1,392,905</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(Integrative Nutrition, LLC) </w:t>
            </w:r>
            <w:r>
              <w:rPr>
                <w:rFonts w:ascii="Arial" w:cs="Arial" w:eastAsia="Arial" w:hAnsi="Arial"/>
                <w:sz w:val="9"/>
                <w:szCs w:val="9"/>
                <w:color w:val="auto"/>
              </w:rPr>
              <w:t>(7), (8)</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ITC Rumba, LLC (Cano Health, LLC) </w:t>
            </w:r>
            <w:r>
              <w:rPr>
                <w:rFonts w:ascii="Arial" w:cs="Arial" w:eastAsia="Arial" w:hAnsi="Arial"/>
                <w:sz w:val="9"/>
                <w:szCs w:val="9"/>
                <w:color w:val="auto"/>
              </w:rPr>
              <w:t>(10)</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21,529</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430,576</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607,059</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JWC/UMA Holdings, L.P.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1,210,541</w:t>
            </w: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JWC-WE Holdings, L.P.</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Wholesale</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1,381,741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1,381,741</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3,595,627</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(Walker Edison Furniture Company LLC) </w:t>
            </w:r>
            <w:r>
              <w:rPr>
                <w:rFonts w:ascii="Arial" w:cs="Arial" w:eastAsia="Arial" w:hAnsi="Arial"/>
                <w:sz w:val="9"/>
                <w:szCs w:val="9"/>
                <w:color w:val="auto"/>
              </w:rPr>
              <w:t>(7), (8)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Kentucky Racing Holdco, LLC (Warrants) </w:t>
            </w:r>
            <w:r>
              <w:rPr>
                <w:rFonts w:ascii="Arial" w:cs="Arial" w:eastAsia="Arial" w:hAnsi="Arial"/>
                <w:sz w:val="9"/>
                <w:szCs w:val="9"/>
                <w:color w:val="auto"/>
              </w:rPr>
              <w:t>(7), (8)</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7"/>
              </w:rPr>
              <w:t>Hotels, Restaurants and Leisure</w:t>
            </w: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87,345</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166,773</w:t>
            </w: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MeritDirect Holdings, LP </w:t>
            </w:r>
            <w:r>
              <w:rPr>
                <w:rFonts w:ascii="Arial" w:cs="Arial" w:eastAsia="Arial" w:hAnsi="Arial"/>
                <w:sz w:val="9"/>
                <w:szCs w:val="9"/>
                <w:color w:val="auto"/>
              </w:rPr>
              <w:t>(7), (8)</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Media</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960</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98,635</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NXOF Holdings, Inc. (NextiraOne Federal, LLC)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10,000</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PT Network Intermediate Holdings, LLC </w:t>
            </w:r>
            <w:r>
              <w:rPr>
                <w:rFonts w:ascii="Arial" w:cs="Arial" w:eastAsia="Arial" w:hAnsi="Arial"/>
                <w:sz w:val="9"/>
                <w:szCs w:val="9"/>
                <w:color w:val="auto"/>
              </w:rPr>
              <w:t>(7), (8)</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239,333</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680,580</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Signature CR Intermediate Holdco, Inc.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0"/>
              </w:rPr>
              <w:t>Commercial Services &amp; Supplies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61</w:t>
            </w:r>
          </w:p>
        </w:tc>
        <w:tc>
          <w:tcPr>
            <w:tcW w:w="92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61,421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29,886</w:t>
            </w:r>
          </w:p>
        </w:tc>
        <w:tc>
          <w:tcPr>
            <w:tcW w:w="120" w:type="dxa"/>
            <w:vAlign w:val="bottom"/>
            <w:shd w:val="clear" w:color="auto" w:fill="CCECFF"/>
          </w:tcPr>
          <w:p>
            <w:pPr>
              <w:spacing w:after="0"/>
              <w:rPr>
                <w:sz w:val="11"/>
                <w:szCs w:val="11"/>
                <w:color w:val="auto"/>
              </w:rPr>
            </w:pPr>
          </w:p>
        </w:tc>
      </w:tr>
      <w:tr>
        <w:trPr>
          <w:trHeight w:val="139"/>
        </w:trPr>
        <w:tc>
          <w:tcPr>
            <w:tcW w:w="3500" w:type="dxa"/>
            <w:vAlign w:val="bottom"/>
            <w:gridSpan w:val="2"/>
          </w:tcPr>
          <w:p>
            <w:pPr>
              <w:spacing w:after="0"/>
              <w:rPr>
                <w:sz w:val="20"/>
                <w:szCs w:val="20"/>
                <w:color w:val="auto"/>
              </w:rPr>
            </w:pPr>
            <w:r>
              <w:rPr>
                <w:rFonts w:ascii="Arial" w:cs="Arial" w:eastAsia="Arial" w:hAnsi="Arial"/>
                <w:sz w:val="11"/>
                <w:szCs w:val="11"/>
                <w:color w:val="auto"/>
              </w:rPr>
              <w:t>SSC Dominion Holdings, LLC</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500</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500,000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540,000</w:t>
            </w:r>
          </w:p>
        </w:tc>
        <w:tc>
          <w:tcPr>
            <w:tcW w:w="120" w:type="dxa"/>
            <w:vAlign w:val="bottom"/>
          </w:tcPr>
          <w:p>
            <w:pPr>
              <w:spacing w:after="0"/>
              <w:rPr>
                <w:sz w:val="12"/>
                <w:szCs w:val="12"/>
                <w:color w:val="auto"/>
              </w:rPr>
            </w:pPr>
          </w:p>
        </w:tc>
      </w:tr>
      <w:tr>
        <w:trPr>
          <w:trHeight w:val="131"/>
        </w:trPr>
        <w:tc>
          <w:tcPr>
            <w:tcW w:w="3500" w:type="dxa"/>
            <w:vAlign w:val="bottom"/>
            <w:gridSpan w:val="2"/>
          </w:tcPr>
          <w:p>
            <w:pPr>
              <w:ind w:left="140"/>
              <w:spacing w:after="0"/>
              <w:rPr>
                <w:sz w:val="20"/>
                <w:szCs w:val="20"/>
                <w:color w:val="auto"/>
              </w:rPr>
            </w:pPr>
            <w:r>
              <w:rPr>
                <w:rFonts w:ascii="Arial" w:cs="Arial" w:eastAsia="Arial" w:hAnsi="Arial"/>
                <w:sz w:val="11"/>
                <w:szCs w:val="11"/>
                <w:color w:val="auto"/>
              </w:rPr>
              <w:t xml:space="preserve">Class A (US Dominion, Inc.) </w:t>
            </w:r>
            <w:r>
              <w:rPr>
                <w:rFonts w:ascii="Arial" w:cs="Arial" w:eastAsia="Arial" w:hAnsi="Arial"/>
                <w:sz w:val="9"/>
                <w:szCs w:val="9"/>
                <w:color w:val="auto"/>
              </w:rPr>
              <w:t>(7)</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3360" w:type="dxa"/>
            <w:vAlign w:val="bottom"/>
            <w:shd w:val="clear" w:color="auto" w:fill="CCECFF"/>
          </w:tcPr>
          <w:p>
            <w:pPr>
              <w:spacing w:after="0"/>
              <w:rPr>
                <w:sz w:val="20"/>
                <w:szCs w:val="20"/>
                <w:color w:val="auto"/>
              </w:rPr>
            </w:pPr>
            <w:r>
              <w:rPr>
                <w:rFonts w:ascii="Arial" w:cs="Arial" w:eastAsia="Arial" w:hAnsi="Arial"/>
                <w:sz w:val="11"/>
                <w:szCs w:val="11"/>
                <w:color w:val="auto"/>
              </w:rPr>
              <w:t>SSC Dominion Holdings, LLC</w:t>
            </w:r>
          </w:p>
        </w:tc>
        <w:tc>
          <w:tcPr>
            <w:tcW w:w="140" w:type="dxa"/>
            <w:vAlign w:val="bottom"/>
            <w:shd w:val="clear" w:color="auto" w:fill="CCECFF"/>
          </w:tcPr>
          <w:p>
            <w:pPr>
              <w:spacing w:after="0"/>
              <w:rPr>
                <w:sz w:val="11"/>
                <w:szCs w:val="11"/>
                <w:color w:val="auto"/>
              </w:rPr>
            </w:pP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728,601</w:t>
            </w:r>
          </w:p>
        </w:tc>
        <w:tc>
          <w:tcPr>
            <w:tcW w:w="120" w:type="dxa"/>
            <w:vAlign w:val="bottom"/>
            <w:shd w:val="clear" w:color="auto" w:fill="CCECFF"/>
          </w:tcPr>
          <w:p>
            <w:pPr>
              <w:spacing w:after="0"/>
              <w:rPr>
                <w:sz w:val="11"/>
                <w:szCs w:val="11"/>
                <w:color w:val="auto"/>
              </w:rPr>
            </w:pPr>
          </w:p>
        </w:tc>
      </w:tr>
      <w:tr>
        <w:trPr>
          <w:trHeight w:val="135"/>
        </w:trPr>
        <w:tc>
          <w:tcPr>
            <w:tcW w:w="3360" w:type="dxa"/>
            <w:vAlign w:val="bottom"/>
            <w:shd w:val="clear" w:color="auto" w:fill="CCECFF"/>
          </w:tcPr>
          <w:p>
            <w:pPr>
              <w:ind w:left="140"/>
              <w:spacing w:after="0"/>
              <w:rPr>
                <w:sz w:val="20"/>
                <w:szCs w:val="20"/>
                <w:color w:val="auto"/>
              </w:rPr>
            </w:pPr>
            <w:r>
              <w:rPr>
                <w:rFonts w:ascii="Arial" w:cs="Arial" w:eastAsia="Arial" w:hAnsi="Arial"/>
                <w:sz w:val="11"/>
                <w:szCs w:val="11"/>
                <w:color w:val="auto"/>
              </w:rPr>
              <w:t xml:space="preserve">Class B (US Dominion, Inc.) </w:t>
            </w:r>
            <w:r>
              <w:rPr>
                <w:rFonts w:ascii="Arial" w:cs="Arial" w:eastAsia="Arial" w:hAnsi="Arial"/>
                <w:sz w:val="9"/>
                <w:szCs w:val="9"/>
                <w:color w:val="auto"/>
              </w:rPr>
              <w:t>(7)</w:t>
            </w:r>
          </w:p>
        </w:tc>
        <w:tc>
          <w:tcPr>
            <w:tcW w:w="14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754,821</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754,820</w:t>
            </w:r>
          </w:p>
        </w:tc>
        <w:tc>
          <w:tcPr>
            <w:tcW w:w="940" w:type="dxa"/>
            <w:vAlign w:val="bottom"/>
            <w:gridSpan w:val="2"/>
          </w:tcPr>
          <w:p>
            <w:pPr>
              <w:jc w:val="right"/>
              <w:spacing w:after="0"/>
              <w:rPr>
                <w:sz w:val="20"/>
                <w:szCs w:val="20"/>
                <w:color w:val="auto"/>
              </w:rPr>
            </w:pPr>
            <w:r>
              <w:rPr>
                <w:rFonts w:ascii="Arial" w:cs="Arial" w:eastAsia="Arial" w:hAnsi="Arial"/>
                <w:sz w:val="11"/>
                <w:szCs w:val="11"/>
                <w:color w:val="auto"/>
              </w:rPr>
              <w:t>1,589,878</w:t>
            </w:r>
          </w:p>
        </w:tc>
        <w:tc>
          <w:tcPr>
            <w:tcW w:w="120" w:type="dxa"/>
            <w:vAlign w:val="bottom"/>
          </w:tcPr>
          <w:p>
            <w:pPr>
              <w:spacing w:after="0"/>
              <w:rPr>
                <w:sz w:val="11"/>
                <w:szCs w:val="11"/>
                <w:color w:val="auto"/>
              </w:rPr>
            </w:pP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TPC Broadband Investors, LP </w:t>
            </w:r>
            <w:r>
              <w:rPr>
                <w:rFonts w:ascii="Arial" w:cs="Arial" w:eastAsia="Arial" w:hAnsi="Arial"/>
                <w:sz w:val="9"/>
                <w:szCs w:val="9"/>
                <w:color w:val="auto"/>
              </w:rPr>
              <w:t>(7), (8), (9)</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245,179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tcPr>
          <w:p>
            <w:pPr>
              <w:spacing w:after="0"/>
              <w:rPr>
                <w:sz w:val="20"/>
                <w:szCs w:val="20"/>
                <w:color w:val="auto"/>
              </w:rPr>
            </w:pPr>
            <w:r>
              <w:rPr>
                <w:rFonts w:ascii="Arial" w:cs="Arial" w:eastAsia="Arial" w:hAnsi="Arial"/>
                <w:sz w:val="11"/>
                <w:szCs w:val="11"/>
                <w:color w:val="auto"/>
              </w:rPr>
              <w:t xml:space="preserve">UniTek Global Services, Inc. </w:t>
            </w:r>
            <w:r>
              <w:rPr>
                <w:rFonts w:ascii="Arial" w:cs="Arial" w:eastAsia="Arial" w:hAnsi="Arial"/>
                <w:sz w:val="9"/>
                <w:szCs w:val="9"/>
                <w:color w:val="auto"/>
              </w:rPr>
              <w:t>(7)</w:t>
            </w:r>
          </w:p>
        </w:tc>
        <w:tc>
          <w:tcPr>
            <w:tcW w:w="7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213,739</w:t>
            </w:r>
          </w:p>
        </w:tc>
        <w:tc>
          <w:tcPr>
            <w:tcW w:w="24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UniTek Global Services, Inc. (Warrants) </w:t>
            </w:r>
            <w:r>
              <w:rPr>
                <w:rFonts w:ascii="Arial" w:cs="Arial" w:eastAsia="Arial" w:hAnsi="Arial"/>
                <w:sz w:val="9"/>
                <w:szCs w:val="9"/>
                <w:color w:val="auto"/>
              </w:rPr>
              <w:t>(7)</w:t>
            </w:r>
          </w:p>
        </w:tc>
        <w:tc>
          <w:tcPr>
            <w:tcW w:w="740" w:type="dxa"/>
            <w:vAlign w:val="bottom"/>
            <w:gridSpan w:val="2"/>
            <w:shd w:val="clear" w:color="auto" w:fill="CCECFF"/>
          </w:tcPr>
          <w:p>
            <w:pPr>
              <w:ind w:left="240"/>
              <w:spacing w:after="0"/>
              <w:rPr>
                <w:sz w:val="20"/>
                <w:szCs w:val="20"/>
                <w:color w:val="auto"/>
              </w:rPr>
            </w:pPr>
            <w:r>
              <w:rPr>
                <w:rFonts w:ascii="Arial" w:cs="Arial" w:eastAsia="Arial" w:hAnsi="Arial"/>
                <w:sz w:val="11"/>
                <w:szCs w:val="11"/>
                <w:color w:val="auto"/>
              </w:rPr>
              <w:t>—</w:t>
            </w:r>
          </w:p>
        </w:tc>
        <w:tc>
          <w:tcPr>
            <w:tcW w:w="250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23,889</w:t>
            </w:r>
          </w:p>
        </w:tc>
        <w:tc>
          <w:tcPr>
            <w:tcW w:w="240" w:type="dxa"/>
            <w:vAlign w:val="bottom"/>
            <w:shd w:val="clear" w:color="auto" w:fill="CCECFF"/>
          </w:tcPr>
          <w:p>
            <w:pPr>
              <w:spacing w:after="0"/>
              <w:rPr>
                <w:sz w:val="11"/>
                <w:szCs w:val="11"/>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r>
      <w:tr>
        <w:trPr>
          <w:trHeight w:val="135"/>
        </w:trPr>
        <w:tc>
          <w:tcPr>
            <w:tcW w:w="350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 xml:space="preserve">WBB Equity, LLC </w:t>
            </w:r>
            <w:r>
              <w:rPr>
                <w:rFonts w:ascii="Arial" w:cs="Arial" w:eastAsia="Arial" w:hAnsi="Arial"/>
                <w:sz w:val="9"/>
                <w:szCs w:val="9"/>
                <w:color w:val="auto"/>
              </w:rPr>
              <w:t>(7), (8)</w:t>
            </w:r>
          </w:p>
        </w:tc>
        <w:tc>
          <w:tcPr>
            <w:tcW w:w="740" w:type="dxa"/>
            <w:vAlign w:val="bottom"/>
            <w:tcBorders>
              <w:bottom w:val="single" w:sz="8" w:color="CCECFF"/>
            </w:tcBorders>
            <w:gridSpan w:val="2"/>
          </w:tcPr>
          <w:p>
            <w:pPr>
              <w:ind w:left="240"/>
              <w:spacing w:after="0"/>
              <w:rPr>
                <w:sz w:val="20"/>
                <w:szCs w:val="20"/>
                <w:color w:val="auto"/>
              </w:rPr>
            </w:pPr>
            <w:r>
              <w:rPr>
                <w:rFonts w:ascii="Arial" w:cs="Arial" w:eastAsia="Arial" w:hAnsi="Arial"/>
                <w:sz w:val="11"/>
                <w:szCs w:val="11"/>
                <w:color w:val="auto"/>
              </w:rPr>
              <w:t>—</w:t>
            </w:r>
          </w:p>
        </w:tc>
        <w:tc>
          <w:tcPr>
            <w:tcW w:w="250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940" w:type="dxa"/>
            <w:vAlign w:val="bottom"/>
            <w:tcBorders>
              <w:bottom w:val="single" w:sz="8" w:color="CCECFF"/>
            </w:tcBorders>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142,857</w:t>
            </w:r>
          </w:p>
        </w:tc>
        <w:tc>
          <w:tcPr>
            <w:tcW w:w="240" w:type="dxa"/>
            <w:vAlign w:val="bottom"/>
            <w:tcBorders>
              <w:bottom w:val="single" w:sz="8" w:color="CCECFF"/>
            </w:tcBorders>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142,857</w:t>
            </w:r>
          </w:p>
        </w:tc>
        <w:tc>
          <w:tcPr>
            <w:tcW w:w="240" w:type="dxa"/>
            <w:vAlign w:val="bottom"/>
            <w:tcBorders>
              <w:bottom w:val="single" w:sz="8" w:color="CCECFF"/>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498,572</w:t>
            </w:r>
          </w:p>
        </w:tc>
        <w:tc>
          <w:tcPr>
            <w:tcW w:w="120" w:type="dxa"/>
            <w:vAlign w:val="bottom"/>
            <w:tcBorders>
              <w:bottom w:val="single" w:sz="8" w:color="CCECFF"/>
            </w:tcBorders>
          </w:tcPr>
          <w:p>
            <w:pPr>
              <w:spacing w:after="0"/>
              <w:rPr>
                <w:sz w:val="11"/>
                <w:szCs w:val="11"/>
                <w:color w:val="auto"/>
              </w:rPr>
            </w:pPr>
          </w:p>
        </w:tc>
      </w:tr>
      <w:tr>
        <w:trPr>
          <w:trHeight w:val="129"/>
        </w:trPr>
        <w:tc>
          <w:tcPr>
            <w:tcW w:w="350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Common Equity/Warrants</w:t>
            </w:r>
          </w:p>
        </w:tc>
        <w:tc>
          <w:tcPr>
            <w:tcW w:w="52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3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17,218,314</w:t>
            </w:r>
          </w:p>
        </w:tc>
        <w:tc>
          <w:tcPr>
            <w:tcW w:w="240" w:type="dxa"/>
            <w:vAlign w:val="bottom"/>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32,301,030</w:t>
            </w:r>
          </w:p>
        </w:tc>
        <w:tc>
          <w:tcPr>
            <w:tcW w:w="120" w:type="dxa"/>
            <w:vAlign w:val="bottom"/>
            <w:shd w:val="clear" w:color="auto" w:fill="CCECFF"/>
          </w:tcPr>
          <w:p>
            <w:pPr>
              <w:spacing w:after="0"/>
              <w:rPr>
                <w:sz w:val="11"/>
                <w:szCs w:val="11"/>
                <w:color w:val="auto"/>
              </w:rPr>
            </w:pPr>
          </w:p>
        </w:tc>
      </w:tr>
      <w:tr>
        <w:trPr>
          <w:trHeight w:val="128"/>
        </w:trPr>
        <w:tc>
          <w:tcPr>
            <w:tcW w:w="3500" w:type="dxa"/>
            <w:vAlign w:val="bottom"/>
            <w:gridSpan w:val="2"/>
          </w:tcPr>
          <w:p>
            <w:pPr>
              <w:spacing w:after="0"/>
              <w:rPr>
                <w:sz w:val="20"/>
                <w:szCs w:val="20"/>
                <w:color w:val="auto"/>
              </w:rPr>
            </w:pPr>
            <w:r>
              <w:rPr>
                <w:rFonts w:ascii="Arial" w:cs="Arial" w:eastAsia="Arial" w:hAnsi="Arial"/>
                <w:sz w:val="11"/>
                <w:szCs w:val="11"/>
                <w:b w:val="1"/>
                <w:bCs w:val="1"/>
                <w:color w:val="auto"/>
                <w:w w:val="91"/>
              </w:rPr>
              <w:t>Total Investments in Non-Controlled, Non-Affiliated Portfolio Companies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886,955,156</w:t>
            </w:r>
          </w:p>
        </w:tc>
        <w:tc>
          <w:tcPr>
            <w:tcW w:w="240" w:type="dxa"/>
            <w:vAlign w:val="bottom"/>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889,113,264</w:t>
            </w:r>
          </w:p>
        </w:tc>
        <w:tc>
          <w:tcPr>
            <w:tcW w:w="120" w:type="dxa"/>
            <w:vAlign w:val="bottom"/>
          </w:tcPr>
          <w:p>
            <w:pPr>
              <w:spacing w:after="0"/>
              <w:rPr>
                <w:sz w:val="11"/>
                <w:szCs w:val="1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rPr>
          <w:sz w:val="20"/>
          <w:szCs w:val="20"/>
          <w:color w:val="auto"/>
        </w:rPr>
      </w:pPr>
      <w:r>
        <w:rPr>
          <w:rFonts w:ascii="Arial" w:cs="Arial" w:eastAsia="Arial" w:hAnsi="Arial"/>
          <w:sz w:val="14"/>
          <w:szCs w:val="14"/>
          <w:b w:val="1"/>
          <w:bCs w:val="1"/>
          <w:color w:val="auto"/>
        </w:rPr>
        <w:t>SEPTEMBER 30, 2019</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Basis Point</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5"/>
              </w:rPr>
              <w:t>Spread</w:t>
            </w: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440"/>
              <w:spacing w:after="0" w:line="122" w:lineRule="exact"/>
              <w:rPr>
                <w:sz w:val="20"/>
                <w:szCs w:val="20"/>
                <w:color w:val="auto"/>
              </w:rPr>
            </w:pPr>
            <w:r>
              <w:rPr>
                <w:rFonts w:ascii="Arial" w:cs="Arial" w:eastAsia="Arial" w:hAnsi="Arial"/>
                <w:sz w:val="11"/>
                <w:szCs w:val="11"/>
                <w:b w:val="1"/>
                <w:bCs w:val="1"/>
                <w:color w:val="auto"/>
              </w:rPr>
              <w:t>Current</w:t>
            </w: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3"/>
              </w:rPr>
              <w:t>Above</w:t>
            </w:r>
          </w:p>
        </w:tc>
        <w:tc>
          <w:tcPr>
            <w:tcW w:w="66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Par /</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940" w:type="dxa"/>
            <w:vAlign w:val="bottom"/>
          </w:tcPr>
          <w:p>
            <w:pPr>
              <w:jc w:val="center"/>
              <w:ind w:right="306"/>
              <w:spacing w:after="0"/>
              <w:rPr>
                <w:sz w:val="20"/>
                <w:szCs w:val="20"/>
                <w:color w:val="auto"/>
              </w:rPr>
            </w:pPr>
            <w:r>
              <w:rPr>
                <w:rFonts w:ascii="Arial" w:cs="Arial" w:eastAsia="Arial" w:hAnsi="Arial"/>
                <w:sz w:val="11"/>
                <w:szCs w:val="11"/>
                <w:b w:val="1"/>
                <w:bCs w:val="1"/>
                <w:color w:val="auto"/>
                <w:w w:val="98"/>
              </w:rPr>
              <w:t>Maturity</w:t>
            </w:r>
          </w:p>
        </w:tc>
        <w:tc>
          <w:tcPr>
            <w:tcW w:w="23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1"/>
                <w:szCs w:val="11"/>
                <w:b w:val="1"/>
                <w:bCs w:val="1"/>
                <w:color w:val="auto"/>
              </w:rPr>
              <w:t>Coupon</w:t>
            </w: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660" w:type="dxa"/>
            <w:vAlign w:val="bottom"/>
          </w:tcPr>
          <w:p>
            <w:pPr>
              <w:jc w:val="right"/>
              <w:ind w:right="126"/>
              <w:spacing w:after="0"/>
              <w:rPr>
                <w:sz w:val="20"/>
                <w:szCs w:val="20"/>
                <w:color w:val="auto"/>
              </w:rPr>
            </w:pPr>
            <w:r>
              <w:rPr>
                <w:rFonts w:ascii="Arial" w:cs="Arial" w:eastAsia="Arial" w:hAnsi="Arial"/>
                <w:sz w:val="11"/>
                <w:szCs w:val="11"/>
                <w:b w:val="1"/>
                <w:bCs w:val="1"/>
                <w:color w:val="auto"/>
              </w:rPr>
              <w:t>Shares</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ind w:right="226"/>
              <w:spacing w:after="0"/>
              <w:rPr>
                <w:sz w:val="20"/>
                <w:szCs w:val="20"/>
                <w:color w:val="auto"/>
              </w:rPr>
            </w:pPr>
            <w:r>
              <w:rPr>
                <w:rFonts w:ascii="Arial" w:cs="Arial" w:eastAsia="Arial" w:hAnsi="Arial"/>
                <w:sz w:val="11"/>
                <w:szCs w:val="11"/>
                <w:b w:val="1"/>
                <w:bCs w:val="1"/>
                <w:color w:val="auto"/>
              </w:rPr>
              <w:t>Cost</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9"/>
              </w:rPr>
              <w:t xml:space="preserve">Fair Value </w:t>
            </w:r>
            <w:r>
              <w:rPr>
                <w:rFonts w:ascii="Arial" w:cs="Arial" w:eastAsia="Arial" w:hAnsi="Arial"/>
                <w:sz w:val="9"/>
                <w:szCs w:val="9"/>
                <w:b w:val="1"/>
                <w:bCs w:val="1"/>
                <w:color w:val="auto"/>
                <w:w w:val="89"/>
              </w:rPr>
              <w:t>(2)</w:t>
            </w:r>
          </w:p>
        </w:tc>
        <w:tc>
          <w:tcPr>
            <w:tcW w:w="0" w:type="dxa"/>
            <w:vAlign w:val="bottom"/>
          </w:tcPr>
          <w:p>
            <w:pPr>
              <w:spacing w:after="0"/>
              <w:rPr>
                <w:sz w:val="1"/>
                <w:szCs w:val="1"/>
                <w:color w:val="auto"/>
              </w:rPr>
            </w:pPr>
          </w:p>
        </w:tc>
      </w:tr>
      <w:tr>
        <w:trPr>
          <w:trHeight w:val="128"/>
        </w:trPr>
        <w:tc>
          <w:tcPr>
            <w:tcW w:w="43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 xml:space="preserve">Investments in Non-Controlled, Affiliated Portfolio Companies—4.1% </w:t>
            </w:r>
            <w:r>
              <w:rPr>
                <w:rFonts w:ascii="Arial" w:cs="Arial" w:eastAsia="Arial" w:hAnsi="Arial"/>
                <w:sz w:val="9"/>
                <w:szCs w:val="9"/>
                <w:b w:val="1"/>
                <w:bCs w:val="1"/>
                <w:color w:val="auto"/>
              </w:rPr>
              <w:t>(3), (4)</w:t>
            </w:r>
          </w:p>
        </w:tc>
        <w:tc>
          <w:tcPr>
            <w:tcW w:w="218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80" w:type="dxa"/>
            <w:vAlign w:val="bottom"/>
            <w:tcBorders>
              <w:top w:val="single" w:sz="8" w:color="CCECFF"/>
            </w:tcBorders>
            <w:shd w:val="clear" w:color="auto" w:fill="CCECFF"/>
          </w:tcPr>
          <w:p>
            <w:pPr>
              <w:spacing w:after="0"/>
              <w:rPr>
                <w:sz w:val="11"/>
                <w:szCs w:val="11"/>
                <w:color w:val="auto"/>
              </w:rPr>
            </w:pPr>
          </w:p>
        </w:tc>
        <w:tc>
          <w:tcPr>
            <w:tcW w:w="6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60" w:type="dxa"/>
            <w:vAlign w:val="bottom"/>
            <w:tcBorders>
              <w:top w:val="single" w:sz="8" w:color="auto"/>
            </w:tcBorders>
            <w:shd w:val="clear" w:color="auto" w:fill="CCECFF"/>
          </w:tcPr>
          <w:p>
            <w:pPr>
              <w:spacing w:after="0"/>
              <w:rPr>
                <w:sz w:val="11"/>
                <w:szCs w:val="11"/>
                <w:color w:val="auto"/>
              </w:rPr>
            </w:pPr>
          </w:p>
        </w:tc>
        <w:tc>
          <w:tcPr>
            <w:tcW w:w="7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b w:val="1"/>
                <w:bCs w:val="1"/>
                <w:color w:val="auto"/>
              </w:rPr>
              <w:t>First Lien Secured Debt—0.9%</w:t>
            </w: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940" w:type="dxa"/>
            <w:vAlign w:val="bottom"/>
            <w:shd w:val="clear" w:color="auto" w:fill="CCECFF"/>
          </w:tcPr>
          <w:p>
            <w:pPr>
              <w:jc w:val="center"/>
              <w:ind w:right="306"/>
              <w:spacing w:after="0"/>
              <w:rPr>
                <w:sz w:val="20"/>
                <w:szCs w:val="20"/>
                <w:color w:val="auto"/>
              </w:rPr>
            </w:pPr>
            <w:r>
              <w:rPr>
                <w:rFonts w:ascii="Arial" w:cs="Arial" w:eastAsia="Arial" w:hAnsi="Arial"/>
                <w:sz w:val="11"/>
                <w:szCs w:val="11"/>
                <w:color w:val="auto"/>
                <w:w w:val="90"/>
              </w:rPr>
              <w:t>05/01/2023</w:t>
            </w:r>
          </w:p>
        </w:tc>
        <w:tc>
          <w:tcPr>
            <w:tcW w:w="2300" w:type="dxa"/>
            <w:vAlign w:val="bottom"/>
            <w:gridSpan w:val="2"/>
            <w:shd w:val="clear" w:color="auto" w:fill="CCECFF"/>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1,505,589</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1,544,161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9"/>
                <w:szCs w:val="9"/>
                <w:color w:val="auto"/>
              </w:rPr>
              <w:t>(7)</w:t>
            </w:r>
          </w:p>
        </w:tc>
        <w:tc>
          <w:tcPr>
            <w:tcW w:w="940" w:type="dxa"/>
            <w:vAlign w:val="bottom"/>
          </w:tcPr>
          <w:p>
            <w:pPr>
              <w:jc w:val="center"/>
              <w:ind w:right="306"/>
              <w:spacing w:after="0"/>
              <w:rPr>
                <w:sz w:val="20"/>
                <w:szCs w:val="20"/>
                <w:color w:val="auto"/>
              </w:rPr>
            </w:pPr>
            <w:r>
              <w:rPr>
                <w:rFonts w:ascii="Arial" w:cs="Arial" w:eastAsia="Arial" w:hAnsi="Arial"/>
                <w:sz w:val="11"/>
                <w:szCs w:val="11"/>
                <w:color w:val="auto"/>
                <w:w w:val="90"/>
              </w:rPr>
              <w:t>05/01/2023</w:t>
            </w:r>
          </w:p>
        </w:tc>
        <w:tc>
          <w:tcPr>
            <w:tcW w:w="2300" w:type="dxa"/>
            <w:vAlign w:val="bottom"/>
            <w:gridSpan w:val="2"/>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3M L+500</w:t>
            </w:r>
          </w:p>
        </w:tc>
        <w:tc>
          <w:tcPr>
            <w:tcW w:w="660" w:type="dxa"/>
            <w:vAlign w:val="bottom"/>
          </w:tcPr>
          <w:p>
            <w:pPr>
              <w:jc w:val="right"/>
              <w:spacing w:after="0"/>
              <w:rPr>
                <w:sz w:val="20"/>
                <w:szCs w:val="20"/>
                <w:color w:val="auto"/>
              </w:rPr>
            </w:pPr>
            <w:r>
              <w:rPr>
                <w:rFonts w:ascii="Arial" w:cs="Arial" w:eastAsia="Arial" w:hAnsi="Arial"/>
                <w:sz w:val="11"/>
                <w:szCs w:val="11"/>
                <w:color w:val="auto"/>
              </w:rPr>
              <w:t>769,038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769,038</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769,038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(Revolver) </w:t>
            </w:r>
            <w:r>
              <w:rPr>
                <w:rFonts w:ascii="Arial" w:cs="Arial" w:eastAsia="Arial" w:hAnsi="Arial"/>
                <w:sz w:val="9"/>
                <w:szCs w:val="9"/>
                <w:color w:val="auto"/>
              </w:rPr>
              <w:t>(7), (9)</w:t>
            </w:r>
          </w:p>
        </w:tc>
        <w:tc>
          <w:tcPr>
            <w:tcW w:w="940" w:type="dxa"/>
            <w:vAlign w:val="bottom"/>
            <w:shd w:val="clear" w:color="auto" w:fill="CCECFF"/>
          </w:tcPr>
          <w:p>
            <w:pPr>
              <w:jc w:val="center"/>
              <w:ind w:right="306"/>
              <w:spacing w:after="0"/>
              <w:rPr>
                <w:sz w:val="20"/>
                <w:szCs w:val="20"/>
                <w:color w:val="auto"/>
              </w:rPr>
            </w:pPr>
            <w:r>
              <w:rPr>
                <w:rFonts w:ascii="Arial" w:cs="Arial" w:eastAsia="Arial" w:hAnsi="Arial"/>
                <w:sz w:val="11"/>
                <w:szCs w:val="11"/>
                <w:color w:val="auto"/>
                <w:w w:val="90"/>
              </w:rPr>
              <w:t>05/01/2023</w:t>
            </w:r>
          </w:p>
        </w:tc>
        <w:tc>
          <w:tcPr>
            <w:tcW w:w="2300" w:type="dxa"/>
            <w:vAlign w:val="bottom"/>
            <w:gridSpan w:val="2"/>
            <w:shd w:val="clear" w:color="auto" w:fill="CCECFF"/>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1,977,526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800" w:type="dxa"/>
            <w:vAlign w:val="bottom"/>
            <w:gridSpan w:val="2"/>
            <w:shd w:val="clear" w:color="auto" w:fill="CCECFF"/>
          </w:tcPr>
          <w:p>
            <w:pPr>
              <w:jc w:val="right"/>
              <w:ind w:right="12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9"/>
                <w:szCs w:val="9"/>
                <w:color w:val="auto"/>
              </w:rPr>
              <w:t>(7)</w:t>
            </w:r>
          </w:p>
        </w:tc>
        <w:tc>
          <w:tcPr>
            <w:tcW w:w="940" w:type="dxa"/>
            <w:vAlign w:val="bottom"/>
          </w:tcPr>
          <w:p>
            <w:pPr>
              <w:jc w:val="center"/>
              <w:ind w:right="306"/>
              <w:spacing w:after="0"/>
              <w:rPr>
                <w:sz w:val="20"/>
                <w:szCs w:val="20"/>
                <w:color w:val="auto"/>
              </w:rPr>
            </w:pPr>
            <w:r>
              <w:rPr>
                <w:rFonts w:ascii="Arial" w:cs="Arial" w:eastAsia="Arial" w:hAnsi="Arial"/>
                <w:sz w:val="11"/>
                <w:szCs w:val="11"/>
                <w:color w:val="auto"/>
                <w:w w:val="90"/>
              </w:rPr>
              <w:t>10/12/2023</w:t>
            </w:r>
          </w:p>
        </w:tc>
        <w:tc>
          <w:tcPr>
            <w:tcW w:w="2300" w:type="dxa"/>
            <w:vAlign w:val="bottom"/>
            <w:gridSpan w:val="2"/>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2"/>
                <w:szCs w:val="12"/>
                <w:color w:val="auto"/>
              </w:rPr>
              <w:t>4.00%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2,016,667</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2,016,667</w:t>
            </w: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2,036,833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20"/>
                <w:szCs w:val="20"/>
                <w:color w:val="auto"/>
              </w:rPr>
            </w:pPr>
            <w:r>
              <w:rPr>
                <w:rFonts w:ascii="Arial" w:cs="Arial" w:eastAsia="Arial" w:hAnsi="Arial"/>
                <w:sz w:val="11"/>
                <w:szCs w:val="11"/>
                <w:b w:val="1"/>
                <w:bCs w:val="1"/>
                <w:color w:val="auto"/>
              </w:rPr>
              <w:t>Total First Lien Secured Debt</w:t>
            </w:r>
          </w:p>
        </w:tc>
        <w:tc>
          <w:tcPr>
            <w:tcW w:w="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2"/>
                <w:szCs w:val="12"/>
                <w:color w:val="auto"/>
              </w:rPr>
              <w:t>(PIK 4.00%)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4,291,294</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4,350,032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Second Lien Secured Debt—1.1%</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400" w:type="dxa"/>
            <w:vAlign w:val="bottom"/>
          </w:tcPr>
          <w:p>
            <w:pPr>
              <w:spacing w:after="0"/>
              <w:rPr>
                <w:sz w:val="20"/>
                <w:szCs w:val="20"/>
                <w:color w:val="auto"/>
              </w:rPr>
            </w:pPr>
            <w:r>
              <w:rPr>
                <w:rFonts w:ascii="Arial" w:cs="Arial" w:eastAsia="Arial" w:hAnsi="Arial"/>
                <w:sz w:val="11"/>
                <w:szCs w:val="11"/>
                <w:color w:val="auto"/>
              </w:rPr>
              <w:t xml:space="preserve">Country Fresh Holdings, LLC </w:t>
            </w:r>
            <w:r>
              <w:rPr>
                <w:rFonts w:ascii="Arial" w:cs="Arial" w:eastAsia="Arial" w:hAnsi="Arial"/>
                <w:sz w:val="9"/>
                <w:szCs w:val="9"/>
                <w:color w:val="auto"/>
              </w:rPr>
              <w:t>(7)</w:t>
            </w:r>
          </w:p>
        </w:tc>
        <w:tc>
          <w:tcPr>
            <w:tcW w:w="940" w:type="dxa"/>
            <w:vAlign w:val="bottom"/>
          </w:tcPr>
          <w:p>
            <w:pPr>
              <w:jc w:val="center"/>
              <w:ind w:right="306"/>
              <w:spacing w:after="0"/>
              <w:rPr>
                <w:sz w:val="20"/>
                <w:szCs w:val="20"/>
                <w:color w:val="auto"/>
              </w:rPr>
            </w:pPr>
            <w:r>
              <w:rPr>
                <w:rFonts w:ascii="Arial" w:cs="Arial" w:eastAsia="Arial" w:hAnsi="Arial"/>
                <w:sz w:val="11"/>
                <w:szCs w:val="11"/>
                <w:color w:val="auto"/>
                <w:w w:val="90"/>
              </w:rPr>
              <w:t>04/29/2024</w:t>
            </w:r>
          </w:p>
        </w:tc>
        <w:tc>
          <w:tcPr>
            <w:tcW w:w="2300" w:type="dxa"/>
            <w:vAlign w:val="bottom"/>
            <w:gridSpan w:val="2"/>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180"/>
              <w:spacing w:after="0"/>
              <w:rPr>
                <w:sz w:val="20"/>
                <w:szCs w:val="20"/>
                <w:color w:val="auto"/>
              </w:rPr>
            </w:pPr>
            <w:r>
              <w:rPr>
                <w:rFonts w:ascii="Arial" w:cs="Arial" w:eastAsia="Arial" w:hAnsi="Arial"/>
                <w:sz w:val="11"/>
                <w:szCs w:val="11"/>
                <w:color w:val="auto"/>
              </w:rPr>
              <w:t>10.60%</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1M L+850</w:t>
            </w:r>
          </w:p>
        </w:tc>
        <w:tc>
          <w:tcPr>
            <w:tcW w:w="660" w:type="dxa"/>
            <w:vAlign w:val="bottom"/>
          </w:tcPr>
          <w:p>
            <w:pPr>
              <w:jc w:val="right"/>
              <w:spacing w:after="0"/>
              <w:rPr>
                <w:sz w:val="20"/>
                <w:szCs w:val="20"/>
                <w:color w:val="auto"/>
              </w:rPr>
            </w:pPr>
            <w:r>
              <w:rPr>
                <w:rFonts w:ascii="Arial" w:cs="Arial" w:eastAsia="Arial" w:hAnsi="Arial"/>
                <w:sz w:val="11"/>
                <w:szCs w:val="11"/>
                <w:color w:val="auto"/>
              </w:rPr>
              <w:t>5,314,125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5,314,125</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5,314,125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(PIK 10.60%)</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1"/>
                <w:szCs w:val="11"/>
                <w:color w:val="auto"/>
              </w:rPr>
              <w:t>Quick Weight Loss Centers, LLC</w:t>
            </w:r>
          </w:p>
        </w:tc>
        <w:tc>
          <w:tcPr>
            <w:tcW w:w="940" w:type="dxa"/>
            <w:vAlign w:val="bottom"/>
            <w:tcBorders>
              <w:bottom w:val="single" w:sz="8" w:color="CCECFF"/>
            </w:tcBorders>
            <w:shd w:val="clear" w:color="auto" w:fill="CCECFF"/>
          </w:tcPr>
          <w:p>
            <w:pPr>
              <w:jc w:val="center"/>
              <w:ind w:right="306"/>
              <w:spacing w:after="0"/>
              <w:rPr>
                <w:sz w:val="20"/>
                <w:szCs w:val="20"/>
                <w:color w:val="auto"/>
              </w:rPr>
            </w:pPr>
            <w:r>
              <w:rPr>
                <w:rFonts w:ascii="Arial" w:cs="Arial" w:eastAsia="Arial" w:hAnsi="Arial"/>
                <w:sz w:val="11"/>
                <w:szCs w:val="11"/>
                <w:color w:val="auto"/>
                <w:w w:val="90"/>
              </w:rPr>
              <w:t>10/12/2023</w:t>
            </w:r>
          </w:p>
        </w:tc>
        <w:tc>
          <w:tcPr>
            <w:tcW w:w="2300" w:type="dxa"/>
            <w:vAlign w:val="bottom"/>
            <w:tcBorders>
              <w:bottom w:val="single" w:sz="8" w:color="CCECFF"/>
            </w:tcBorders>
            <w:gridSpan w:val="2"/>
            <w:shd w:val="clear" w:color="auto" w:fill="CCECFF"/>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tcBorders>
              <w:bottom w:val="single" w:sz="8" w:color="CCECFF"/>
            </w:tcBorders>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4.00%</w:t>
            </w:r>
          </w:p>
        </w:tc>
        <w:tc>
          <w:tcPr>
            <w:tcW w:w="920" w:type="dxa"/>
            <w:vAlign w:val="bottom"/>
            <w:tcBorders>
              <w:bottom w:val="single" w:sz="8" w:color="CCECFF"/>
            </w:tcBorders>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CCECFF"/>
            </w:tcBorders>
            <w:shd w:val="clear" w:color="auto" w:fill="CCECFF"/>
          </w:tcPr>
          <w:p>
            <w:pPr>
              <w:jc w:val="right"/>
              <w:spacing w:after="0"/>
              <w:rPr>
                <w:sz w:val="20"/>
                <w:szCs w:val="20"/>
                <w:color w:val="auto"/>
              </w:rPr>
            </w:pPr>
            <w:r>
              <w:rPr>
                <w:rFonts w:ascii="Arial" w:cs="Arial" w:eastAsia="Arial" w:hAnsi="Arial"/>
                <w:sz w:val="11"/>
                <w:szCs w:val="11"/>
                <w:color w:val="auto"/>
              </w:rPr>
              <w:t>233,572</w:t>
            </w:r>
          </w:p>
        </w:tc>
        <w:tc>
          <w:tcPr>
            <w:tcW w:w="240" w:type="dxa"/>
            <w:vAlign w:val="bottom"/>
            <w:tcBorders>
              <w:bottom w:val="single" w:sz="8" w:color="CCECFF"/>
            </w:tcBorders>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233,572</w:t>
            </w:r>
          </w:p>
        </w:tc>
        <w:tc>
          <w:tcPr>
            <w:tcW w:w="220" w:type="dxa"/>
            <w:vAlign w:val="bottom"/>
            <w:tcBorders>
              <w:bottom w:val="single" w:sz="8" w:color="CCECFF"/>
            </w:tcBorders>
            <w:shd w:val="clear" w:color="auto" w:fill="CCECFF"/>
          </w:tcPr>
          <w:p>
            <w:pPr>
              <w:spacing w:after="0"/>
              <w:rPr>
                <w:sz w:val="12"/>
                <w:szCs w:val="12"/>
                <w:color w:val="auto"/>
              </w:rPr>
            </w:pPr>
          </w:p>
        </w:tc>
        <w:tc>
          <w:tcPr>
            <w:tcW w:w="6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235,908</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Second Lien Secured Debt</w:t>
            </w:r>
          </w:p>
        </w:tc>
        <w:tc>
          <w:tcPr>
            <w:tcW w:w="940" w:type="dxa"/>
            <w:vAlign w:val="bottom"/>
            <w:shd w:val="clear" w:color="auto" w:fill="CCECFF"/>
          </w:tcPr>
          <w:p>
            <w:pPr>
              <w:spacing w:after="0"/>
              <w:rPr>
                <w:sz w:val="12"/>
                <w:szCs w:val="12"/>
                <w:color w:val="auto"/>
              </w:rPr>
            </w:pPr>
          </w:p>
        </w:tc>
        <w:tc>
          <w:tcPr>
            <w:tcW w:w="21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4.00%)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5,547,697</w:t>
            </w:r>
          </w:p>
        </w:tc>
        <w:tc>
          <w:tcPr>
            <w:tcW w:w="220" w:type="dxa"/>
            <w:vAlign w:val="bottom"/>
            <w:shd w:val="clear" w:color="auto" w:fill="CCECFF"/>
          </w:tcPr>
          <w:p>
            <w:pPr>
              <w:spacing w:after="0"/>
              <w:rPr>
                <w:sz w:val="12"/>
                <w:szCs w:val="12"/>
                <w:color w:val="auto"/>
              </w:rPr>
            </w:pPr>
          </w:p>
        </w:tc>
        <w:tc>
          <w:tcPr>
            <w:tcW w:w="6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5,550,033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b w:val="1"/>
                <w:bCs w:val="1"/>
                <w:color w:val="auto"/>
              </w:rPr>
              <w:t xml:space="preserve">Preferred Equity—0.2% </w:t>
            </w:r>
            <w:r>
              <w:rPr>
                <w:rFonts w:ascii="Arial" w:cs="Arial" w:eastAsia="Arial" w:hAnsi="Arial"/>
                <w:sz w:val="9"/>
                <w:szCs w:val="9"/>
                <w:b w:val="1"/>
                <w:bCs w:val="1"/>
                <w:color w:val="auto"/>
              </w:rPr>
              <w:t>(6)</w:t>
            </w: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Quick Weight Loss Centers Holdings, LLC </w:t>
            </w:r>
            <w:r>
              <w:rPr>
                <w:rFonts w:ascii="Arial" w:cs="Arial" w:eastAsia="Arial" w:hAnsi="Arial"/>
                <w:sz w:val="9"/>
                <w:szCs w:val="9"/>
                <w:color w:val="auto"/>
              </w:rPr>
              <w:t>(7), (8)</w:t>
            </w:r>
          </w:p>
        </w:tc>
        <w:tc>
          <w:tcPr>
            <w:tcW w:w="940" w:type="dxa"/>
            <w:vAlign w:val="bottom"/>
            <w:shd w:val="clear" w:color="auto" w:fill="CCECFF"/>
          </w:tcPr>
          <w:p>
            <w:pPr>
              <w:ind w:left="300"/>
              <w:spacing w:after="0"/>
              <w:rPr>
                <w:sz w:val="20"/>
                <w:szCs w:val="20"/>
                <w:color w:val="auto"/>
              </w:rPr>
            </w:pPr>
            <w:r>
              <w:rPr>
                <w:rFonts w:ascii="Arial" w:cs="Arial" w:eastAsia="Arial" w:hAnsi="Arial"/>
                <w:sz w:val="11"/>
                <w:szCs w:val="11"/>
                <w:color w:val="auto"/>
              </w:rPr>
              <w:t>—</w:t>
            </w:r>
          </w:p>
        </w:tc>
        <w:tc>
          <w:tcPr>
            <w:tcW w:w="2300" w:type="dxa"/>
            <w:vAlign w:val="bottom"/>
            <w:gridSpan w:val="2"/>
            <w:shd w:val="clear" w:color="auto" w:fill="CCECFF"/>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9,568,216</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842,352</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891,816</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tcPr>
          <w:p>
            <w:pPr>
              <w:spacing w:after="0"/>
              <w:rPr>
                <w:sz w:val="20"/>
                <w:szCs w:val="20"/>
                <w:color w:val="auto"/>
              </w:rPr>
            </w:pPr>
            <w:r>
              <w:rPr>
                <w:rFonts w:ascii="Arial" w:cs="Arial" w:eastAsia="Arial" w:hAnsi="Arial"/>
                <w:sz w:val="11"/>
                <w:szCs w:val="11"/>
                <w:b w:val="1"/>
                <w:bCs w:val="1"/>
                <w:color w:val="auto"/>
              </w:rPr>
              <w:t>Total Preferred Equity</w:t>
            </w: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842,352</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891,816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 xml:space="preserve">Common Equity/Warrants—1.9% </w:t>
            </w:r>
            <w:r>
              <w:rPr>
                <w:rFonts w:ascii="Arial" w:cs="Arial" w:eastAsia="Arial" w:hAnsi="Arial"/>
                <w:sz w:val="9"/>
                <w:szCs w:val="9"/>
                <w:b w:val="1"/>
                <w:bCs w:val="1"/>
                <w:color w:val="auto"/>
              </w:rPr>
              <w:t>(6)</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 xml:space="preserve">Country Fresh Holding Company Inc. </w:t>
            </w:r>
            <w:r>
              <w:rPr>
                <w:rFonts w:ascii="Arial" w:cs="Arial" w:eastAsia="Arial" w:hAnsi="Arial"/>
                <w:sz w:val="9"/>
                <w:szCs w:val="9"/>
                <w:color w:val="auto"/>
              </w:rPr>
              <w:t>(7)</w:t>
            </w:r>
          </w:p>
        </w:tc>
        <w:tc>
          <w:tcPr>
            <w:tcW w:w="940" w:type="dxa"/>
            <w:vAlign w:val="bottom"/>
          </w:tcPr>
          <w:p>
            <w:pPr>
              <w:ind w:left="300"/>
              <w:spacing w:after="0"/>
              <w:rPr>
                <w:sz w:val="20"/>
                <w:szCs w:val="20"/>
                <w:color w:val="auto"/>
              </w:rPr>
            </w:pPr>
            <w:r>
              <w:rPr>
                <w:rFonts w:ascii="Arial" w:cs="Arial" w:eastAsia="Arial" w:hAnsi="Arial"/>
                <w:sz w:val="11"/>
                <w:szCs w:val="11"/>
                <w:color w:val="auto"/>
              </w:rPr>
              <w:t>—</w:t>
            </w:r>
          </w:p>
        </w:tc>
        <w:tc>
          <w:tcPr>
            <w:tcW w:w="2300" w:type="dxa"/>
            <w:vAlign w:val="bottom"/>
            <w:gridSpan w:val="2"/>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10,453,350</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6,864,302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Quick Weight Loss Centers, LLC </w:t>
            </w:r>
            <w:r>
              <w:rPr>
                <w:rFonts w:ascii="Arial" w:cs="Arial" w:eastAsia="Arial" w:hAnsi="Arial"/>
                <w:sz w:val="9"/>
                <w:szCs w:val="9"/>
                <w:color w:val="auto"/>
              </w:rPr>
              <w:t>(7), (8)</w:t>
            </w:r>
          </w:p>
        </w:tc>
        <w:tc>
          <w:tcPr>
            <w:tcW w:w="940" w:type="dxa"/>
            <w:vAlign w:val="bottom"/>
            <w:shd w:val="clear" w:color="auto" w:fill="CCECFF"/>
          </w:tcPr>
          <w:p>
            <w:pPr>
              <w:ind w:left="300"/>
              <w:spacing w:after="0"/>
              <w:rPr>
                <w:sz w:val="20"/>
                <w:szCs w:val="20"/>
                <w:color w:val="auto"/>
              </w:rPr>
            </w:pPr>
            <w:r>
              <w:rPr>
                <w:rFonts w:ascii="Arial" w:cs="Arial" w:eastAsia="Arial" w:hAnsi="Arial"/>
                <w:sz w:val="11"/>
                <w:szCs w:val="11"/>
                <w:color w:val="auto"/>
              </w:rPr>
              <w:t>—</w:t>
            </w:r>
          </w:p>
        </w:tc>
        <w:tc>
          <w:tcPr>
            <w:tcW w:w="2300" w:type="dxa"/>
            <w:vAlign w:val="bottom"/>
            <w:gridSpan w:val="2"/>
            <w:shd w:val="clear" w:color="auto" w:fill="CCECFF"/>
          </w:tcPr>
          <w:p>
            <w:pPr>
              <w:jc w:val="center"/>
              <w:ind w:right="280"/>
              <w:spacing w:after="0"/>
              <w:rPr>
                <w:sz w:val="20"/>
                <w:szCs w:val="20"/>
                <w:color w:val="auto"/>
              </w:rPr>
            </w:pPr>
            <w:r>
              <w:rPr>
                <w:rFonts w:ascii="Arial" w:cs="Arial" w:eastAsia="Arial" w:hAnsi="Arial"/>
                <w:sz w:val="11"/>
                <w:szCs w:val="11"/>
                <w:color w:val="auto"/>
                <w:w w:val="86"/>
              </w:rPr>
              <w:t>Beverage, Food and Tobacco</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2,520,000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2,774,382</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Common Equity/Warrants</w:t>
            </w:r>
          </w:p>
        </w:tc>
        <w:tc>
          <w:tcPr>
            <w:tcW w:w="940" w:type="dxa"/>
            <w:vAlign w:val="bottom"/>
            <w:tcBorders>
              <w:bottom w:val="single" w:sz="8" w:color="CCECFF"/>
            </w:tcBorders>
          </w:tcPr>
          <w:p>
            <w:pPr>
              <w:spacing w:after="0"/>
              <w:rPr>
                <w:sz w:val="11"/>
                <w:szCs w:val="11"/>
                <w:color w:val="auto"/>
              </w:rPr>
            </w:pPr>
          </w:p>
        </w:tc>
        <w:tc>
          <w:tcPr>
            <w:tcW w:w="21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12,973,350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9,638,684</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w w:val="95"/>
              </w:rPr>
              <w:t>Total Investments in Non-Controlled, Affiliated Portfolio Companies</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23,654,693</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20,430,565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Pr>
          <w:p>
            <w:pPr>
              <w:spacing w:after="0"/>
              <w:rPr>
                <w:sz w:val="20"/>
                <w:szCs w:val="20"/>
                <w:color w:val="auto"/>
              </w:rPr>
            </w:pPr>
            <w:r>
              <w:rPr>
                <w:rFonts w:ascii="Arial" w:cs="Arial" w:eastAsia="Arial" w:hAnsi="Arial"/>
                <w:sz w:val="11"/>
                <w:szCs w:val="11"/>
                <w:b w:val="1"/>
                <w:bCs w:val="1"/>
                <w:color w:val="auto"/>
                <w:w w:val="91"/>
              </w:rPr>
              <w:t xml:space="preserve">Investments in Controlled, Affiliated Portfolio Companies—34.2% </w:t>
            </w:r>
            <w:r>
              <w:rPr>
                <w:rFonts w:ascii="Arial" w:cs="Arial" w:eastAsia="Arial" w:hAnsi="Arial"/>
                <w:sz w:val="9"/>
                <w:szCs w:val="9"/>
                <w:b w:val="1"/>
                <w:bCs w:val="1"/>
                <w:color w:val="auto"/>
                <w:w w:val="91"/>
              </w:rPr>
              <w:t>(3), (4)</w:t>
            </w: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First Lien Secured Debt—24.3%</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940" w:type="dxa"/>
            <w:vAlign w:val="bottom"/>
            <w:tcBorders>
              <w:bottom w:val="single" w:sz="8" w:color="CCECFF"/>
            </w:tcBorders>
          </w:tcPr>
          <w:p>
            <w:pPr>
              <w:jc w:val="center"/>
              <w:ind w:right="306"/>
              <w:spacing w:after="0"/>
              <w:rPr>
                <w:sz w:val="20"/>
                <w:szCs w:val="20"/>
                <w:color w:val="auto"/>
              </w:rPr>
            </w:pPr>
            <w:r>
              <w:rPr>
                <w:rFonts w:ascii="Arial" w:cs="Arial" w:eastAsia="Arial" w:hAnsi="Arial"/>
                <w:sz w:val="11"/>
                <w:szCs w:val="11"/>
                <w:color w:val="auto"/>
                <w:w w:val="90"/>
              </w:rPr>
              <w:t>05/06/2024</w:t>
            </w:r>
          </w:p>
        </w:tc>
        <w:tc>
          <w:tcPr>
            <w:tcW w:w="2300" w:type="dxa"/>
            <w:vAlign w:val="bottom"/>
            <w:tcBorders>
              <w:bottom w:val="single" w:sz="8" w:color="CCECFF"/>
            </w:tcBorders>
            <w:gridSpan w:val="2"/>
          </w:tcPr>
          <w:p>
            <w:pPr>
              <w:jc w:val="center"/>
              <w:ind w:right="260"/>
              <w:spacing w:after="0"/>
              <w:rPr>
                <w:sz w:val="20"/>
                <w:szCs w:val="20"/>
                <w:color w:val="auto"/>
              </w:rPr>
            </w:pPr>
            <w:r>
              <w:rPr>
                <w:rFonts w:ascii="Arial" w:cs="Arial" w:eastAsia="Arial" w:hAnsi="Arial"/>
                <w:sz w:val="11"/>
                <w:szCs w:val="11"/>
                <w:color w:val="auto"/>
                <w:w w:val="89"/>
              </w:rPr>
              <w:t>Financial Services</w:t>
            </w:r>
          </w:p>
        </w:tc>
        <w:tc>
          <w:tcPr>
            <w:tcW w:w="9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10.10%</w:t>
            </w:r>
          </w:p>
        </w:tc>
        <w:tc>
          <w:tcPr>
            <w:tcW w:w="9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1"/>
                <w:szCs w:val="11"/>
                <w:color w:val="auto"/>
              </w:rPr>
              <w:t>3M L+800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122,193,750</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122,193,750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122,193,750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122,193,750</w:t>
            </w: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122,193,750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b w:val="1"/>
                <w:bCs w:val="1"/>
                <w:color w:val="auto"/>
              </w:rPr>
              <w:t>Equity Interests—9.9%</w:t>
            </w: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PennantPark Senior Secured Loan Fund I LLC </w:t>
            </w:r>
            <w:r>
              <w:rPr>
                <w:rFonts w:ascii="Arial" w:cs="Arial" w:eastAsia="Arial" w:hAnsi="Arial"/>
                <w:sz w:val="9"/>
                <w:szCs w:val="9"/>
                <w:color w:val="auto"/>
              </w:rPr>
              <w:t>(7), (9), (10)</w:t>
            </w:r>
          </w:p>
        </w:tc>
        <w:tc>
          <w:tcPr>
            <w:tcW w:w="940" w:type="dxa"/>
            <w:vAlign w:val="bottom"/>
            <w:shd w:val="clear" w:color="auto" w:fill="CCECFF"/>
          </w:tcPr>
          <w:p>
            <w:pPr>
              <w:ind w:left="300"/>
              <w:spacing w:after="0"/>
              <w:rPr>
                <w:sz w:val="20"/>
                <w:szCs w:val="20"/>
                <w:color w:val="auto"/>
              </w:rPr>
            </w:pPr>
            <w:r>
              <w:rPr>
                <w:rFonts w:ascii="Arial" w:cs="Arial" w:eastAsia="Arial" w:hAnsi="Arial"/>
                <w:sz w:val="11"/>
                <w:szCs w:val="11"/>
                <w:color w:val="auto"/>
              </w:rPr>
              <w:t>—</w:t>
            </w:r>
          </w:p>
        </w:tc>
        <w:tc>
          <w:tcPr>
            <w:tcW w:w="2300" w:type="dxa"/>
            <w:vAlign w:val="bottom"/>
            <w:gridSpan w:val="2"/>
            <w:shd w:val="clear" w:color="auto" w:fill="CCECFF"/>
          </w:tcPr>
          <w:p>
            <w:pPr>
              <w:jc w:val="center"/>
              <w:ind w:right="260"/>
              <w:spacing w:after="0"/>
              <w:rPr>
                <w:sz w:val="20"/>
                <w:szCs w:val="20"/>
                <w:color w:val="auto"/>
              </w:rPr>
            </w:pPr>
            <w:r>
              <w:rPr>
                <w:rFonts w:ascii="Arial" w:cs="Arial" w:eastAsia="Arial" w:hAnsi="Arial"/>
                <w:sz w:val="11"/>
                <w:szCs w:val="11"/>
                <w:color w:val="auto"/>
                <w:w w:val="89"/>
              </w:rPr>
              <w:t>Financial Services</w:t>
            </w:r>
          </w:p>
        </w:tc>
        <w:tc>
          <w:tcPr>
            <w:tcW w:w="9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52,369</w:t>
            </w: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52,368,750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49,969,330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Equity Interests</w:t>
            </w:r>
          </w:p>
        </w:tc>
        <w:tc>
          <w:tcPr>
            <w:tcW w:w="940" w:type="dxa"/>
            <w:vAlign w:val="bottom"/>
            <w:tcBorders>
              <w:bottom w:val="single" w:sz="8" w:color="CCECFF"/>
            </w:tcBorders>
          </w:tcPr>
          <w:p>
            <w:pPr>
              <w:spacing w:after="0"/>
              <w:rPr>
                <w:sz w:val="11"/>
                <w:szCs w:val="11"/>
                <w:color w:val="auto"/>
              </w:rPr>
            </w:pPr>
          </w:p>
        </w:tc>
        <w:tc>
          <w:tcPr>
            <w:tcW w:w="21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52,368,750</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49,969,330</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Investments in Controlled, Affiliated Portfolio Companies</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174,562,500</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172,163,080</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Investments—215.0%</w:t>
            </w:r>
          </w:p>
        </w:tc>
        <w:tc>
          <w:tcPr>
            <w:tcW w:w="940" w:type="dxa"/>
            <w:vAlign w:val="bottom"/>
            <w:tcBorders>
              <w:bottom w:val="single" w:sz="8" w:color="CCECFF"/>
            </w:tcBorders>
          </w:tcPr>
          <w:p>
            <w:pPr>
              <w:spacing w:after="0"/>
              <w:rPr>
                <w:sz w:val="11"/>
                <w:szCs w:val="11"/>
                <w:color w:val="auto"/>
              </w:rPr>
            </w:pPr>
          </w:p>
        </w:tc>
        <w:tc>
          <w:tcPr>
            <w:tcW w:w="21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88"/>
              </w:rPr>
              <w:t>1,085,172,349</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3"/>
              </w:rPr>
              <w:t>1,081,706,909</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Cash and Cash Equivalents—12.6%</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60" w:type="dxa"/>
            <w:vAlign w:val="bottom"/>
            <w:shd w:val="clear" w:color="auto" w:fill="CCECFF"/>
          </w:tcPr>
          <w:p>
            <w:pPr>
              <w:spacing w:after="0"/>
              <w:rPr>
                <w:sz w:val="11"/>
                <w:szCs w:val="11"/>
                <w:color w:val="auto"/>
              </w:rPr>
            </w:pPr>
          </w:p>
        </w:tc>
        <w:tc>
          <w:tcPr>
            <w:tcW w:w="70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20"/>
                <w:szCs w:val="20"/>
                <w:color w:val="auto"/>
              </w:rPr>
            </w:pPr>
            <w:r>
              <w:rPr>
                <w:rFonts w:ascii="Arial" w:cs="Arial" w:eastAsia="Arial" w:hAnsi="Arial"/>
                <w:sz w:val="11"/>
                <w:szCs w:val="11"/>
                <w:color w:val="auto"/>
              </w:rPr>
              <w:t>BlackRock Federal FD Institutional 30</w:t>
            </w:r>
          </w:p>
        </w:tc>
        <w:tc>
          <w:tcPr>
            <w:tcW w:w="9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18,053,873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18,053,873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color w:val="auto"/>
              </w:rPr>
              <w:t>BNY Mellon Cash</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45,313,364</w:t>
            </w:r>
          </w:p>
        </w:tc>
        <w:tc>
          <w:tcPr>
            <w:tcW w:w="220" w:type="dxa"/>
            <w:vAlign w:val="bottom"/>
            <w:shd w:val="clear" w:color="auto" w:fill="CCECFF"/>
          </w:tcPr>
          <w:p>
            <w:pPr>
              <w:spacing w:after="0"/>
              <w:rPr>
                <w:sz w:val="11"/>
                <w:szCs w:val="11"/>
                <w:color w:val="auto"/>
              </w:rPr>
            </w:pPr>
          </w:p>
        </w:tc>
        <w:tc>
          <w:tcPr>
            <w:tcW w:w="60" w:type="dxa"/>
            <w:vAlign w:val="bottom"/>
            <w:tcBorders>
              <w:bottom w:val="single" w:sz="8" w:color="auto"/>
            </w:tcBorders>
            <w:shd w:val="clear" w:color="auto" w:fill="CCECFF"/>
          </w:tcPr>
          <w:p>
            <w:pPr>
              <w:spacing w:after="0"/>
              <w:rPr>
                <w:sz w:val="11"/>
                <w:szCs w:val="11"/>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45,283,855</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Cash and Cash Equivalents</w:t>
            </w:r>
          </w:p>
        </w:tc>
        <w:tc>
          <w:tcPr>
            <w:tcW w:w="940" w:type="dxa"/>
            <w:vAlign w:val="bottom"/>
            <w:tcBorders>
              <w:bottom w:val="single" w:sz="8" w:color="CCECFF"/>
            </w:tcBorders>
          </w:tcPr>
          <w:p>
            <w:pPr>
              <w:spacing w:after="0"/>
              <w:rPr>
                <w:sz w:val="11"/>
                <w:szCs w:val="11"/>
                <w:color w:val="auto"/>
              </w:rPr>
            </w:pPr>
          </w:p>
        </w:tc>
        <w:tc>
          <w:tcPr>
            <w:tcW w:w="218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80" w:type="dxa"/>
            <w:vAlign w:val="bottom"/>
            <w:tcBorders>
              <w:bottom w:val="single" w:sz="8" w:color="CCECFF"/>
            </w:tcBorders>
          </w:tcPr>
          <w:p>
            <w:pPr>
              <w:spacing w:after="0"/>
              <w:rPr>
                <w:sz w:val="11"/>
                <w:szCs w:val="11"/>
                <w:color w:val="auto"/>
              </w:rPr>
            </w:pPr>
          </w:p>
        </w:tc>
        <w:tc>
          <w:tcPr>
            <w:tcW w:w="6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66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63,367,237</w:t>
            </w:r>
          </w:p>
        </w:tc>
        <w:tc>
          <w:tcPr>
            <w:tcW w:w="220" w:type="dxa"/>
            <w:vAlign w:val="bottom"/>
            <w:tcBorders>
              <w:bottom w:val="single" w:sz="8" w:color="CCEC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63,337,728</w:t>
            </w:r>
          </w:p>
        </w:tc>
        <w:tc>
          <w:tcPr>
            <w:tcW w:w="10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Investments and Cash Equivalents—227.6%</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8"/>
              </w:rPr>
              <w:t>1,148,539,586</w:t>
            </w: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3"/>
              </w:rPr>
              <w:t>1,145,044,637</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1"/>
                <w:szCs w:val="11"/>
                <w:b w:val="1"/>
                <w:bCs w:val="1"/>
                <w:color w:val="auto"/>
              </w:rPr>
              <w:t>Liabilities in Excess of Other Assets—(127.6)%</w:t>
            </w:r>
          </w:p>
        </w:tc>
        <w:tc>
          <w:tcPr>
            <w:tcW w:w="940" w:type="dxa"/>
            <w:vAlign w:val="bottom"/>
            <w:tcBorders>
              <w:top w:val="single" w:sz="8" w:color="CCECFF"/>
            </w:tcBorders>
          </w:tcPr>
          <w:p>
            <w:pPr>
              <w:spacing w:after="0" w:line="20" w:lineRule="exact"/>
              <w:rPr>
                <w:sz w:val="1"/>
                <w:szCs w:val="1"/>
                <w:color w:val="auto"/>
              </w:rPr>
            </w:pPr>
          </w:p>
        </w:tc>
        <w:tc>
          <w:tcPr>
            <w:tcW w:w="21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0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80"/>
              <w:spacing w:after="0" w:line="116" w:lineRule="exact"/>
              <w:rPr>
                <w:sz w:val="20"/>
                <w:szCs w:val="20"/>
                <w:color w:val="auto"/>
              </w:rPr>
            </w:pPr>
            <w:r>
              <w:rPr>
                <w:rFonts w:ascii="Arial" w:cs="Arial" w:eastAsia="Arial" w:hAnsi="Arial"/>
                <w:sz w:val="11"/>
                <w:szCs w:val="11"/>
                <w:color w:val="auto"/>
              </w:rPr>
              <w:t>(641,987,126)</w:t>
            </w:r>
          </w:p>
        </w:tc>
        <w:tc>
          <w:tcPr>
            <w:tcW w:w="0" w:type="dxa"/>
            <w:vAlign w:val="bottom"/>
          </w:tcPr>
          <w:p>
            <w:pPr>
              <w:spacing w:after="0"/>
              <w:rPr>
                <w:sz w:val="1"/>
                <w:szCs w:val="1"/>
                <w:color w:val="auto"/>
              </w:rPr>
            </w:pPr>
          </w:p>
        </w:tc>
      </w:tr>
      <w:tr>
        <w:trPr>
          <w:trHeight w:val="135"/>
        </w:trPr>
        <w:tc>
          <w:tcPr>
            <w:tcW w:w="340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Net Assets—100.0%</w:t>
            </w:r>
          </w:p>
        </w:tc>
        <w:tc>
          <w:tcPr>
            <w:tcW w:w="940" w:type="dxa"/>
            <w:vAlign w:val="bottom"/>
            <w:shd w:val="clear" w:color="auto" w:fill="CCECFF"/>
          </w:tcPr>
          <w:p>
            <w:pPr>
              <w:spacing w:after="0"/>
              <w:rPr>
                <w:sz w:val="11"/>
                <w:szCs w:val="11"/>
                <w:color w:val="auto"/>
              </w:rPr>
            </w:pPr>
          </w:p>
        </w:tc>
        <w:tc>
          <w:tcPr>
            <w:tcW w:w="21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80" w:type="dxa"/>
            <w:vAlign w:val="bottom"/>
            <w:shd w:val="clear" w:color="auto" w:fill="CCECFF"/>
          </w:tcPr>
          <w:p>
            <w:pPr>
              <w:spacing w:after="0"/>
              <w:rPr>
                <w:sz w:val="11"/>
                <w:szCs w:val="11"/>
                <w:color w:val="auto"/>
              </w:rPr>
            </w:pPr>
          </w:p>
        </w:tc>
        <w:tc>
          <w:tcPr>
            <w:tcW w:w="6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60" w:type="dxa"/>
            <w:vAlign w:val="bottom"/>
            <w:shd w:val="clear" w:color="auto" w:fill="CCECFF"/>
          </w:tcPr>
          <w:p>
            <w:pPr>
              <w:spacing w:after="0"/>
              <w:rPr>
                <w:sz w:val="11"/>
                <w:szCs w:val="11"/>
                <w:color w:val="auto"/>
              </w:rPr>
            </w:pPr>
          </w:p>
        </w:tc>
        <w:tc>
          <w:tcPr>
            <w:tcW w:w="280" w:type="dxa"/>
            <w:vAlign w:val="bottom"/>
            <w:gridSpan w:val="2"/>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503,057,511</w:t>
            </w:r>
          </w:p>
        </w:tc>
        <w:tc>
          <w:tcPr>
            <w:tcW w:w="10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CFF"/>
            </w:tcBorders>
          </w:tcPr>
          <w:p>
            <w:pPr>
              <w:spacing w:after="0" w:line="20" w:lineRule="exact"/>
              <w:rPr>
                <w:sz w:val="1"/>
                <w:szCs w:val="1"/>
                <w:color w:val="auto"/>
              </w:rPr>
            </w:pPr>
          </w:p>
        </w:tc>
        <w:tc>
          <w:tcPr>
            <w:tcW w:w="940" w:type="dxa"/>
            <w:vAlign w:val="bottom"/>
            <w:tcBorders>
              <w:top w:val="single" w:sz="8" w:color="CCECFF"/>
            </w:tcBorders>
          </w:tcPr>
          <w:p>
            <w:pPr>
              <w:spacing w:after="0" w:line="20" w:lineRule="exact"/>
              <w:rPr>
                <w:sz w:val="1"/>
                <w:szCs w:val="1"/>
                <w:color w:val="auto"/>
              </w:rPr>
            </w:pPr>
          </w:p>
        </w:tc>
        <w:tc>
          <w:tcPr>
            <w:tcW w:w="218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80" w:type="dxa"/>
            <w:vAlign w:val="bottom"/>
            <w:tcBorders>
              <w:top w:val="single" w:sz="8" w:color="CCECFF"/>
            </w:tcBorders>
          </w:tcPr>
          <w:p>
            <w:pPr>
              <w:spacing w:after="0" w:line="20" w:lineRule="exact"/>
              <w:rPr>
                <w:sz w:val="1"/>
                <w:szCs w:val="1"/>
                <w:color w:val="auto"/>
              </w:rPr>
            </w:pPr>
          </w:p>
        </w:tc>
        <w:tc>
          <w:tcPr>
            <w:tcW w:w="68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CCECFF"/>
            </w:tcBorders>
          </w:tcPr>
          <w:p>
            <w:pPr>
              <w:spacing w:after="0" w:line="20" w:lineRule="exact"/>
              <w:rPr>
                <w:sz w:val="1"/>
                <w:szCs w:val="1"/>
                <w:color w:val="auto"/>
              </w:rPr>
            </w:pPr>
          </w:p>
        </w:tc>
        <w:tc>
          <w:tcPr>
            <w:tcW w:w="66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3" w:lineRule="exact"/>
        <w:rPr>
          <w:sz w:val="20"/>
          <w:szCs w:val="20"/>
          <w:color w:val="auto"/>
        </w:rPr>
      </w:pPr>
    </w:p>
    <w:p>
      <w:pPr>
        <w:ind w:left="380" w:right="20" w:hanging="372"/>
        <w:spacing w:after="0" w:line="344" w:lineRule="auto"/>
        <w:tabs>
          <w:tab w:leader="none" w:pos="380" w:val="left"/>
        </w:tabs>
        <w:numPr>
          <w:ilvl w:val="0"/>
          <w:numId w:val="4"/>
        </w:numPr>
        <w:rPr>
          <w:rFonts w:ascii="Arial" w:cs="Arial" w:eastAsia="Arial" w:hAnsi="Arial"/>
          <w:sz w:val="9"/>
          <w:szCs w:val="9"/>
          <w:color w:val="auto"/>
        </w:rPr>
      </w:pPr>
      <w:r>
        <w:rPr>
          <w:rFonts w:ascii="Arial" w:cs="Arial" w:eastAsia="Arial" w:hAnsi="Arial"/>
          <w:sz w:val="9"/>
          <w:szCs w:val="9"/>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payment-in-kind, or PIK, interest and other fee rates, if any.</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 The value of all securities was determined using significant unobservable inputs (See Note 5).</w:t>
      </w:r>
    </w:p>
    <w:p>
      <w:pPr>
        <w:spacing w:after="0" w:line="37"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spacing w:after="0" w:line="20" w:lineRule="exact"/>
        <w:rPr>
          <w:rFonts w:ascii="Arial" w:cs="Arial" w:eastAsia="Arial" w:hAnsi="Arial"/>
          <w:sz w:val="12"/>
          <w:szCs w:val="12"/>
          <w:color w:val="auto"/>
        </w:rPr>
      </w:pPr>
    </w:p>
    <w:p>
      <w:pPr>
        <w:ind w:left="38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securities, or a portion thereof, are not 1) pledged as collateral under the Credit Facility and held through Funding I; or, 2) securing the 2031 Asset-Backed Debt (See Note 10) and held through PennantPark CLO I, Ltd.</w:t>
      </w:r>
    </w:p>
    <w:p>
      <w:pPr>
        <w:spacing w:after="0" w:line="49" w:lineRule="exact"/>
        <w:rPr>
          <w:rFonts w:ascii="Arial" w:cs="Arial" w:eastAsia="Arial" w:hAnsi="Arial"/>
          <w:sz w:val="11"/>
          <w:szCs w:val="11"/>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Subsidiary (See Note 1).</w:t>
      </w:r>
    </w:p>
    <w:p>
      <w:pPr>
        <w:spacing w:after="0" w:line="37"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49" w:lineRule="exact"/>
        <w:rPr>
          <w:rFonts w:ascii="Arial" w:cs="Arial" w:eastAsia="Arial" w:hAnsi="Arial"/>
          <w:sz w:val="11"/>
          <w:szCs w:val="11"/>
          <w:color w:val="auto"/>
        </w:rPr>
      </w:pPr>
    </w:p>
    <w:p>
      <w:pPr>
        <w:ind w:left="380" w:right="20" w:hanging="372"/>
        <w:spacing w:after="0" w:line="252"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2019, qualifying assets represent 79% of our total assets and non-qualifying assets represent 21% of our total assets.</w:t>
      </w:r>
    </w:p>
    <w:p>
      <w:pPr>
        <w:spacing w:after="0" w:line="20" w:lineRule="exact"/>
        <w:rPr>
          <w:rFonts w:ascii="Arial" w:cs="Arial" w:eastAsia="Arial" w:hAnsi="Arial"/>
          <w:sz w:val="12"/>
          <w:szCs w:val="12"/>
          <w:color w:val="auto"/>
        </w:rPr>
      </w:pP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Canadian Dollars (C$) as denoted.</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06" w:lineRule="exact"/>
        <w:rPr>
          <w:sz w:val="20"/>
          <w:szCs w:val="20"/>
          <w:color w:val="auto"/>
        </w:rPr>
      </w:pPr>
    </w:p>
    <w:p>
      <w:pPr>
        <w:ind w:right="40" w:firstLine="438"/>
        <w:spacing w:after="0" w:line="228" w:lineRule="auto"/>
        <w:rPr>
          <w:sz w:val="20"/>
          <w:szCs w:val="20"/>
          <w:color w:val="auto"/>
        </w:rPr>
      </w:pPr>
      <w:r>
        <w:rPr>
          <w:rFonts w:ascii="Arial" w:cs="Arial" w:eastAsia="Arial" w:hAnsi="Arial"/>
          <w:sz w:val="14"/>
          <w:szCs w:val="14"/>
          <w:color w:val="auto"/>
        </w:rPr>
        <w:t>Our investment objectives are to generate both current income and capital appreciation while seeking to preserve capital. We seek to achieve our investment objective by investing primarily in loans bearing variable rates of interest, or Floating Rate Loans, and other investments made to U.S. middle-market private companies whose debt is rated below investment grade. Interest on Floating Rate Loans is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first lien secured debt will represent at least 65% of our overall portfolio. We generally expect to invest up to 35% of our overall portfolio opportunistically in other types of investments, including second lien secured debt, subordinated debt, and, to a lesser extent, equity investments.</w:t>
      </w:r>
    </w:p>
    <w:p>
      <w:pPr>
        <w:spacing w:after="0" w:line="117" w:lineRule="exact"/>
        <w:rPr>
          <w:sz w:val="20"/>
          <w:szCs w:val="20"/>
          <w:color w:val="auto"/>
        </w:rPr>
      </w:pPr>
    </w:p>
    <w:p>
      <w:pPr>
        <w:ind w:right="220" w:firstLine="438"/>
        <w:spacing w:after="0" w:line="290"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84"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Funding I, our wholly owned subsidiary and a special purpose entity, was organized in Delaware as a limited liability company in May 2011. We formed Funding I in order to establish the Credit Facility. The Investment Adviser serves as the collateral manager to Funding I and has irrevocably directed that the management fee owed with respect to such services is to be paid to us so long as the Investment Adviser remains the collateral manager. This arrangement does not increase our consolidated management fee. The Credit Facility allows Funding I to borrow up to $520 million at LIBOR (or an alternative risk-free floating interest rate index) plus 200 basis points during the revolving period. The Credit Facility is secured by all of the assets held by Funding I. See Note 10.</w:t>
      </w:r>
    </w:p>
    <w:p>
      <w:pPr>
        <w:spacing w:after="0" w:line="116"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4" w:lineRule="exact"/>
        <w:rPr>
          <w:sz w:val="20"/>
          <w:szCs w:val="20"/>
          <w:color w:val="auto"/>
        </w:rPr>
      </w:pPr>
    </w:p>
    <w:p>
      <w:pPr>
        <w:ind w:right="400" w:firstLine="438"/>
        <w:spacing w:after="0" w:line="290" w:lineRule="auto"/>
        <w:rPr>
          <w:sz w:val="20"/>
          <w:szCs w:val="20"/>
          <w:color w:val="auto"/>
        </w:rPr>
      </w:pPr>
      <w:r>
        <w:rPr>
          <w:rFonts w:ascii="Arial" w:cs="Arial" w:eastAsia="Arial" w:hAnsi="Arial"/>
          <w:sz w:val="13"/>
          <w:szCs w:val="13"/>
          <w:color w:val="auto"/>
        </w:rPr>
        <w:t>In May 2017, we and a subsidiary of Kemper Corporation (NYSE: KMPR), Trinity Universal Insurance Company, or Kemper, formed PSSL, an unconsolidated joint venture. PSSL invests primarily in middle-market and other corporate debt securities consistent with our strategy. PSSL was formed as a Delaware limited liability company. See Note 4.</w:t>
      </w:r>
    </w:p>
    <w:p>
      <w:pPr>
        <w:spacing w:after="0" w:line="84" w:lineRule="exact"/>
        <w:rPr>
          <w:sz w:val="20"/>
          <w:szCs w:val="20"/>
          <w:color w:val="auto"/>
        </w:rPr>
      </w:pPr>
    </w:p>
    <w:p>
      <w:pPr>
        <w:ind w:right="180" w:firstLine="438"/>
        <w:spacing w:after="0" w:line="233" w:lineRule="auto"/>
        <w:rPr>
          <w:sz w:val="20"/>
          <w:szCs w:val="20"/>
          <w:color w:val="auto"/>
        </w:rPr>
      </w:pPr>
      <w:r>
        <w:rPr>
          <w:rFonts w:ascii="Arial" w:cs="Arial" w:eastAsia="Arial" w:hAnsi="Arial"/>
          <w:sz w:val="14"/>
          <w:szCs w:val="14"/>
          <w:color w:val="auto"/>
        </w:rPr>
        <w:t>In November 2017, we issued $138.6 million of our 2023 Notes. The principal on the 2023 Notes will be payable in four annual installments as follows: 15% of the original principal amount on December 15, 2020, 15% of the original principal amount on December 15, 2021, 15% of the original principal amount on December 15, 2022 and 55% on December 15, 2023. The 2023 Notes are general, unsecured obligations and rank equal in right of payment with all of our existing and future senior unsecured indebtedness. The 2023 Notes are listed on the Tel Aviv Stock Exchange, or the TASE. In connection with this offering, we have dual listed our common stock on the TASE.</w:t>
      </w:r>
    </w:p>
    <w:p>
      <w:pPr>
        <w:spacing w:after="0" w:line="117" w:lineRule="exact"/>
        <w:rPr>
          <w:sz w:val="20"/>
          <w:szCs w:val="20"/>
          <w:color w:val="auto"/>
        </w:rPr>
      </w:pPr>
    </w:p>
    <w:p>
      <w:pPr>
        <w:ind w:right="140" w:firstLine="438"/>
        <w:spacing w:after="0" w:line="231" w:lineRule="auto"/>
        <w:rPr>
          <w:sz w:val="20"/>
          <w:szCs w:val="20"/>
          <w:color w:val="auto"/>
        </w:rPr>
      </w:pPr>
      <w:r>
        <w:rPr>
          <w:rFonts w:ascii="Arial" w:cs="Arial" w:eastAsia="Arial" w:hAnsi="Arial"/>
          <w:sz w:val="14"/>
          <w:szCs w:val="14"/>
          <w:color w:val="auto"/>
        </w:rPr>
        <w:t>In September 2019, the Securitization Issuers completed the Debt Securitization. The 2031 Asset-Backed Debt is secured by a diversified portfolio of the Securitization Issuer consisting primarily of middle market loans and participation interests in middle market loans. The 2031 Asset-Backed Debt is scheduled to mature on October 15, 2031. 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See Note 10.</w:t>
      </w:r>
    </w:p>
    <w:p>
      <w:pPr>
        <w:spacing w:after="0" w:line="11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We are operated by a person who has claimed an exclusion from the definition of the term “commodity pool operator” under the Commodity Exchange Act and, therefore, is not subject to registration or regulation as a commodity pool operator under the Commodity Exchange Act.</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40" w:firstLine="438"/>
        <w:spacing w:after="0" w:line="245"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Changes in the economic and regulatory environment, financial markets, the credit worthiness of our portfolio companies, the global outbreak of the novel coronavirus (“COVID-19”) during the first quarter of 2020, and any other parameters used in determining these estimates and assumptions could cause actual results to differ from these estimates and assumptions. We may reclassify certain prior period amounts to conform to the current period presentation. We have eliminated all intercompany balances and transactions. References to the Financial Accounting Standards Board’s, or FASB’s,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6" w:lineRule="exact"/>
        <w:rPr>
          <w:sz w:val="20"/>
          <w:szCs w:val="20"/>
          <w:color w:val="auto"/>
        </w:rPr>
      </w:pPr>
    </w:p>
    <w:p>
      <w:pPr>
        <w:ind w:right="280" w:firstLine="438"/>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13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0"/>
        <w:spacing w:after="0" w:line="253" w:lineRule="auto"/>
        <w:rPr>
          <w:sz w:val="20"/>
          <w:szCs w:val="20"/>
          <w:color w:val="auto"/>
        </w:rPr>
      </w:pPr>
      <w:r>
        <w:rPr>
          <w:rFonts w:ascii="Arial" w:cs="Arial" w:eastAsia="Arial" w:hAnsi="Arial"/>
          <w:sz w:val="14"/>
          <w:szCs w:val="14"/>
          <w:color w:val="auto"/>
        </w:rPr>
        <w:t>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06" w:lineRule="exact"/>
        <w:rPr>
          <w:sz w:val="20"/>
          <w:szCs w:val="20"/>
          <w:color w:val="auto"/>
        </w:rPr>
      </w:pPr>
    </w:p>
    <w:p>
      <w:pPr>
        <w:ind w:right="36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00" w:right="400" w:hanging="360"/>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the Investment Adviser responsible for the portfolio investment;</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the Investment Adviser;</w:t>
      </w:r>
    </w:p>
    <w:p>
      <w:pPr>
        <w:spacing w:after="0" w:line="136" w:lineRule="exact"/>
        <w:rPr>
          <w:rFonts w:ascii="Arial" w:cs="Arial" w:eastAsia="Arial" w:hAnsi="Arial"/>
          <w:sz w:val="14"/>
          <w:szCs w:val="14"/>
          <w:color w:val="auto"/>
        </w:rPr>
      </w:pPr>
    </w:p>
    <w:p>
      <w:pPr>
        <w:jc w:val="both"/>
        <w:ind w:left="800" w:right="160" w:hanging="360"/>
        <w:spacing w:after="0" w:line="264" w:lineRule="auto"/>
        <w:tabs>
          <w:tab w:leader="none" w:pos="80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40" w:hanging="360"/>
        <w:spacing w:after="0" w:line="238"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180" w:hanging="360"/>
        <w:spacing w:after="0" w:line="253" w:lineRule="auto"/>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2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136"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the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ind w:right="80" w:firstLine="438"/>
        <w:spacing w:after="0" w:line="245"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earned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Subtopic 450-30, Gain Contingencies, or ASC 450-30.</w:t>
      </w:r>
    </w:p>
    <w:p>
      <w:pPr>
        <w:spacing w:after="0" w:line="116" w:lineRule="exact"/>
        <w:rPr>
          <w:sz w:val="20"/>
          <w:szCs w:val="20"/>
          <w:color w:val="auto"/>
        </w:rPr>
      </w:pPr>
    </w:p>
    <w:p>
      <w:pPr>
        <w:ind w:right="320" w:firstLine="438"/>
        <w:spacing w:after="0" w:line="251" w:lineRule="auto"/>
        <w:rPr>
          <w:sz w:val="20"/>
          <w:szCs w:val="20"/>
          <w:color w:val="auto"/>
        </w:rPr>
      </w:pPr>
      <w:r>
        <w:rPr>
          <w:rFonts w:ascii="Arial" w:cs="Arial" w:eastAsia="Arial" w:hAnsi="Arial"/>
          <w:sz w:val="13"/>
          <w:szCs w:val="13"/>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 As of June 30, 2020, we had three portfolio companies on non-accrual, representing 2.2% and 1.8% of our overall portfolio on a cost and fair value basis, respectively. As of September 30, 2019, we had one portfolio company on non-accrual, representing 0.4% and zero of our overall portfolio on a cost and fair value basis, respectively.</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 Income Taxes</w:t>
      </w:r>
    </w:p>
    <w:p>
      <w:pPr>
        <w:spacing w:after="0" w:line="13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for U.S. federal income tax purposes, we typically do not incur any material U.S. federal income taxes. However, we may choose to retain a portion of our calendar year income, which may result in the imposition of a U.S. federal excise tax, or we may incur taxes through our taxable subsidiaries, including the Taxable Subsidiary. For the three and nine months ended June 30, 2020, we recorded a provision for taxes of $0.1 million and $0.3 million, respectively, pertaining to U.S. federal excise tax. For both the three and nine months ended June 30, 2019, we did not record a provision for taxes.</w:t>
      </w:r>
    </w:p>
    <w:p>
      <w:pPr>
        <w:spacing w:after="0" w:line="117" w:lineRule="exact"/>
        <w:rPr>
          <w:sz w:val="20"/>
          <w:szCs w:val="20"/>
          <w:color w:val="auto"/>
        </w:rPr>
      </w:pPr>
    </w:p>
    <w:p>
      <w:pPr>
        <w:jc w:val="both"/>
        <w:ind w:right="20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Because U.S. federal income tax regulations differ from GAAP, distributions characterized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136" w:lineRule="exact"/>
        <w:rPr>
          <w:sz w:val="20"/>
          <w:szCs w:val="20"/>
          <w:color w:val="auto"/>
        </w:rPr>
      </w:pPr>
    </w:p>
    <w:p>
      <w:pPr>
        <w:ind w:right="100" w:firstLine="438"/>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3"/>
          <w:szCs w:val="13"/>
          <w:color w:val="auto"/>
        </w:rPr>
        <w:t>Capital transactions in connection with offerings of our common stock are recorded when issued and offering costs are charged as a reduction of capital upon issuance of our common</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stock.</w:t>
      </w:r>
    </w:p>
    <w:p>
      <w:pPr>
        <w:spacing w:after="0" w:line="124" w:lineRule="exact"/>
        <w:rPr>
          <w:sz w:val="20"/>
          <w:szCs w:val="20"/>
          <w:color w:val="auto"/>
        </w:rPr>
      </w:pPr>
    </w:p>
    <w:p>
      <w:pPr>
        <w:ind w:left="460" w:hanging="204"/>
        <w:spacing w:after="0"/>
        <w:tabs>
          <w:tab w:leader="none" w:pos="460" w:val="left"/>
        </w:tabs>
        <w:numPr>
          <w:ilvl w:val="0"/>
          <w:numId w:val="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rFonts w:ascii="Arial" w:cs="Arial" w:eastAsia="Arial" w:hAnsi="Arial"/>
          <w:sz w:val="14"/>
          <w:szCs w:val="14"/>
          <w:b w:val="1"/>
          <w:bCs w:val="1"/>
          <w:i w:val="1"/>
          <w:iCs w:val="1"/>
          <w:color w:val="auto"/>
        </w:rPr>
      </w:pPr>
    </w:p>
    <w:p>
      <w:pPr>
        <w:ind w:left="440"/>
        <w:spacing w:after="0"/>
        <w:rPr>
          <w:rFonts w:ascii="Arial" w:cs="Arial" w:eastAsia="Arial" w:hAnsi="Arial"/>
          <w:sz w:val="14"/>
          <w:szCs w:val="14"/>
          <w:b w:val="1"/>
          <w:bCs w:val="1"/>
          <w:i w:val="1"/>
          <w:iCs w:val="1"/>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rFonts w:ascii="Arial" w:cs="Arial" w:eastAsia="Arial" w:hAnsi="Arial"/>
          <w:sz w:val="14"/>
          <w:szCs w:val="14"/>
          <w:b w:val="1"/>
          <w:bCs w:val="1"/>
          <w:i w:val="1"/>
          <w:iCs w:val="1"/>
          <w:color w:val="auto"/>
        </w:rPr>
      </w:pPr>
    </w:p>
    <w:p>
      <w:pPr>
        <w:ind w:left="820" w:hanging="367"/>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820" w:hanging="367"/>
        <w:spacing w:after="0"/>
        <w:tabs>
          <w:tab w:leader="none" w:pos="820" w:val="left"/>
        </w:tabs>
        <w:numPr>
          <w:ilvl w:val="1"/>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136" w:lineRule="exact"/>
        <w:rPr>
          <w:sz w:val="20"/>
          <w:szCs w:val="20"/>
          <w:color w:val="auto"/>
        </w:rPr>
      </w:pPr>
    </w:p>
    <w:p>
      <w:pPr>
        <w:jc w:val="both"/>
        <w:ind w:right="60" w:firstLine="438"/>
        <w:spacing w:after="0" w:line="233" w:lineRule="auto"/>
        <w:rPr>
          <w:sz w:val="20"/>
          <w:szCs w:val="20"/>
          <w:color w:val="auto"/>
        </w:rPr>
      </w:pPr>
      <w:r>
        <w:rPr>
          <w:rFonts w:ascii="Arial" w:cs="Arial" w:eastAsia="Arial" w:hAnsi="Arial"/>
          <w:sz w:val="14"/>
          <w:szCs w:val="14"/>
          <w:color w:val="auto"/>
        </w:rPr>
        <w:t>As permitted under Regulation S-X and as explained by ASC paragraph 946-810-45-3, we will generally not consolidate our investment in a company other than an investment company subsidiary or a controlled operating company whose business consists of providing services to us. Accordingly, we have consolidated the results of our taxable subsidiaries, including the Taxable Subsidiary, Funding I and the Securitization Issuer in our Consolidated Financial Statements. We do not consolidate our investment in PSSL. See further description of our investment in PSSL in Note 4.</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Asset Transfers and Servicing</w:t>
      </w:r>
    </w:p>
    <w:p>
      <w:pPr>
        <w:spacing w:after="0" w:line="136" w:lineRule="exact"/>
        <w:rPr>
          <w:sz w:val="20"/>
          <w:szCs w:val="20"/>
          <w:color w:val="auto"/>
        </w:rPr>
      </w:pPr>
    </w:p>
    <w:p>
      <w:pPr>
        <w:jc w:val="both"/>
        <w:ind w:firstLine="438"/>
        <w:spacing w:after="0" w:line="238" w:lineRule="auto"/>
        <w:rPr>
          <w:sz w:val="20"/>
          <w:szCs w:val="20"/>
          <w:color w:val="auto"/>
        </w:rPr>
      </w:pPr>
      <w:r>
        <w:rPr>
          <w:rFonts w:ascii="Arial" w:cs="Arial" w:eastAsia="Arial" w:hAnsi="Arial"/>
          <w:sz w:val="14"/>
          <w:szCs w:val="14"/>
          <w:color w:val="auto"/>
        </w:rPr>
        <w:t>Asset transfers that do not meet ASC Topic 860, Transfers and Servicing, requirements for sale accounting treatment are reflected in the Consolidated Statements of Assets and Liabilities and the Consolidated Schedules of Investments as investments. The creditors of Funding I have received a security interest in all of its assets and such assets are not intended to be available to our creditors or any of our affiliates.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60" w:firstLine="438"/>
        <w:spacing w:after="0" w:line="251"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2020.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the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 a base management fee and an incentive fee.</w:t>
      </w:r>
    </w:p>
    <w:p>
      <w:pPr>
        <w:spacing w:after="0" w:line="109" w:lineRule="exact"/>
        <w:rPr>
          <w:sz w:val="20"/>
          <w:szCs w:val="20"/>
          <w:color w:val="auto"/>
        </w:rPr>
      </w:pPr>
    </w:p>
    <w:p>
      <w:pPr>
        <w:ind w:right="40" w:firstLine="438"/>
        <w:spacing w:after="0" w:line="227" w:lineRule="auto"/>
        <w:rPr>
          <w:sz w:val="20"/>
          <w:szCs w:val="20"/>
          <w:color w:val="auto"/>
        </w:rPr>
      </w:pPr>
      <w:r>
        <w:rPr>
          <w:rFonts w:ascii="Arial" w:cs="Arial" w:eastAsia="Arial" w:hAnsi="Arial"/>
          <w:sz w:val="14"/>
          <w:szCs w:val="14"/>
          <w:color w:val="auto"/>
        </w:rPr>
        <w:t>The base management fee is calculated at an annual rate of 1.00% of our “average adjusted gross assets,” which equals our gross assets (exclusive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nine months ended June 30, 2020, the Investment Adviser earned a base management fee of $2.9 million and $8.7 million, respectively, from us. For the three and nine months ended June 30, 2019, the Investment Adviser earned a base management fee of $2.6 million and $7.5 million, respectively, from us.</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3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438"/>
        <w:spacing w:after="0" w:line="245" w:lineRule="auto"/>
        <w:rPr>
          <w:sz w:val="20"/>
          <w:szCs w:val="20"/>
          <w:color w:val="auto"/>
        </w:rPr>
      </w:pPr>
      <w:r>
        <w:rPr>
          <w:rFonts w:ascii="Arial" w:cs="Arial" w:eastAsia="Arial" w:hAnsi="Arial"/>
          <w:sz w:val="13"/>
          <w:szCs w:val="13"/>
          <w:color w:val="auto"/>
        </w:rPr>
        <w:t>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(we refer to this portion of our Pre-Incentive Fee Net Investment Income (which exceeds the hurdle but is less than 2.9167%) as the “catch-up,” which is meant to provide our Investment Adviser with 20% of our Pre-Incentive Fee Net Investment Income, as if a hurdle did not apply, if this net investment income exceeds 2.9167% in any calendar quarter), and (3) 20% of the amount of our Pre-Incentive Fee Net Investment Income, if any, that exceeds 2.9167% in any calendar quarter. These calculations are pro-rated for any share issuances or repurchases during the relevant quarter, if applicable. For the three and nine months ended June 30, 2020, the Investment Adviser earned $2.0 million and $7.2 million, respectively, in incentive fees on net investment income from us. For the three and nine months ended June 30, 2019, the Investment Adviser earned $2.4 million and $5.1 million, respectively, in incentive fees on net investment income from us.</w:t>
      </w:r>
    </w:p>
    <w:p>
      <w:pPr>
        <w:spacing w:after="0" w:line="116"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both the three and nine months ended June 30, 2020 and 2019, the Investment Adviser did not accrue an incentive fee on capital gains, as calculated under the Investment Management Agreement (as described above).</w:t>
      </w:r>
    </w:p>
    <w:p>
      <w:pPr>
        <w:spacing w:after="0" w:line="107" w:lineRule="exact"/>
        <w:rPr>
          <w:sz w:val="20"/>
          <w:szCs w:val="20"/>
          <w:color w:val="auto"/>
        </w:rPr>
      </w:pPr>
    </w:p>
    <w:p>
      <w:pPr>
        <w:ind w:right="40" w:firstLine="438"/>
        <w:spacing w:after="0" w:line="226"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to incentive fees paid in all prior years. If such amount is negative, then there is no accrual for such year. There can be no assurance that such unrealized capital appreciation will be realized in the future. The incentive fee accrued for, but not payable, under GAAP on our unrealized and realized capital gains for both the three and nine months ended June 30, 2020 was zero. The incentive fee accrued for, but not payable, under GAAP on our unrealized and realized capital gains for the three and nine months ended June 30, 2019 was zero and $(1.4) million, respectively.</w:t>
      </w:r>
    </w:p>
    <w:p>
      <w:pPr>
        <w:spacing w:after="0" w:line="121" w:lineRule="exact"/>
        <w:rPr>
          <w:sz w:val="20"/>
          <w:szCs w:val="20"/>
          <w:color w:val="auto"/>
        </w:rPr>
      </w:pPr>
    </w:p>
    <w:p>
      <w:pPr>
        <w:ind w:right="20" w:firstLine="438"/>
        <w:spacing w:after="0" w:line="226" w:lineRule="auto"/>
        <w:rPr>
          <w:sz w:val="20"/>
          <w:szCs w:val="20"/>
          <w:color w:val="auto"/>
        </w:rPr>
      </w:pPr>
      <w:r>
        <w:rPr>
          <w:rFonts w:ascii="Arial" w:cs="Arial" w:eastAsia="Arial" w:hAnsi="Arial"/>
          <w:sz w:val="14"/>
          <w:szCs w:val="14"/>
          <w:color w:val="auto"/>
        </w:rPr>
        <w:t>The Administration Agreement with the Administrator was reapproved by our board of directors, including a majority of the directors who are not interested persons of us, in February 2020. Under the Administration Agreement, the Administrator provides administrative services and office facilities to us.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2020, we reimbursed the Investment Adviser approximately $0.3 million and $1.4 million, respectively, including expenses the Investment Adviser incurred on behalf of the Administrator, for services described above. For the three and nine months ended June 30, 2019, we reimbursed the Investment Adviser approximately $0.4 million and $1.5 million, respectively, including expenses the Investment Adviser incurred on behalf of the Administrator, for services described above.</w:t>
      </w:r>
    </w:p>
    <w:p>
      <w:pPr>
        <w:spacing w:after="0" w:line="121" w:lineRule="exact"/>
        <w:rPr>
          <w:sz w:val="20"/>
          <w:szCs w:val="20"/>
          <w:color w:val="auto"/>
        </w:rPr>
      </w:pPr>
    </w:p>
    <w:p>
      <w:pPr>
        <w:jc w:val="both"/>
        <w:ind w:right="380" w:firstLine="438"/>
        <w:spacing w:after="0" w:line="238" w:lineRule="auto"/>
        <w:rPr>
          <w:sz w:val="20"/>
          <w:szCs w:val="20"/>
          <w:color w:val="auto"/>
        </w:rPr>
      </w:pPr>
      <w:r>
        <w:rPr>
          <w:rFonts w:ascii="Arial" w:cs="Arial" w:eastAsia="Arial" w:hAnsi="Arial"/>
          <w:sz w:val="14"/>
          <w:szCs w:val="14"/>
          <w:color w:val="auto"/>
        </w:rPr>
        <w:t>During the three and nine months ended June 30, 2020, the Company sold zero and $15.0 million, respectively, in total investments to an affiliated fund managed by our Investment Adviser in accordance with, and pursuant to procedures adopted under, Rule 17a-7 of the 1940 Act. Realized losses on those sales for the same periods amounted to zero and $1.0 million, respectively. There were no transactions subject to Rule 17a-7 under the 1940 Act during the three and nine months ended June 30, 2019.</w:t>
      </w:r>
    </w:p>
    <w:p>
      <w:pPr>
        <w:spacing w:after="0" w:line="115" w:lineRule="exact"/>
        <w:rPr>
          <w:sz w:val="20"/>
          <w:szCs w:val="20"/>
          <w:color w:val="auto"/>
        </w:rPr>
      </w:pPr>
    </w:p>
    <w:p>
      <w:pPr>
        <w:jc w:val="both"/>
        <w:ind w:right="20" w:firstLine="438"/>
        <w:spacing w:after="0" w:line="238" w:lineRule="auto"/>
        <w:rPr>
          <w:sz w:val="20"/>
          <w:szCs w:val="20"/>
          <w:color w:val="auto"/>
        </w:rPr>
      </w:pPr>
      <w:r>
        <w:rPr>
          <w:rFonts w:ascii="Arial" w:cs="Arial" w:eastAsia="Arial" w:hAnsi="Arial"/>
          <w:sz w:val="14"/>
          <w:szCs w:val="14"/>
          <w:color w:val="auto"/>
        </w:rPr>
        <w:t>For the three and nine months ended June 30, 2020, we sold zero and $86.7 million in investments, respectively, to PSSL at fair value and recognized zero and $0.5 million of net realized gains, respectively. For the three and nine months ended June 30, 2019, we sold zero and $57.7 million in investments, respectively, to PSSL at fair value and recognized zero and $0.2 million of net realized gains, respectively.</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Purchases of investments, including PIK interest, for the three and nine months ended June 30, 2020 totaled $15.0 million and $423.0 million, respectively. For the same periods in the prior year, purchases of investments, including PIK interest, totaled $183.7 million and $501.0 million, respectively. Sales and repayments of investments for the three and nine months ended June 30, 2020 totaled $104.1 million and $347.2 million, respectively. For the same periods in the prior year, sales and repayments of investments totaled $66.6 million and $400.1 million, respectively.</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9" w:name="page20"/>
    <w:bookmarkEnd w:id="19"/>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540" w:type="dxa"/>
            <w:vAlign w:val="bottom"/>
            <w:gridSpan w:val="2"/>
          </w:tcPr>
          <w:p>
            <w:pPr>
              <w:ind w:left="440"/>
              <w:spacing w:after="0"/>
              <w:rPr>
                <w:sz w:val="20"/>
                <w:szCs w:val="20"/>
                <w:color w:val="auto"/>
              </w:rPr>
            </w:pPr>
            <w:r>
              <w:rPr>
                <w:rFonts w:ascii="Arial" w:cs="Arial" w:eastAsia="Arial" w:hAnsi="Arial"/>
                <w:sz w:val="14"/>
                <w:szCs w:val="14"/>
                <w:color w:val="auto"/>
                <w:w w:val="98"/>
              </w:rPr>
              <w:t>Investments, cash and cash equivalents consisted of the following:</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320" w:type="dxa"/>
            <w:vAlign w:val="bottom"/>
          </w:tcPr>
          <w:p>
            <w:pPr>
              <w:spacing w:after="0"/>
              <w:rPr>
                <w:sz w:val="22"/>
                <w:szCs w:val="22"/>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2020</w:t>
            </w:r>
          </w:p>
        </w:tc>
        <w:tc>
          <w:tcPr>
            <w:tcW w:w="1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940" w:type="dxa"/>
            <w:vAlign w:val="bottom"/>
            <w:gridSpan w:val="6"/>
          </w:tcPr>
          <w:p>
            <w:pPr>
              <w:ind w:left="64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55"/>
        </w:trPr>
        <w:tc>
          <w:tcPr>
            <w:tcW w:w="45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508"/>
              <w:spacing w:after="0" w:line="155" w:lineRule="exact"/>
              <w:rPr>
                <w:sz w:val="20"/>
                <w:szCs w:val="20"/>
                <w:color w:val="auto"/>
              </w:rPr>
            </w:pPr>
            <w:r>
              <w:rPr>
                <w:rFonts w:ascii="Arial" w:cs="Arial" w:eastAsia="Arial" w:hAnsi="Arial"/>
                <w:sz w:val="14"/>
                <w:szCs w:val="14"/>
                <w:b w:val="1"/>
                <w:bCs w:val="1"/>
                <w:color w:val="auto"/>
              </w:rPr>
              <w:t>Cost</w:t>
            </w:r>
          </w:p>
        </w:tc>
        <w:tc>
          <w:tcPr>
            <w:tcW w:w="28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40"/>
              <w:spacing w:after="0" w:line="155" w:lineRule="exact"/>
              <w:rPr>
                <w:sz w:val="20"/>
                <w:szCs w:val="20"/>
                <w:color w:val="auto"/>
              </w:rPr>
            </w:pPr>
            <w:r>
              <w:rPr>
                <w:rFonts w:ascii="Arial" w:cs="Arial" w:eastAsia="Arial" w:hAnsi="Arial"/>
                <w:sz w:val="14"/>
                <w:szCs w:val="14"/>
                <w:b w:val="1"/>
                <w:bCs w:val="1"/>
                <w:color w:val="auto"/>
              </w:rPr>
              <w:t>Cost</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3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900,525,703</w:t>
            </w:r>
          </w:p>
        </w:tc>
        <w:tc>
          <w:tcPr>
            <w:tcW w:w="28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870,228,947</w:t>
            </w:r>
          </w:p>
        </w:tc>
        <w:tc>
          <w:tcPr>
            <w:tcW w:w="28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833,678,981</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822,707,050</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First lien in PSSL</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123,418,750</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123,418,750</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122,193,750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122,193,750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Second lien</w:t>
            </w: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33,056,740</w:t>
            </w:r>
          </w:p>
        </w:tc>
        <w:tc>
          <w:tcPr>
            <w:tcW w:w="28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31,715,006</w:t>
            </w:r>
          </w:p>
        </w:tc>
        <w:tc>
          <w:tcPr>
            <w:tcW w:w="28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34,307,150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34,370,598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tcPr>
          <w:p>
            <w:pPr>
              <w:spacing w:after="0"/>
              <w:rPr>
                <w:sz w:val="20"/>
                <w:szCs w:val="20"/>
                <w:color w:val="auto"/>
              </w:rPr>
            </w:pPr>
            <w:r>
              <w:rPr>
                <w:rFonts w:ascii="Arial" w:cs="Arial" w:eastAsia="Arial" w:hAnsi="Arial"/>
                <w:sz w:val="14"/>
                <w:szCs w:val="14"/>
                <w:color w:val="auto"/>
              </w:rPr>
              <w:t>Equity</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44,321,604</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43,012,883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42,623,718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52,466,181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 in PSSL</w:t>
            </w: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52,893,750</w:t>
            </w:r>
          </w:p>
        </w:tc>
        <w:tc>
          <w:tcPr>
            <w:tcW w:w="28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35,977,665</w:t>
            </w:r>
          </w:p>
        </w:tc>
        <w:tc>
          <w:tcPr>
            <w:tcW w:w="280" w:type="dxa"/>
            <w:vAlign w:val="bottom"/>
            <w:shd w:val="clear" w:color="auto" w:fill="CCECFF"/>
          </w:tcPr>
          <w:p>
            <w:pPr>
              <w:spacing w:after="0"/>
              <w:rPr>
                <w:sz w:val="14"/>
                <w:szCs w:val="14"/>
                <w:color w:val="auto"/>
              </w:rPr>
            </w:pPr>
          </w:p>
        </w:tc>
        <w:tc>
          <w:tcPr>
            <w:tcW w:w="320" w:type="dxa"/>
            <w:vAlign w:val="bottom"/>
            <w:tcBorders>
              <w:bottom w:val="single" w:sz="8" w:color="auto"/>
            </w:tcBorders>
            <w:shd w:val="clear" w:color="auto" w:fill="CCECFF"/>
          </w:tcPr>
          <w:p>
            <w:pPr>
              <w:spacing w:after="0"/>
              <w:rPr>
                <w:sz w:val="14"/>
                <w:szCs w:val="14"/>
                <w:color w:val="auto"/>
              </w:rPr>
            </w:pPr>
          </w:p>
        </w:tc>
        <w:tc>
          <w:tcPr>
            <w:tcW w:w="11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52,368,750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49,969,330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40" w:type="dxa"/>
            <w:vAlign w:val="bottom"/>
            <w:tcBorders>
              <w:bottom w:val="single" w:sz="8" w:color="CCECFF"/>
            </w:tcBorders>
            <w:gridSpan w:val="2"/>
          </w:tcPr>
          <w:p>
            <w:pPr>
              <w:spacing w:after="0" w:line="155" w:lineRule="exact"/>
              <w:rPr>
                <w:sz w:val="20"/>
                <w:szCs w:val="20"/>
                <w:color w:val="auto"/>
              </w:rPr>
            </w:pPr>
            <w:r>
              <w:rPr>
                <w:rFonts w:ascii="Arial" w:cs="Arial" w:eastAsia="Arial" w:hAnsi="Arial"/>
                <w:sz w:val="14"/>
                <w:szCs w:val="14"/>
                <w:color w:val="auto"/>
              </w:rPr>
              <w:t>Total investments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1,154,216,547</w:t>
            </w:r>
          </w:p>
        </w:tc>
        <w:tc>
          <w:tcPr>
            <w:tcW w:w="28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1,104,353,251</w:t>
            </w:r>
          </w:p>
        </w:tc>
        <w:tc>
          <w:tcPr>
            <w:tcW w:w="280" w:type="dxa"/>
            <w:vAlign w:val="bottom"/>
            <w:tcBorders>
              <w:bottom w:val="single" w:sz="8" w:color="CCEC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1,085,172,349</w:t>
            </w:r>
          </w:p>
        </w:tc>
        <w:tc>
          <w:tcPr>
            <w:tcW w:w="26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1,081,706,909</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4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53,473,103</w:t>
            </w:r>
          </w:p>
        </w:tc>
        <w:tc>
          <w:tcPr>
            <w:tcW w:w="28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53,405,925</w:t>
            </w:r>
          </w:p>
        </w:tc>
        <w:tc>
          <w:tcPr>
            <w:tcW w:w="280" w:type="dxa"/>
            <w:vAlign w:val="bottom"/>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spacing w:after="0"/>
              <w:rPr>
                <w:sz w:val="13"/>
                <w:szCs w:val="13"/>
                <w:color w:val="auto"/>
              </w:rPr>
            </w:pPr>
          </w:p>
        </w:tc>
        <w:tc>
          <w:tcPr>
            <w:tcW w:w="1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63,367,237</w:t>
            </w:r>
          </w:p>
        </w:tc>
        <w:tc>
          <w:tcPr>
            <w:tcW w:w="26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12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63,337,728</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gridSpan w:val="2"/>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32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1,207,689,650</w:t>
            </w:r>
          </w:p>
        </w:tc>
        <w:tc>
          <w:tcPr>
            <w:tcW w:w="280" w:type="dxa"/>
            <w:vAlign w:val="bottom"/>
          </w:tcPr>
          <w:p>
            <w:pPr>
              <w:spacing w:after="0"/>
              <w:rPr>
                <w:sz w:val="13"/>
                <w:szCs w:val="13"/>
                <w:color w:val="auto"/>
              </w:rPr>
            </w:pPr>
          </w:p>
        </w:tc>
        <w:tc>
          <w:tcPr>
            <w:tcW w:w="340" w:type="dxa"/>
            <w:vAlign w:val="bottom"/>
            <w:tcBorders>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1,157,759,176</w:t>
            </w:r>
          </w:p>
        </w:tc>
        <w:tc>
          <w:tcPr>
            <w:tcW w:w="280" w:type="dxa"/>
            <w:vAlign w:val="bottom"/>
          </w:tcPr>
          <w:p>
            <w:pPr>
              <w:spacing w:after="0"/>
              <w:rPr>
                <w:sz w:val="13"/>
                <w:szCs w:val="13"/>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1,148,539,586</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1,145,044,637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200" w:type="dxa"/>
            <w:vAlign w:val="bottom"/>
            <w:tcBorders>
              <w:bottom w:val="single" w:sz="8" w:color="CCECFF"/>
            </w:tcBorders>
          </w:tcPr>
          <w:p>
            <w:pPr>
              <w:spacing w:after="0"/>
              <w:rPr>
                <w:sz w:val="14"/>
                <w:szCs w:val="14"/>
                <w:color w:val="auto"/>
              </w:rPr>
            </w:pPr>
          </w:p>
        </w:tc>
        <w:tc>
          <w:tcPr>
            <w:tcW w:w="18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xml:space="preserve">June 30, 2020 </w:t>
            </w:r>
            <w:r>
              <w:rPr>
                <w:rFonts w:ascii="Arial" w:cs="Arial" w:eastAsia="Arial" w:hAnsi="Arial"/>
                <w:sz w:val="12"/>
                <w:szCs w:val="12"/>
                <w:b w:val="1"/>
                <w:bCs w:val="1"/>
                <w:color w:val="auto"/>
              </w:rPr>
              <w:t>(1)</w:t>
            </w:r>
          </w:p>
        </w:tc>
        <w:tc>
          <w:tcPr>
            <w:tcW w:w="320" w:type="dxa"/>
            <w:vAlign w:val="bottom"/>
            <w:tcBorders>
              <w:bottom w:val="single" w:sz="8" w:color="CCECFF"/>
            </w:tcBorders>
          </w:tcPr>
          <w:p>
            <w:pPr>
              <w:spacing w:after="0"/>
              <w:rPr>
                <w:sz w:val="14"/>
                <w:szCs w:val="14"/>
                <w:color w:val="auto"/>
              </w:rPr>
            </w:pPr>
          </w:p>
        </w:tc>
        <w:tc>
          <w:tcPr>
            <w:tcW w:w="18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xml:space="preserve">September 30, 2019 </w:t>
            </w:r>
            <w:r>
              <w:rPr>
                <w:rFonts w:ascii="Arial" w:cs="Arial" w:eastAsia="Arial" w:hAnsi="Arial"/>
                <w:sz w:val="12"/>
                <w:szCs w:val="12"/>
                <w:b w:val="1"/>
                <w:bCs w:val="1"/>
                <w:color w:val="auto"/>
              </w:rPr>
              <w:t>(1)</w:t>
            </w:r>
          </w:p>
        </w:tc>
        <w:tc>
          <w:tcPr>
            <w:tcW w:w="140" w:type="dxa"/>
            <w:vAlign w:val="bottom"/>
            <w:tcBorders>
              <w:bottom w:val="single" w:sz="8" w:color="CCECFF"/>
            </w:tcBorders>
          </w:tcPr>
          <w:p>
            <w:pPr>
              <w:spacing w:after="0"/>
              <w:rPr>
                <w:sz w:val="14"/>
                <w:szCs w:val="14"/>
                <w:color w:val="auto"/>
              </w:rPr>
            </w:pPr>
          </w:p>
        </w:tc>
      </w:tr>
      <w:tr>
        <w:trPr>
          <w:trHeight w:val="156"/>
        </w:trPr>
        <w:tc>
          <w:tcPr>
            <w:tcW w:w="69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Professional Services</w:t>
            </w:r>
          </w:p>
        </w:tc>
        <w:tc>
          <w:tcPr>
            <w:tcW w:w="200" w:type="dxa"/>
            <w:vAlign w:val="bottom"/>
            <w:shd w:val="clear" w:color="auto" w:fill="CCECFF"/>
          </w:tcPr>
          <w:p>
            <w:pPr>
              <w:spacing w:after="0"/>
              <w:rPr>
                <w:sz w:val="13"/>
                <w:szCs w:val="13"/>
                <w:color w:val="auto"/>
              </w:rPr>
            </w:pPr>
          </w:p>
        </w:tc>
        <w:tc>
          <w:tcPr>
            <w:tcW w:w="2120" w:type="dxa"/>
            <w:vAlign w:val="bottom"/>
            <w:gridSpan w:val="2"/>
            <w:shd w:val="clear" w:color="auto" w:fill="CCECFF"/>
          </w:tcPr>
          <w:p>
            <w:pPr>
              <w:jc w:val="right"/>
              <w:ind w:right="200"/>
              <w:spacing w:after="0" w:line="155" w:lineRule="exact"/>
              <w:rPr>
                <w:sz w:val="20"/>
                <w:szCs w:val="20"/>
                <w:color w:val="auto"/>
              </w:rPr>
            </w:pPr>
            <w:r>
              <w:rPr>
                <w:rFonts w:ascii="Arial" w:cs="Arial" w:eastAsia="Arial" w:hAnsi="Arial"/>
                <w:sz w:val="14"/>
                <w:szCs w:val="14"/>
                <w:color w:val="auto"/>
              </w:rPr>
              <w:t>8%</w:t>
            </w:r>
          </w:p>
        </w:tc>
        <w:tc>
          <w:tcPr>
            <w:tcW w:w="19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3%</w:t>
            </w: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High Tech Industries</w:t>
            </w:r>
          </w:p>
        </w:tc>
        <w:tc>
          <w:tcPr>
            <w:tcW w:w="1800" w:type="dxa"/>
            <w:vAlign w:val="bottom"/>
          </w:tcPr>
          <w:p>
            <w:pPr>
              <w:jc w:val="right"/>
              <w:spacing w:after="0"/>
              <w:rPr>
                <w:sz w:val="20"/>
                <w:szCs w:val="20"/>
                <w:color w:val="auto"/>
              </w:rPr>
            </w:pPr>
            <w:r>
              <w:rPr>
                <w:rFonts w:ascii="Arial" w:cs="Arial" w:eastAsia="Arial" w:hAnsi="Arial"/>
                <w:sz w:val="14"/>
                <w:szCs w:val="14"/>
                <w:color w:val="auto"/>
              </w:rPr>
              <w:t>7</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Capital Equipment</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Media</w:t>
            </w: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Aerospace and Defense</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Business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Construction and Building</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Healthcare and Pharmaceuticals</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Healthcare Technology</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Hotel, Gaming and Leisure</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Consumer Goods: Durable</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Electronic Equipment, Instruments, and Components</w:t>
            </w: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 Diversified and Production</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Banking, Finance, Insurance &amp; Real Estate</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Building Products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Chemicals, Plastics and Rubber</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Consumer Goods: Non-Durable</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Hotels, Restaurants and Leisure</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Insurance</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Media: Advertising, Printing and Publishing</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Media: Broadcasting and Subscription</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Personal Products</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Telecommunications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Wholesale</w:t>
            </w: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Beverages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Commercial Services &amp; Supplies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Construction &amp; Engineering</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Diversified Consumer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Diversified Financial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Environmental Industries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Healthcare Providers and Services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9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IT Services</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Leisure Products</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gridSpan w:val="2"/>
          </w:tcPr>
          <w:p>
            <w:pPr>
              <w:spacing w:after="0"/>
              <w:rPr>
                <w:sz w:val="20"/>
                <w:szCs w:val="20"/>
                <w:color w:val="auto"/>
              </w:rPr>
            </w:pPr>
            <w:r>
              <w:rPr>
                <w:rFonts w:ascii="Arial" w:cs="Arial" w:eastAsia="Arial" w:hAnsi="Arial"/>
                <w:sz w:val="14"/>
                <w:szCs w:val="14"/>
                <w:color w:val="auto"/>
              </w:rPr>
              <w:t>Retail</w:t>
            </w: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32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r>
      <w:tr>
        <w:trPr>
          <w:trHeight w:val="162"/>
        </w:trPr>
        <w:tc>
          <w:tcPr>
            <w:tcW w:w="71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Transportation: Consumer</w:t>
            </w: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320" w:type="dxa"/>
            <w:vAlign w:val="bottom"/>
            <w:shd w:val="clear" w:color="auto" w:fill="CCECFF"/>
          </w:tcPr>
          <w:p>
            <w:pPr>
              <w:spacing w:after="0"/>
              <w:rPr>
                <w:sz w:val="14"/>
                <w:szCs w:val="14"/>
                <w:color w:val="auto"/>
              </w:rPr>
            </w:pPr>
          </w:p>
        </w:tc>
        <w:tc>
          <w:tcPr>
            <w:tcW w:w="1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CFF"/>
          </w:tcPr>
          <w:p>
            <w:pPr>
              <w:spacing w:after="0"/>
              <w:rPr>
                <w:sz w:val="14"/>
                <w:szCs w:val="14"/>
                <w:color w:val="auto"/>
              </w:rPr>
            </w:pPr>
          </w:p>
        </w:tc>
      </w:tr>
      <w:tr>
        <w:trPr>
          <w:trHeight w:val="162"/>
        </w:trPr>
        <w:tc>
          <w:tcPr>
            <w:tcW w:w="718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All Other</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20" w:type="dxa"/>
            <w:vAlign w:val="bottom"/>
            <w:tcBorders>
              <w:bottom w:val="single" w:sz="8" w:color="CCECFF"/>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Borders>
              <w:bottom w:val="single" w:sz="8" w:color="CCECFF"/>
            </w:tcBorders>
          </w:tcPr>
          <w:p>
            <w:pPr>
              <w:spacing w:after="0"/>
              <w:rPr>
                <w:sz w:val="14"/>
                <w:szCs w:val="14"/>
                <w:color w:val="auto"/>
              </w:rPr>
            </w:pPr>
          </w:p>
        </w:tc>
      </w:tr>
      <w:tr>
        <w:trPr>
          <w:trHeight w:val="155"/>
        </w:trPr>
        <w:tc>
          <w:tcPr>
            <w:tcW w:w="718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w:t>
            </w:r>
          </w:p>
        </w:tc>
        <w:tc>
          <w:tcPr>
            <w:tcW w:w="2120" w:type="dxa"/>
            <w:vAlign w:val="bottom"/>
            <w:gridSpan w:val="2"/>
            <w:shd w:val="clear" w:color="auto" w:fill="CCECFF"/>
          </w:tcPr>
          <w:p>
            <w:pPr>
              <w:jc w:val="right"/>
              <w:ind w:right="200"/>
              <w:spacing w:after="0" w:line="155" w:lineRule="exact"/>
              <w:rPr>
                <w:sz w:val="20"/>
                <w:szCs w:val="20"/>
                <w:color w:val="auto"/>
              </w:rPr>
            </w:pPr>
            <w:r>
              <w:rPr>
                <w:rFonts w:ascii="Arial" w:cs="Arial" w:eastAsia="Arial" w:hAnsi="Arial"/>
                <w:sz w:val="14"/>
                <w:szCs w:val="14"/>
                <w:color w:val="auto"/>
              </w:rPr>
              <w:t>100%</w:t>
            </w:r>
          </w:p>
        </w:tc>
        <w:tc>
          <w:tcPr>
            <w:tcW w:w="194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100%</w:t>
            </w:r>
          </w:p>
        </w:tc>
      </w:tr>
      <w:tr>
        <w:trPr>
          <w:trHeight w:val="20"/>
        </w:trPr>
        <w:tc>
          <w:tcPr>
            <w:tcW w:w="6980" w:type="dxa"/>
            <w:vAlign w:val="bottom"/>
            <w:tcBorders>
              <w:top w:val="single" w:sz="8" w:color="CCECFF"/>
            </w:tcBorders>
          </w:tcPr>
          <w:p>
            <w:pPr>
              <w:spacing w:after="0" w:line="20" w:lineRule="exact"/>
              <w:rPr>
                <w:sz w:val="1"/>
                <w:szCs w:val="1"/>
                <w:color w:val="auto"/>
              </w:rPr>
            </w:pPr>
          </w:p>
        </w:tc>
        <w:tc>
          <w:tcPr>
            <w:tcW w:w="200" w:type="dxa"/>
            <w:vAlign w:val="bottom"/>
            <w:tcBorders>
              <w:top w:val="single" w:sz="8" w:color="CCEC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C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18599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77"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2"/>
          <w:szCs w:val="12"/>
          <w:color w:val="auto"/>
        </w:rPr>
      </w:pPr>
      <w:r>
        <w:rPr>
          <w:rFonts w:ascii="Arial" w:cs="Arial" w:eastAsia="Arial" w:hAnsi="Arial"/>
          <w:sz w:val="14"/>
          <w:szCs w:val="14"/>
          <w:color w:val="auto"/>
        </w:rPr>
        <w:t>Excludes investments in PSSL.</w:t>
      </w:r>
    </w:p>
    <w:p>
      <w:pPr>
        <w:spacing w:after="0" w:line="24"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4"/>
          <w:szCs w:val="14"/>
          <w:b w:val="1"/>
          <w:bCs w:val="1"/>
          <w:color w:val="auto"/>
        </w:rPr>
        <w:t>PennantPark Senior Secured Loan Fund I LLC</w:t>
      </w:r>
    </w:p>
    <w:p>
      <w:pPr>
        <w:spacing w:after="0" w:line="113"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June 30, 2020 and September 30, 2019, PSSL had total assets of $471.7 million and $506.7 million, respectively. As of the same dates, we and Kemper had remaining commitments to fund first lien secured debt and equity interests in PSSL in an aggregate amount of $28.5 million and $10.5 million, respectively. PSSL invests in portfolio companies in the same industries in which we may directly invest.</w:t>
      </w:r>
    </w:p>
    <w:p>
      <w:pPr>
        <w:spacing w:after="0" w:line="90" w:lineRule="exact"/>
        <w:rPr>
          <w:sz w:val="20"/>
          <w:szCs w:val="20"/>
          <w:color w:val="auto"/>
        </w:rPr>
      </w:pPr>
    </w:p>
    <w:p>
      <w:pPr>
        <w:jc w:val="both"/>
        <w:ind w:right="2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June 30, 2020 and September 30, 2019, we and Kemper owned 87.5% and 12.5%, respectively, of each of the outstanding first lien secured debt and equity interests. As of the same dates, our investment in PSSL consisted of first lien secured debt of $123.4 million (additional $17.5 million unfunded) and $122.2 million (additional $6.4 million unfunded), respectively, and equity interests of $52.9 million (additional $7.4 million unfunded) and $52.4 million (additional $2.8 million unfunded), respectively.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2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20"/>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provided that two individuals are present that were elected, designated or appointed by each member.</w:t>
      </w:r>
    </w:p>
    <w:p>
      <w:pPr>
        <w:spacing w:after="0" w:line="118" w:lineRule="exact"/>
        <w:rPr>
          <w:sz w:val="20"/>
          <w:szCs w:val="20"/>
          <w:color w:val="auto"/>
        </w:rPr>
      </w:pPr>
    </w:p>
    <w:p>
      <w:pPr>
        <w:ind w:right="200" w:firstLine="438"/>
        <w:spacing w:after="0" w:line="238" w:lineRule="auto"/>
        <w:rPr>
          <w:sz w:val="20"/>
          <w:szCs w:val="20"/>
          <w:color w:val="auto"/>
        </w:rPr>
      </w:pPr>
      <w:r>
        <w:rPr>
          <w:rFonts w:ascii="Arial" w:cs="Arial" w:eastAsia="Arial" w:hAnsi="Arial"/>
          <w:sz w:val="14"/>
          <w:szCs w:val="14"/>
          <w:color w:val="auto"/>
        </w:rPr>
        <w:t>Additionally, PSSL has entered into a $420.0 million senior secured revolving credit facility which bears interest at LIBOR (or an alternative risk-free interest rate index) plus 225 basis points, or the PSSL Credit Facility, with Capital One, N.A. through its wholly-owned subsidiary, PennantPark Senior Secured Loan Facility LLC, or PSSL Subsidiary, subject to leverage and borrowing base restrictions.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2019</w:t>
            </w:r>
          </w:p>
        </w:tc>
        <w:tc>
          <w:tcPr>
            <w:tcW w:w="20" w:type="dxa"/>
            <w:vAlign w:val="bottom"/>
          </w:tcPr>
          <w:p>
            <w:pPr>
              <w:spacing w:after="0"/>
              <w:rPr>
                <w:sz w:val="14"/>
                <w:szCs w:val="14"/>
                <w:color w:val="auto"/>
              </w:rPr>
            </w:pPr>
          </w:p>
        </w:tc>
      </w:tr>
      <w:tr>
        <w:trPr>
          <w:trHeight w:val="156"/>
        </w:trPr>
        <w:tc>
          <w:tcPr>
            <w:tcW w:w="42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9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458,456,034</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488,549,847</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9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31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21,272,781</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22,026,186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3180" w:type="dxa"/>
            <w:vAlign w:val="bottom"/>
            <w:gridSpan w:val="2"/>
            <w:shd w:val="clear" w:color="auto" w:fill="CCECFF"/>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93,722,506</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102,872,275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28"/>
        </w:trPr>
        <w:tc>
          <w:tcPr>
            <w:tcW w:w="4260" w:type="dxa"/>
            <w:vAlign w:val="bottom"/>
          </w:tcPr>
          <w:p>
            <w:pPr>
              <w:spacing w:after="0"/>
              <w:rPr>
                <w:sz w:val="24"/>
                <w:szCs w:val="24"/>
                <w:color w:val="auto"/>
              </w:rPr>
            </w:pPr>
          </w:p>
        </w:tc>
        <w:tc>
          <w:tcPr>
            <w:tcW w:w="2920" w:type="dxa"/>
            <w:vAlign w:val="bottom"/>
          </w:tcPr>
          <w:p>
            <w:pPr>
              <w:jc w:val="right"/>
              <w:ind w:right="1408"/>
              <w:spacing w:after="0"/>
              <w:rPr>
                <w:sz w:val="20"/>
                <w:szCs w:val="20"/>
                <w:color w:val="auto"/>
              </w:rPr>
            </w:pPr>
            <w:r>
              <w:rPr>
                <w:rFonts w:ascii="Arial" w:cs="Arial" w:eastAsia="Arial" w:hAnsi="Arial"/>
                <w:sz w:val="14"/>
                <w:szCs w:val="14"/>
                <w:color w:val="auto"/>
              </w:rPr>
              <w:t>21</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1" w:name="page22"/>
    <w:bookmarkEnd w:id="21"/>
    <w:p>
      <w:pPr>
        <w:jc w:val="center"/>
        <w:spacing w:after="0"/>
        <w:rPr>
          <w:sz w:val="20"/>
          <w:szCs w:val="20"/>
          <w:color w:val="auto"/>
        </w:rPr>
      </w:pPr>
      <w:r>
        <w:rPr>
          <w:rFonts w:ascii="Arial" w:cs="Arial" w:eastAsia="Arial" w:hAnsi="Arial"/>
          <w:sz w:val="14"/>
          <w:szCs w:val="14"/>
          <w:color w:val="auto"/>
        </w:rPr>
        <w:t>P</w:t>
      </w:r>
      <w:r>
        <w:rPr>
          <w:rFonts w:ascii="Arial" w:cs="Arial" w:eastAsia="Arial" w:hAnsi="Arial"/>
          <w:sz w:val="14"/>
          <w:szCs w:val="14"/>
          <w:b w:val="1"/>
          <w:bCs w:val="1"/>
          <w:color w:val="auto"/>
        </w:rPr>
        <w:t>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June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Current</w:t>
            </w:r>
          </w:p>
        </w:tc>
        <w:tc>
          <w:tcPr>
            <w:tcW w:w="18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Maturity</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Industry</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Coupon</w:t>
            </w:r>
          </w:p>
        </w:tc>
        <w:tc>
          <w:tcPr>
            <w:tcW w:w="1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Debt—1,089.5%</w:t>
            </w:r>
          </w:p>
        </w:tc>
        <w:tc>
          <w:tcPr>
            <w:tcW w:w="120" w:type="dxa"/>
            <w:vAlign w:val="bottom"/>
            <w:tcBorders>
              <w:top w:val="single" w:sz="8" w:color="CCECFF"/>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Altamira Technologies,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07/24/2025</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4,887,405</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4,823,367</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4,667,472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01/02/2024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Transportation: Consumer</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7,690,117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7,616,012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7,459,414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By Light Professional IT Services,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05/16/2022</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7.25%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L+625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13,480,941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13,306,023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13,076,513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11/14/2023</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7.50%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11,645,833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11,568,897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11,206,785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Cardenas Markets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11/29/2023</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7,292,191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7,259,477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7,219,269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02/12/2024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6.25%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10,344,346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10,336,692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10,137,459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Challenger Performance Optimization,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08/31/2023</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9,932,689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9,858,472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9,088,411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05/01/2023</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179,762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Country Fresh Holdings, LLC (Revolver)</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05/01/2023</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450,110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450,110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450,110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10/19/2022</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6.75%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8,859,341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8,770,499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8,682,155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Douglas Sewer Intermediate,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10/19/2022</w:t>
            </w:r>
          </w:p>
        </w:tc>
        <w:tc>
          <w:tcPr>
            <w:tcW w:w="2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7,422,020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7,385,533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7,273,580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11/03/2025</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6.75%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8,042,356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7,968,575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7,861,403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05/31/2024</w:t>
            </w:r>
          </w:p>
        </w:tc>
        <w:tc>
          <w:tcPr>
            <w:tcW w:w="220" w:type="dxa"/>
            <w:vAlign w:val="bottom"/>
          </w:tcPr>
          <w:p>
            <w:pPr>
              <w:spacing w:after="0"/>
              <w:rPr>
                <w:sz w:val="12"/>
                <w:szCs w:val="12"/>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Banking, Finance, Insurance and Real Estate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5.87%</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L+525</w:t>
            </w:r>
          </w:p>
        </w:tc>
        <w:tc>
          <w:tcPr>
            <w:tcW w:w="320" w:type="dxa"/>
            <w:vAlign w:val="bottom"/>
            <w:gridSpan w:val="2"/>
          </w:tcPr>
          <w:p>
            <w:pPr>
              <w:ind w:left="100"/>
              <w:spacing w:after="0"/>
              <w:rPr>
                <w:sz w:val="20"/>
                <w:szCs w:val="20"/>
                <w:color w:val="auto"/>
              </w:rPr>
            </w:pPr>
            <w:r>
              <w:rPr>
                <w:rFonts w:ascii="Arial" w:cs="Arial" w:eastAsia="Arial" w:hAnsi="Arial"/>
                <w:sz w:val="11"/>
                <w:szCs w:val="11"/>
                <w:color w:val="auto"/>
              </w:rPr>
              <w:t>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7,399,838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6,540,750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11/14/2022</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7.75%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16,792,056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16,699,226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16,590,551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Good2Grow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11/18/2024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5.32%</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L+425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11,329,248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11,241,281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11,204,627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GSM Holdings,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06/03/2024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5.56%</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19,569,810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19,444,957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19,080,565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IMIA Holdings,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10/28/2024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L+450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12,143,568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12,095,250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12,022,132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06/27/2023</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8.82%</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L+737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9,315,185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9,235,610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9,222,033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12/12/2023</w:t>
            </w:r>
          </w:p>
        </w:tc>
        <w:tc>
          <w:tcPr>
            <w:tcW w:w="220" w:type="dxa"/>
            <w:vAlign w:val="bottom"/>
          </w:tcPr>
          <w:p>
            <w:pPr>
              <w:spacing w:after="0"/>
              <w:rPr>
                <w:sz w:val="12"/>
                <w:szCs w:val="12"/>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Wholesale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5.75%</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L+475</w:t>
            </w:r>
          </w:p>
        </w:tc>
        <w:tc>
          <w:tcPr>
            <w:tcW w:w="320" w:type="dxa"/>
            <w:vAlign w:val="bottom"/>
            <w:gridSpan w:val="2"/>
          </w:tcPr>
          <w:p>
            <w:pPr>
              <w:ind w:left="100"/>
              <w:spacing w:after="0"/>
              <w:rPr>
                <w:sz w:val="20"/>
                <w:szCs w:val="20"/>
                <w:color w:val="auto"/>
              </w:rPr>
            </w:pPr>
            <w:r>
              <w:rPr>
                <w:rFonts w:ascii="Arial" w:cs="Arial" w:eastAsia="Arial" w:hAnsi="Arial"/>
                <w:sz w:val="11"/>
                <w:szCs w:val="11"/>
                <w:color w:val="auto"/>
              </w:rPr>
              <w:t>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11,004,260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9,988,758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09/29/2023</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Diversified Consumer Services</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5.75%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9,368,426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9,368,426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8,993,689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K2 Pure Solutions NoCal, L.P.</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12/20/2023</w:t>
            </w:r>
          </w:p>
        </w:tc>
        <w:tc>
          <w:tcPr>
            <w:tcW w:w="2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8.00%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L+700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19,700,000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19,472,751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19,256,750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Lash Opco, LLC - Term Loan</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12/12/2024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8.75%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7,109,812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7,041,937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LAV Gear Holdings,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10/31/2024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6.50%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9,773,279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9,393,945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LSF9 Atlantis Holdings,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05/01/2023</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Retail</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6,895,493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6,926,485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6,274,899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Manna Pro Products,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12/08/2023</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L+600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6,825,000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6,756,233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6,495,352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01/27/2023</w:t>
            </w:r>
          </w:p>
        </w:tc>
        <w:tc>
          <w:tcPr>
            <w:tcW w:w="220" w:type="dxa"/>
            <w:vAlign w:val="bottom"/>
            <w:shd w:val="clear" w:color="auto" w:fill="CCECFF"/>
          </w:tcPr>
          <w:p>
            <w:pPr>
              <w:spacing w:after="0"/>
              <w:rPr>
                <w:sz w:val="12"/>
                <w:szCs w:val="12"/>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0.00%</w:t>
            </w:r>
          </w:p>
        </w:tc>
        <w:tc>
          <w:tcPr>
            <w:tcW w:w="1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8"/>
              </w:rPr>
              <w:t>(5)</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ECFF"/>
          </w:tcPr>
          <w:p>
            <w:pPr>
              <w:ind w:left="100"/>
              <w:spacing w:after="0"/>
              <w:rPr>
                <w:sz w:val="20"/>
                <w:szCs w:val="20"/>
                <w:color w:val="auto"/>
              </w:rPr>
            </w:pPr>
            <w:r>
              <w:rPr>
                <w:rFonts w:ascii="Arial" w:cs="Arial" w:eastAsia="Arial" w:hAnsi="Arial"/>
                <w:sz w:val="11"/>
                <w:szCs w:val="11"/>
                <w:color w:val="auto"/>
              </w:rPr>
              <w:t>C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5,730,254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4,448,922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3,916,936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MeritDirect,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05/23/2024</w:t>
            </w:r>
          </w:p>
        </w:tc>
        <w:tc>
          <w:tcPr>
            <w:tcW w:w="2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Media: Advertising, Printing &amp; Publishing</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6.50%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4,831,086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4,655,625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09/28/2022</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5,964,794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5,939,512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5,792,410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New Milani Group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06/06/2024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6.50%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14,700,000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14,598,264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12,980,101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05/14/2024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5.25%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10,768,333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10,660,650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10,660,650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Output Services Group,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03/27/2024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L+450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7,823,419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7,845,853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7,119,311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09/29/2025</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6.07%</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9,817,576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9,738,636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9,130,346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Plant Health Intermediate,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10/19/2022</w:t>
            </w:r>
          </w:p>
        </w:tc>
        <w:tc>
          <w:tcPr>
            <w:tcW w:w="2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1,598,086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1,582,432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1,566,125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05/08/2026</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5.81%</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4,097,010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4,060,079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3,892,160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Sargent &amp; Greenleaf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12/20/2024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Wholesale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4,881,750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4,846,050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07/14/2025</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11,909,162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11,909,162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11,206,521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Smile Brands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10/14/2024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5.67%</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L+450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11,204,375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11,115,210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10,868,244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07/19/2021</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4,605,360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4,605,360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4,421,145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01/17/2024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6,247,333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6,177,496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6,082,403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Sonny's Enterprises,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12/01/2022</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14,840,178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14,842,802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14,394,973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STV Group Incorporated</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12/11/2026</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5.43%</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7,960,000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7,885,652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7,800,800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11/20/2025</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5.50%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8,330,874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8,291,500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7,997,638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Teneo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07/18/2025</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6.25%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4,962,500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4,788,467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4,689,563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09/16/2024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6.59%</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L+525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8,656,913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8,634,140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8,423,176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TPC Canada Parent, Inc. and TPC US Parent,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11/24/2025</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6.68%</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L+475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8,946,566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8,859,896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8,678,169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01/18/2024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Diversified Consumer Services</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9,899,497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9,899,497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9,661,909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TWS Acquisition Corporation</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06/16/2025</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Diversified Consumer Services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7.25%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L+625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6,910,465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6,790,717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6,703,151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UBEO,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04/03/2024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21,930,702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21,752,056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21,272,781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Urology Management Associates,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08/30/2024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11,492,606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11,332,048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10,894,991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09/26/2024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7.70%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15,695,969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15,456,567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15,695,969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Whitney, Bradley &amp; Brown, Inc.</w:t>
            </w:r>
          </w:p>
        </w:tc>
        <w:tc>
          <w:tcPr>
            <w:tcW w:w="660" w:type="dxa"/>
            <w:vAlign w:val="bottom"/>
            <w:tcBorders>
              <w:bottom w:val="single" w:sz="8" w:color="CCECFF"/>
            </w:tcBorders>
            <w:gridSpan w:val="2"/>
          </w:tcPr>
          <w:p>
            <w:pPr>
              <w:jc w:val="center"/>
              <w:ind w:left="46"/>
              <w:spacing w:after="0"/>
              <w:rPr>
                <w:sz w:val="20"/>
                <w:szCs w:val="20"/>
                <w:color w:val="auto"/>
              </w:rPr>
            </w:pPr>
            <w:r>
              <w:rPr>
                <w:rFonts w:ascii="Arial" w:cs="Arial" w:eastAsia="Arial" w:hAnsi="Arial"/>
                <w:sz w:val="11"/>
                <w:szCs w:val="11"/>
                <w:color w:val="auto"/>
                <w:w w:val="87"/>
              </w:rPr>
              <w:t>10/18/2022</w:t>
            </w:r>
          </w:p>
        </w:tc>
        <w:tc>
          <w:tcPr>
            <w:tcW w:w="220" w:type="dxa"/>
            <w:vAlign w:val="bottom"/>
            <w:tcBorders>
              <w:bottom w:val="single" w:sz="8" w:color="CCECFF"/>
            </w:tcBorders>
          </w:tcPr>
          <w:p>
            <w:pPr>
              <w:spacing w:after="0"/>
              <w:rPr>
                <w:sz w:val="11"/>
                <w:szCs w:val="11"/>
                <w:color w:val="auto"/>
              </w:rPr>
            </w:pPr>
          </w:p>
        </w:tc>
        <w:tc>
          <w:tcPr>
            <w:tcW w:w="274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40" w:type="dxa"/>
            <w:vAlign w:val="bottom"/>
            <w:tcBorders>
              <w:bottom w:val="single" w:sz="8" w:color="CCECFF"/>
            </w:tcBorders>
            <w:gridSpan w:val="2"/>
          </w:tcPr>
          <w:p>
            <w:pPr>
              <w:jc w:val="right"/>
              <w:ind w:right="60"/>
              <w:spacing w:after="0"/>
              <w:rPr>
                <w:sz w:val="20"/>
                <w:szCs w:val="20"/>
                <w:color w:val="auto"/>
              </w:rPr>
            </w:pPr>
            <w:r>
              <w:rPr>
                <w:rFonts w:ascii="Arial" w:cs="Arial" w:eastAsia="Arial" w:hAnsi="Arial"/>
                <w:sz w:val="11"/>
                <w:szCs w:val="11"/>
                <w:color w:val="auto"/>
              </w:rPr>
              <w:t>8.50%</w:t>
            </w:r>
          </w:p>
        </w:tc>
        <w:tc>
          <w:tcPr>
            <w:tcW w:w="1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1M L+750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5,257,486</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5,199,513</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5,204,910</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462,178,094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447,967,019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Second Lien Secured Debt—21.3%</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04/29/2024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9.50%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941,195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941,195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771,309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(PIK 9.50%)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40" w:type="dxa"/>
            <w:vAlign w:val="bottom"/>
            <w:gridSpan w:val="2"/>
          </w:tcPr>
          <w:p>
            <w:pPr>
              <w:spacing w:after="0"/>
              <w:rPr>
                <w:sz w:val="20"/>
                <w:szCs w:val="20"/>
                <w:color w:val="auto"/>
              </w:rPr>
            </w:pPr>
            <w:r>
              <w:rPr>
                <w:rFonts w:ascii="Arial" w:cs="Arial" w:eastAsia="Arial" w:hAnsi="Arial"/>
                <w:sz w:val="11"/>
                <w:szCs w:val="11"/>
                <w:color w:val="auto"/>
              </w:rPr>
              <w:t>DBI Holding, LLC, Term Loan B</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03/26/2021</w:t>
            </w:r>
          </w:p>
        </w:tc>
        <w:tc>
          <w:tcPr>
            <w:tcW w:w="220" w:type="dxa"/>
            <w:vAlign w:val="bottom"/>
          </w:tcPr>
          <w:p>
            <w:pPr>
              <w:spacing w:after="0"/>
              <w:rPr>
                <w:sz w:val="12"/>
                <w:szCs w:val="12"/>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9.00%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15,946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15,946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(PIK 9.00%)</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Term Loan 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02/02/2026</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7,977,513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7,977,513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6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(PIK 9.00%)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8,934,654</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8,764,768</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Equity Securities—4.2%</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1,724,247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4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top w:val="single" w:sz="8" w:color="CCECFF"/>
            </w:tcBorders>
            <w:shd w:val="clear" w:color="auto" w:fill="CCECFF"/>
          </w:tcPr>
          <w:p>
            <w:pPr>
              <w:spacing w:after="0"/>
              <w:rPr>
                <w:sz w:val="11"/>
                <w:szCs w:val="11"/>
                <w:color w:val="auto"/>
              </w:rPr>
            </w:pPr>
          </w:p>
        </w:tc>
        <w:tc>
          <w:tcPr>
            <w:tcW w:w="5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1,724,247</w:t>
            </w: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Equivalents—26.9%</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7,593,546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7,593,546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3,464,633</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3,469,785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11,058,179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11,063,331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Total Investments and Cash Equivalents—1,141.9%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489,154,864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469,519,365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CFF"/>
            </w:tcBorders>
            <w:gridSpan w:val="2"/>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Assets—(1,041.9)%</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7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40" w:type="dxa"/>
            <w:vAlign w:val="bottom"/>
            <w:gridSpan w:val="2"/>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(428,402,035)</w:t>
            </w:r>
          </w:p>
        </w:tc>
        <w:tc>
          <w:tcPr>
            <w:tcW w:w="0" w:type="dxa"/>
            <w:vAlign w:val="bottom"/>
          </w:tcPr>
          <w:p>
            <w:pPr>
              <w:spacing w:after="0"/>
              <w:rPr>
                <w:sz w:val="1"/>
                <w:szCs w:val="1"/>
                <w:color w:val="auto"/>
              </w:rPr>
            </w:pPr>
          </w:p>
        </w:tc>
      </w:tr>
      <w:tr>
        <w:trPr>
          <w:trHeight w:val="129"/>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41,117,330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380" w:right="20" w:hanging="372"/>
        <w:spacing w:after="0" w:line="262" w:lineRule="auto"/>
        <w:tabs>
          <w:tab w:leader="none" w:pos="380" w:val="left"/>
        </w:tabs>
        <w:numPr>
          <w:ilvl w:val="0"/>
          <w:numId w:val="8"/>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4"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80" w:hanging="372"/>
        <w:spacing w:after="0" w:line="234"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ind w:left="380" w:hanging="372"/>
        <w:spacing w:after="0"/>
        <w:tabs>
          <w:tab w:leader="none" w:pos="380" w:val="left"/>
        </w:tabs>
        <w:numPr>
          <w:ilvl w:val="0"/>
          <w:numId w:val="8"/>
        </w:numPr>
        <w:rPr>
          <w:rFonts w:ascii="Arial" w:cs="Arial" w:eastAsia="Arial" w:hAnsi="Arial"/>
          <w:sz w:val="12"/>
          <w:szCs w:val="12"/>
          <w:color w:val="auto"/>
        </w:rPr>
      </w:pPr>
      <w:r>
        <w:rPr>
          <w:rFonts w:ascii="Arial" w:cs="Arial" w:eastAsia="Arial" w:hAnsi="Arial"/>
          <w:sz w:val="12"/>
          <w:szCs w:val="12"/>
          <w:color w:val="auto"/>
        </w:rPr>
        <w:t>Non-income producing security.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listing of PSSL’s individual investments as of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6"/>
              </w:rPr>
              <w:t>Basis Point</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10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Maturity</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First Lien Secured Debt—830.5%</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5,000,000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4,927,149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7,749,274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7,674,216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7,671,781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05/16/2022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8.52%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L+725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13,772,261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13,531,751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13,772,261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11,735,208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11,644,440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11,680,054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Cardenas Markets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7.79%</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7,348,866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7,311,507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7,128,400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7.36%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10,422,726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10,413,416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10,396,669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Challenger Performance Optimization,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10,127,447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10,040,432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9,874,261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179,170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Holdings, LLC (Revolver)</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126,031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126,031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126,031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(Revolver) </w:t>
            </w:r>
            <w:r>
              <w:rPr>
                <w:rFonts w:ascii="Arial" w:cs="Arial" w:eastAsia="Arial" w:hAnsi="Arial"/>
                <w:sz w:val="9"/>
                <w:szCs w:val="9"/>
                <w:color w:val="auto"/>
              </w:rPr>
              <w:t>(5)</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324,080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Deva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19,748,744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19,748,744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19,748,744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12,312,500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12,157,345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12,189,375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Douglas Sewer Intermediate,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8,166,594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8,116,022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8,084,928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05/31/2024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L+525A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7,376,173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6,542,165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GCOM Software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11/14/2022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8.37%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17,384,864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17,263,748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17,384,864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Beverages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11,752,655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11,649,126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11,576,366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Good Source Solutions,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14,357,813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14,241,579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14,135,267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GSM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19,669,098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19,524,460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19,472,406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IMIA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10/28/2024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12,406,250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12,351,255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12,344,219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06/27/2023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9,390,185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9,296,753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9,296,283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12/12/2023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L+425A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10,973,919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9,717,138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19,850,000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19,586,294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19,609,815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10/31/2024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9,837,686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9,916,068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09/12/2022</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L+575A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14,755,747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10,483,859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9,952,014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Long's Drugs Incorporated</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17,820,000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17,688,160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17,641,800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LSF9 Atlantis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Retail</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7,078,125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7,118,977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6,575,083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12/08/2023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6,877,500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6,797,207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6,688,369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01/27/2021</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tcPr>
          <w:p>
            <w:pPr>
              <w:spacing w:after="0"/>
              <w:rPr>
                <w:sz w:val="12"/>
                <w:szCs w:val="12"/>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7"/>
              </w:rPr>
              <w:t>P+275C $</w:t>
            </w:r>
          </w:p>
        </w:tc>
        <w:tc>
          <w:tcPr>
            <w:tcW w:w="580" w:type="dxa"/>
            <w:vAlign w:val="bottom"/>
          </w:tcPr>
          <w:p>
            <w:pPr>
              <w:jc w:val="right"/>
              <w:spacing w:after="0"/>
              <w:rPr>
                <w:sz w:val="20"/>
                <w:szCs w:val="20"/>
                <w:color w:val="auto"/>
              </w:rPr>
            </w:pPr>
            <w:r>
              <w:rPr>
                <w:rFonts w:ascii="Arial" w:cs="Arial" w:eastAsia="Arial" w:hAnsi="Arial"/>
                <w:sz w:val="12"/>
                <w:szCs w:val="12"/>
                <w:color w:val="auto"/>
              </w:rPr>
              <w:t>5,760,254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4,461,926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4,350,645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6,009,982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5,977,867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6,009,982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New Milani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06/06/2024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14,691,710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14,664,375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05/14/2024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11,876,667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11,757,900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11,876,667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03/27/2024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rPr>
              <w:t>7,883,419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7,909,754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6,779,740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Pestell Minerals and Ingredients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7.57%</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9,840,202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9,825,750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Pestell Minerals and Ingredients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06/01/2023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9"/>
              </w:rPr>
              <w:t>L+525C $</w:t>
            </w:r>
          </w:p>
        </w:tc>
        <w:tc>
          <w:tcPr>
            <w:tcW w:w="580" w:type="dxa"/>
            <w:vAlign w:val="bottom"/>
          </w:tcPr>
          <w:p>
            <w:pPr>
              <w:jc w:val="right"/>
              <w:spacing w:after="0"/>
              <w:rPr>
                <w:sz w:val="20"/>
                <w:szCs w:val="20"/>
                <w:color w:val="auto"/>
              </w:rPr>
            </w:pPr>
            <w:r>
              <w:rPr>
                <w:rFonts w:ascii="Arial" w:cs="Arial" w:eastAsia="Arial" w:hAnsi="Arial"/>
                <w:sz w:val="12"/>
                <w:szCs w:val="12"/>
                <w:color w:val="auto"/>
              </w:rPr>
              <w:t>3,242,655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2,412,626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2,424,644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9,892,519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9,804,058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9,397,893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1,758,406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1,736,386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1,740,822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05/8/2026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4,189,500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4,148,451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4,184,263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Smile Brands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11,289,688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11,189,470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11,176,791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07/19/2021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4,359,370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Sonny's Enterprises,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12/01/2022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15,224,842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15,227,900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15,224,842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07/18/2025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4,804,110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4,762,500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The Infosoft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12/02/2021</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8,823,392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8,790,069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8,735,157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rPr>
              <w:t>7,075,000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6,937,888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6,933,500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6.78%</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22,248,673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22,045,879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22,026,186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Urology Management Associates,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08/30/2024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7.04%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11,572,122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11,388,612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11,572,122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8.83%</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16,001,734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15,724,459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16,121,747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gridSpan w:val="2"/>
          </w:tcPr>
          <w:p>
            <w:pPr>
              <w:jc w:val="center"/>
              <w:ind w:left="66"/>
              <w:spacing w:after="0"/>
              <w:rPr>
                <w:sz w:val="20"/>
                <w:szCs w:val="20"/>
                <w:color w:val="auto"/>
              </w:rPr>
            </w:pPr>
            <w:r>
              <w:rPr>
                <w:rFonts w:ascii="Arial" w:cs="Arial" w:eastAsia="Arial" w:hAnsi="Arial"/>
                <w:sz w:val="11"/>
                <w:szCs w:val="11"/>
                <w:color w:val="auto"/>
                <w:w w:val="87"/>
              </w:rPr>
              <w:t>10/18/2022</w:t>
            </w:r>
          </w:p>
        </w:tc>
        <w:tc>
          <w:tcPr>
            <w:tcW w:w="24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9.55%</w:t>
            </w:r>
          </w:p>
        </w:tc>
        <w:tc>
          <w:tcPr>
            <w:tcW w:w="560" w:type="dxa"/>
            <w:vAlign w:val="bottom"/>
            <w:tcBorders>
              <w:bottom w:val="single" w:sz="8" w:color="CCECFF"/>
            </w:tcBorders>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tcBorders>
              <w:bottom w:val="single" w:sz="8" w:color="CCECFF"/>
            </w:tcBorders>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5,466,024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5,389,938</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5,466,024</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478,935,867</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474,289,532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20"/>
                <w:szCs w:val="20"/>
                <w:color w:val="auto"/>
              </w:rPr>
            </w:pPr>
            <w:r>
              <w:rPr>
                <w:rFonts w:ascii="Arial" w:cs="Arial" w:eastAsia="Arial" w:hAnsi="Arial"/>
                <w:sz w:val="11"/>
                <w:szCs w:val="11"/>
                <w:b w:val="1"/>
                <w:bCs w:val="1"/>
                <w:color w:val="auto"/>
              </w:rPr>
              <w:t>Second Lien Secured Debt—14.8%</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04/29/2024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L+850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10.60%)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DBI Holding, LLC, Term Loan B</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03/26/2021</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rPr>
              <w:t>15,206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Term Loan 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02/02/2026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7,607,291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7,607,291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7,569,255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8,493,383</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8,455,347</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Equity Securities—10.2%</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1,124,929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4,680,039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CCECFF"/>
            </w:tcBorders>
            <w:shd w:val="clear" w:color="auto" w:fill="CCECFF"/>
          </w:tcPr>
          <w:p>
            <w:pPr>
              <w:spacing w:after="0"/>
              <w:rPr>
                <w:sz w:val="11"/>
                <w:szCs w:val="11"/>
                <w:color w:val="auto"/>
              </w:rPr>
            </w:pPr>
          </w:p>
        </w:tc>
        <w:tc>
          <w:tcPr>
            <w:tcW w:w="3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5,804,968</w:t>
            </w: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20"/>
                <w:szCs w:val="20"/>
                <w:color w:val="auto"/>
              </w:rPr>
            </w:pPr>
            <w:r>
              <w:rPr>
                <w:rFonts w:ascii="Arial" w:cs="Arial" w:eastAsia="Arial" w:hAnsi="Arial"/>
                <w:sz w:val="11"/>
                <w:szCs w:val="11"/>
                <w:b w:val="1"/>
                <w:bCs w:val="1"/>
                <w:color w:val="auto"/>
              </w:rPr>
              <w:t>Cash and Cash Equivalents—26.8%</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3,156,230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3,128,580</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15,322,531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15,294,881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Equivalents—882.3%</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509,735,718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503,844,728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Assets—(782.3)%</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6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(446,736,922)</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57,107,806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6880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3" w:lineRule="exact"/>
        <w:rPr>
          <w:sz w:val="20"/>
          <w:szCs w:val="20"/>
          <w:color w:val="auto"/>
        </w:rPr>
      </w:pPr>
    </w:p>
    <w:p>
      <w:pPr>
        <w:ind w:left="380" w:right="60" w:hanging="372"/>
        <w:spacing w:after="0" w:line="262" w:lineRule="auto"/>
        <w:tabs>
          <w:tab w:leader="none" w:pos="38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4" w:lineRule="auto"/>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Valued based on PSSL’s accounting policy.</w:t>
      </w:r>
    </w:p>
    <w:p>
      <w:pPr>
        <w:ind w:left="380" w:hanging="372"/>
        <w:spacing w:after="0" w:line="234" w:lineRule="auto"/>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9"/>
        </w:numPr>
        <w:rPr>
          <w:rFonts w:ascii="Arial" w:cs="Arial" w:eastAsia="Arial" w:hAnsi="Arial"/>
          <w:sz w:val="12"/>
          <w:szCs w:val="12"/>
          <w:color w:val="auto"/>
        </w:rPr>
      </w:pPr>
      <w:r>
        <w:rPr>
          <w:rFonts w:ascii="Arial" w:cs="Arial" w:eastAsia="Arial" w:hAnsi="Arial"/>
          <w:sz w:val="12"/>
          <w:szCs w:val="12"/>
          <w:color w:val="auto"/>
        </w:rPr>
        <w:t>Par amount is denominated in Australian Dollars (A$) or in Canadian Dollars (C$) as denoted.</w:t>
      </w:r>
    </w:p>
    <w:p>
      <w:pPr>
        <w:ind w:left="380" w:hanging="372"/>
        <w:spacing w:after="0"/>
        <w:tabs>
          <w:tab w:leader="none" w:pos="380" w:val="left"/>
        </w:tabs>
        <w:numPr>
          <w:ilvl w:val="0"/>
          <w:numId w:val="9"/>
        </w:numPr>
        <w:rPr>
          <w:rFonts w:ascii="Arial" w:cs="Arial" w:eastAsia="Arial" w:hAnsi="Arial"/>
          <w:sz w:val="11"/>
          <w:szCs w:val="11"/>
          <w:color w:val="auto"/>
        </w:rPr>
      </w:pPr>
      <w:r>
        <w:rPr>
          <w:rFonts w:ascii="Arial" w:cs="Arial" w:eastAsia="Arial" w:hAnsi="Arial"/>
          <w:sz w:val="11"/>
          <w:szCs w:val="11"/>
          <w:color w:val="auto"/>
        </w:rPr>
        <w:t>Represents the purchase of a security with a delayed settlement or a revolving line of credit that is currently an unfunded investment. This security does not earn a basis point spread above an index while it is unfunded.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the financial information for PSSL:</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40" w:type="dxa"/>
            <w:vAlign w:val="bottom"/>
          </w:tcPr>
          <w:p>
            <w:pPr>
              <w:ind w:left="4480"/>
              <w:spacing w:after="0"/>
              <w:rPr>
                <w:sz w:val="20"/>
                <w:szCs w:val="20"/>
                <w:color w:val="auto"/>
              </w:rPr>
            </w:pPr>
            <w:r>
              <w:rPr>
                <w:rFonts w:ascii="Arial" w:cs="Arial" w:eastAsia="Arial" w:hAnsi="Arial"/>
                <w:sz w:val="14"/>
                <w:szCs w:val="14"/>
                <w:b w:val="1"/>
                <w:bCs w:val="1"/>
                <w:color w:val="auto"/>
              </w:rPr>
              <w:t>Statements of Assets and Liabilities</w:t>
            </w: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7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June 30, 2020</w:t>
            </w:r>
          </w:p>
        </w:tc>
        <w:tc>
          <w:tcPr>
            <w:tcW w:w="14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71"/>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Investments at fair value (cost—$478,096,685 and $494,413,190, respectively)</w:t>
            </w:r>
          </w:p>
        </w:tc>
        <w:tc>
          <w:tcPr>
            <w:tcW w:w="6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458,456,034</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488,549,847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Cash and cash equivalents (cost—$11,058,179 and $15,322,531, respectively)</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11,063,331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15,294,881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2,150,267</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1,855,545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Prepaid expenses and other assets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996,333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40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spacing w:after="0"/>
              <w:rPr>
                <w:sz w:val="13"/>
                <w:szCs w:val="13"/>
                <w:color w:val="auto"/>
              </w:rPr>
            </w:pP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471,669,632</w:t>
            </w:r>
          </w:p>
        </w:tc>
        <w:tc>
          <w:tcPr>
            <w:tcW w:w="3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spacing w:after="0"/>
              <w:rPr>
                <w:sz w:val="13"/>
                <w:szCs w:val="13"/>
                <w:color w:val="auto"/>
              </w:rPr>
            </w:pPr>
          </w:p>
        </w:tc>
        <w:tc>
          <w:tcPr>
            <w:tcW w:w="15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506,696,606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Distribution payable</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1,400,000</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PSSL Credit Facility payable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287,406,665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308,724,305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141,050,000</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139,650,000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Interest payable on PSSL Credit Facility</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639,363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1,015,468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notes to members</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32,551</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176,273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40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23,723</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22,754</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4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4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430,552,302</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449,588,800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4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4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41,117,330</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57,107,806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40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471,669,632</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506,696,606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6880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10"/>
        </w:numPr>
        <w:rPr>
          <w:rFonts w:ascii="Arial" w:cs="Arial" w:eastAsia="Arial" w:hAnsi="Arial"/>
          <w:sz w:val="12"/>
          <w:szCs w:val="12"/>
          <w:color w:val="auto"/>
        </w:rPr>
      </w:pPr>
      <w:r>
        <w:rPr>
          <w:rFonts w:ascii="Arial" w:cs="Arial" w:eastAsia="Arial" w:hAnsi="Arial"/>
          <w:sz w:val="14"/>
          <w:szCs w:val="14"/>
          <w:color w:val="auto"/>
        </w:rPr>
        <w:t>As of June 30, 2020 and September 30, 2019, PSSL had unfunded commitments to fund investments of zero and $0.3 million,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2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2"/>
              </w:rPr>
              <w:t>Statements of Operations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4"/>
                <w:szCs w:val="14"/>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 June 30,</w:t>
            </w:r>
          </w:p>
        </w:tc>
      </w:tr>
      <w:tr>
        <w:trPr>
          <w:trHeight w:val="156"/>
        </w:trPr>
        <w:tc>
          <w:tcPr>
            <w:tcW w:w="4740" w:type="dxa"/>
            <w:vAlign w:val="bottom"/>
            <w:tcBorders>
              <w:bottom w:val="single" w:sz="8" w:color="CCECFF"/>
            </w:tcBorders>
          </w:tcPr>
          <w:p>
            <w:pPr>
              <w:spacing w:after="0"/>
              <w:rPr>
                <w:sz w:val="13"/>
                <w:szCs w:val="13"/>
                <w:color w:val="auto"/>
              </w:rPr>
            </w:pPr>
          </w:p>
        </w:tc>
        <w:tc>
          <w:tcPr>
            <w:tcW w:w="9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9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8,396,474</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9,870,920</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25,795,723</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29,791,971</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9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57,814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220,500</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54,177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519,443</w:t>
            </w:r>
          </w:p>
        </w:tc>
        <w:tc>
          <w:tcPr>
            <w:tcW w:w="100" w:type="dxa"/>
            <w:vAlign w:val="bottom"/>
            <w:shd w:val="clear" w:color="auto" w:fill="CCECFF"/>
          </w:tcPr>
          <w:p>
            <w:pPr>
              <w:spacing w:after="0"/>
              <w:rPr>
                <w:sz w:val="14"/>
                <w:szCs w:val="14"/>
                <w:color w:val="auto"/>
              </w:rPr>
            </w:pPr>
          </w:p>
        </w:tc>
      </w:tr>
      <w:tr>
        <w:trPr>
          <w:trHeight w:val="156"/>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9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8,454,288</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10,091,420</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25,849,900</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30,311,414</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9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3,025,882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4,145,313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9,772,633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12,568,962</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expense on notes to members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3,377,323</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3,701,558</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10,516,894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10,595,874</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Administrative services expenses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850,000</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9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144,650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113,650</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372,010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340,950</w:t>
            </w:r>
          </w:p>
        </w:tc>
        <w:tc>
          <w:tcPr>
            <w:tcW w:w="100" w:type="dxa"/>
            <w:vAlign w:val="bottom"/>
            <w:shd w:val="clear" w:color="auto" w:fill="CCECFF"/>
          </w:tcPr>
          <w:p>
            <w:pPr>
              <w:spacing w:after="0"/>
              <w:rPr>
                <w:sz w:val="14"/>
                <w:szCs w:val="14"/>
                <w:color w:val="auto"/>
              </w:rPr>
            </w:pPr>
          </w:p>
        </w:tc>
      </w:tr>
      <w:tr>
        <w:trPr>
          <w:trHeight w:val="155"/>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9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6,847,855</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8,260,521</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21,561,537</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24,355,786</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9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1,606,433</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1,830,899</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4,288,363</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5,955,628</w:t>
            </w:r>
          </w:p>
        </w:tc>
        <w:tc>
          <w:tcPr>
            <w:tcW w:w="100" w:type="dxa"/>
            <w:vAlign w:val="bottom"/>
            <w:shd w:val="clear" w:color="auto" w:fill="CCECFF"/>
          </w:tcPr>
          <w:p>
            <w:pPr>
              <w:spacing w:after="0"/>
              <w:rPr>
                <w:sz w:val="13"/>
                <w:szCs w:val="13"/>
                <w:color w:val="auto"/>
              </w:rPr>
            </w:pP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2"/>
              </w:rPr>
              <w:t>Realized and unrealized gain (loss) on investments and credit facility foreign</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on investments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(1,673,907)</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(1,604,539)</w:t>
            </w: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(1,255,546)</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(1,025,488)</w:t>
            </w: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Investments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6,012,106</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404,262</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(13,744,548)</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(3,243,343)</w:t>
            </w: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Credit facility foreign currency translation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(3,566,638)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241,025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(878,744)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738,432</w:t>
            </w:r>
          </w:p>
        </w:tc>
        <w:tc>
          <w:tcPr>
            <w:tcW w:w="100" w:type="dxa"/>
            <w:vAlign w:val="bottom"/>
          </w:tcPr>
          <w:p>
            <w:pPr>
              <w:spacing w:after="0"/>
              <w:rPr>
                <w:sz w:val="14"/>
                <w:szCs w:val="14"/>
                <w:color w:val="auto"/>
              </w:rPr>
            </w:pPr>
          </w:p>
        </w:tc>
      </w:tr>
      <w:tr>
        <w:trPr>
          <w:trHeight w:val="133"/>
        </w:trPr>
        <w:tc>
          <w:tcPr>
            <w:tcW w:w="4740" w:type="dxa"/>
            <w:vAlign w:val="bottom"/>
            <w:tcBorders>
              <w:top w:val="single" w:sz="8" w:color="CCECFF"/>
            </w:tcBorders>
            <w:shd w:val="clear" w:color="auto" w:fill="CCECFF"/>
          </w:tcPr>
          <w:p>
            <w:pPr>
              <w:ind w:left="260"/>
              <w:spacing w:after="0" w:line="133" w:lineRule="exact"/>
              <w:rPr>
                <w:sz w:val="20"/>
                <w:szCs w:val="20"/>
                <w:color w:val="auto"/>
              </w:rPr>
            </w:pPr>
            <w:r>
              <w:rPr>
                <w:rFonts w:ascii="Arial" w:cs="Arial" w:eastAsia="Arial" w:hAnsi="Arial"/>
                <w:sz w:val="14"/>
                <w:szCs w:val="14"/>
                <w:b w:val="1"/>
                <w:bCs w:val="1"/>
                <w:color w:val="auto"/>
                <w:w w:val="92"/>
              </w:rPr>
              <w:t>Net change in unrealized appreciation (depreciation) on investments and</w:t>
            </w:r>
          </w:p>
        </w:tc>
        <w:tc>
          <w:tcPr>
            <w:tcW w:w="9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71"/>
        </w:trPr>
        <w:tc>
          <w:tcPr>
            <w:tcW w:w="4740" w:type="dxa"/>
            <w:vAlign w:val="bottom"/>
            <w:shd w:val="clear" w:color="auto" w:fill="CCECFF"/>
          </w:tcPr>
          <w:p>
            <w:pPr>
              <w:ind w:left="360"/>
              <w:spacing w:after="0"/>
              <w:rPr>
                <w:sz w:val="20"/>
                <w:szCs w:val="20"/>
                <w:color w:val="auto"/>
              </w:rPr>
            </w:pPr>
            <w:r>
              <w:rPr>
                <w:rFonts w:ascii="Arial" w:cs="Arial" w:eastAsia="Arial" w:hAnsi="Arial"/>
                <w:sz w:val="14"/>
                <w:szCs w:val="14"/>
                <w:b w:val="1"/>
                <w:bCs w:val="1"/>
                <w:color w:val="auto"/>
              </w:rPr>
              <w:t>credit facility foreign currency translation</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2,445,468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645,287</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(14,623,292)</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(2,504,911)</w:t>
            </w: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5"/>
              </w:rPr>
              <w:t>Net realized and unrealized gain (loss) from investments and credit facility</w:t>
            </w:r>
          </w:p>
        </w:tc>
        <w:tc>
          <w:tcPr>
            <w:tcW w:w="9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foreign currency translation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771,561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(959,252)</w:t>
            </w:r>
          </w:p>
        </w:tc>
        <w:tc>
          <w:tcPr>
            <w:tcW w:w="2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(15,878,838)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(3,530,399)</w:t>
            </w:r>
          </w:p>
        </w:tc>
      </w:tr>
      <w:tr>
        <w:trPr>
          <w:trHeight w:val="155"/>
        </w:trPr>
        <w:tc>
          <w:tcPr>
            <w:tcW w:w="47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members' equity resulting from operations</w:t>
            </w:r>
          </w:p>
        </w:tc>
        <w:tc>
          <w:tcPr>
            <w:tcW w:w="9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2,377,994</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871,647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(11,590,475)</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2,425,229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0" w:lineRule="exact"/>
        <w:rPr>
          <w:sz w:val="20"/>
          <w:szCs w:val="20"/>
          <w:color w:val="auto"/>
        </w:rPr>
      </w:pPr>
    </w:p>
    <w:p>
      <w:pPr>
        <w:ind w:left="5560" w:right="1980" w:hanging="5552"/>
        <w:spacing w:after="0" w:line="595" w:lineRule="auto"/>
        <w:tabs>
          <w:tab w:leader="none" w:pos="3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No management or incentive fees are payable by PSSL. If any fees were to be charged, they would be separately disclosed in the Statement of Operations.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494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90" w:lineRule="auto"/>
        <w:tabs>
          <w:tab w:leader="none" w:pos="12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is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jc w:val="both"/>
        <w:ind w:right="60" w:firstLine="438"/>
        <w:spacing w:after="0" w:line="231" w:lineRule="auto"/>
        <w:rPr>
          <w:sz w:val="20"/>
          <w:szCs w:val="20"/>
          <w:color w:val="auto"/>
        </w:rPr>
      </w:pPr>
      <w:r>
        <w:rPr>
          <w:rFonts w:ascii="Arial" w:cs="Arial" w:eastAsia="Arial" w:hAnsi="Arial"/>
          <w:sz w:val="14"/>
          <w:szCs w:val="14"/>
          <w:color w:val="auto"/>
        </w:rPr>
        <w:t>Our investments are generally structured as Floating Rate Loans, mainly first lien secured debt, but also may include second lien secured debt, subordinated debt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280" w:firstLine="438"/>
        <w:spacing w:after="0" w:line="25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w:t>
      </w:r>
    </w:p>
    <w:p>
      <w:pPr>
        <w:spacing w:after="0" w:line="106" w:lineRule="exact"/>
        <w:rPr>
          <w:sz w:val="20"/>
          <w:szCs w:val="20"/>
          <w:color w:val="auto"/>
        </w:rPr>
      </w:pPr>
    </w:p>
    <w:p>
      <w:pPr>
        <w:ind w:right="26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2023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jc w:val="both"/>
        <w:ind w:right="140" w:firstLine="438"/>
        <w:spacing w:after="0" w:line="251"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of an investment, it may independently value such investment by using the valuation procedure that it uses with respect to assets for which market quotations are not readily available. In accordance with ASC 820, we do not categorize any investments for which fair value is measured using the net asset value per share as a practical expedient within the fair value hierarchy.</w:t>
      </w:r>
    </w:p>
    <w:p>
      <w:pPr>
        <w:spacing w:after="0" w:line="109" w:lineRule="exact"/>
        <w:rPr>
          <w:sz w:val="20"/>
          <w:szCs w:val="20"/>
          <w:color w:val="auto"/>
        </w:rPr>
      </w:pPr>
    </w:p>
    <w:p>
      <w:pPr>
        <w:ind w:right="20" w:firstLine="438"/>
        <w:spacing w:after="0" w:line="225" w:lineRule="auto"/>
        <w:rPr>
          <w:sz w:val="20"/>
          <w:szCs w:val="20"/>
          <w:color w:val="auto"/>
        </w:rPr>
      </w:pPr>
      <w:r>
        <w:rPr>
          <w:rFonts w:ascii="Arial" w:cs="Arial" w:eastAsia="Arial" w:hAnsi="Arial"/>
          <w:sz w:val="14"/>
          <w:szCs w:val="14"/>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earnings before interest, taxes, depreciation and amortization, or EBITDA, multiple will result in an increase in the valuation of an investment, while a decrease in an EBITDA multiple will have the opposite effect.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480" w:type="dxa"/>
            <w:vAlign w:val="bottom"/>
            <w:gridSpan w:val="7"/>
          </w:tcPr>
          <w:p>
            <w:pPr>
              <w:ind w:left="440"/>
              <w:spacing w:after="0"/>
              <w:rPr>
                <w:sz w:val="20"/>
                <w:szCs w:val="20"/>
                <w:color w:val="auto"/>
              </w:rPr>
            </w:pPr>
            <w:r>
              <w:rPr>
                <w:rFonts w:ascii="Arial" w:cs="Arial" w:eastAsia="Arial" w:hAnsi="Arial"/>
                <w:sz w:val="14"/>
                <w:szCs w:val="14"/>
                <w:color w:val="auto"/>
                <w:w w:val="95"/>
              </w:rPr>
              <w:t>Our Level 3 valuation techniques, unobservable inputs and ranges were categorized as follows for ASC 820 purposes:</w:t>
            </w:r>
          </w:p>
        </w:tc>
        <w:tc>
          <w:tcPr>
            <w:tcW w:w="1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w w:val="94"/>
              </w:rPr>
              <w:t>Fair Value at June 30,</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 xml:space="preserve">(Weighted Average) </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55"/>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91,587,863</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gridSpan w:val="2"/>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889,171,152</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93"/>
              </w:rPr>
              <w:t>4.6% – 17.3% (8.5%)</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27,008,496</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spacing w:after="0"/>
              <w:rPr>
                <w:sz w:val="20"/>
                <w:szCs w:val="20"/>
                <w:color w:val="auto"/>
              </w:rPr>
            </w:pPr>
            <w:r>
              <w:rPr>
                <w:rFonts w:ascii="Arial" w:cs="Arial" w:eastAsia="Arial" w:hAnsi="Arial"/>
                <w:sz w:val="14"/>
                <w:szCs w:val="14"/>
                <w:color w:val="auto"/>
                <w:w w:val="94"/>
              </w:rPr>
              <w:t>9.3% – 16.9% (10.3%)</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12,888,682</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96"/>
              </w:rPr>
              <w:t>0.2x – 5.8x (3.7x)</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4,706,510</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20"/>
              <w:spacing w:after="0"/>
              <w:rPr>
                <w:sz w:val="20"/>
                <w:szCs w:val="20"/>
                <w:color w:val="auto"/>
              </w:rPr>
            </w:pPr>
            <w:r>
              <w:rPr>
                <w:rFonts w:ascii="Arial" w:cs="Arial" w:eastAsia="Arial" w:hAnsi="Arial"/>
                <w:sz w:val="14"/>
                <w:szCs w:val="14"/>
                <w:color w:val="auto"/>
                <w:w w:val="98"/>
              </w:rPr>
              <w:t>0.2x</w:t>
            </w:r>
          </w:p>
        </w:tc>
        <w:tc>
          <w:tcPr>
            <w:tcW w:w="0" w:type="dxa"/>
            <w:vAlign w:val="bottom"/>
          </w:tcPr>
          <w:p>
            <w:pPr>
              <w:spacing w:after="0"/>
              <w:rPr>
                <w:sz w:val="1"/>
                <w:szCs w:val="1"/>
                <w:color w:val="auto"/>
              </w:rPr>
            </w:pPr>
          </w:p>
        </w:tc>
      </w:tr>
      <w:tr>
        <w:trPr>
          <w:trHeight w:val="162"/>
        </w:trPr>
        <w:tc>
          <w:tcPr>
            <w:tcW w:w="34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43,012,883</w:t>
            </w:r>
          </w:p>
        </w:tc>
        <w:tc>
          <w:tcPr>
            <w:tcW w:w="260" w:type="dxa"/>
            <w:vAlign w:val="bottom"/>
            <w:tcBorders>
              <w:bottom w:val="single" w:sz="8" w:color="CCECFF"/>
            </w:tcBorders>
          </w:tcPr>
          <w:p>
            <w:pPr>
              <w:spacing w:after="0"/>
              <w:rPr>
                <w:sz w:val="14"/>
                <w:szCs w:val="14"/>
                <w:color w:val="auto"/>
              </w:rPr>
            </w:pP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tcBorders>
              <w:bottom w:val="single" w:sz="8" w:color="CCECFF"/>
            </w:tcBorders>
            <w:gridSpan w:val="2"/>
          </w:tcPr>
          <w:p>
            <w:pPr>
              <w:jc w:val="center"/>
              <w:ind w:right="20"/>
              <w:spacing w:after="0"/>
              <w:rPr>
                <w:sz w:val="20"/>
                <w:szCs w:val="20"/>
                <w:color w:val="auto"/>
              </w:rPr>
            </w:pPr>
            <w:r>
              <w:rPr>
                <w:rFonts w:ascii="Arial" w:cs="Arial" w:eastAsia="Arial" w:hAnsi="Arial"/>
                <w:sz w:val="14"/>
                <w:szCs w:val="14"/>
                <w:color w:val="auto"/>
                <w:w w:val="95"/>
              </w:rPr>
              <w:t>0.2x – 12.7x (10.0x)</w:t>
            </w:r>
          </w:p>
        </w:tc>
        <w:tc>
          <w:tcPr>
            <w:tcW w:w="0" w:type="dxa"/>
            <w:vAlign w:val="bottom"/>
          </w:tcPr>
          <w:p>
            <w:pPr>
              <w:spacing w:after="0"/>
              <w:rPr>
                <w:sz w:val="1"/>
                <w:szCs w:val="1"/>
                <w:color w:val="auto"/>
              </w:rPr>
            </w:pPr>
          </w:p>
        </w:tc>
      </w:tr>
      <w:tr>
        <w:trPr>
          <w:trHeight w:val="156"/>
        </w:trPr>
        <w:tc>
          <w:tcPr>
            <w:tcW w:w="34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1,068,375,586</w:t>
            </w:r>
          </w:p>
        </w:tc>
        <w:tc>
          <w:tcPr>
            <w:tcW w:w="2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80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2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700" w:type="dxa"/>
            <w:vAlign w:val="bottom"/>
            <w:vMerge w:val="restart"/>
          </w:tcPr>
          <w:p>
            <w:pPr>
              <w:jc w:val="center"/>
              <w:ind w:left="8"/>
              <w:spacing w:after="0"/>
              <w:rPr>
                <w:sz w:val="20"/>
                <w:szCs w:val="20"/>
                <w:color w:val="auto"/>
              </w:rPr>
            </w:pPr>
            <w:r>
              <w:rPr>
                <w:rFonts w:ascii="Arial" w:cs="Arial" w:eastAsia="Arial" w:hAnsi="Arial"/>
                <w:sz w:val="14"/>
                <w:szCs w:val="14"/>
                <w:color w:val="auto"/>
                <w:w w:val="93"/>
              </w:rPr>
              <w:t>3.3%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4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340,926,080</w:t>
            </w:r>
          </w:p>
        </w:tc>
        <w:tc>
          <w:tcPr>
            <w:tcW w:w="2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342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Fair Value at</w:t>
            </w:r>
          </w:p>
        </w:tc>
        <w:tc>
          <w:tcPr>
            <w:tcW w:w="260" w:type="dxa"/>
            <w:vAlign w:val="bottom"/>
          </w:tcPr>
          <w:p>
            <w:pPr>
              <w:spacing w:after="0"/>
              <w:rPr>
                <w:sz w:val="23"/>
                <w:szCs w:val="23"/>
                <w:color w:val="auto"/>
              </w:rPr>
            </w:pP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Valuation Technique</w:t>
            </w:r>
          </w:p>
        </w:tc>
        <w:tc>
          <w:tcPr>
            <w:tcW w:w="1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4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September 30, 2019</w:t>
            </w:r>
          </w:p>
        </w:tc>
        <w:tc>
          <w:tcPr>
            <w:tcW w:w="26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 xml:space="preserve">(Weighted Average) </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56"/>
        </w:trPr>
        <w:tc>
          <w:tcPr>
            <w:tcW w:w="34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274,095,799</w:t>
            </w:r>
          </w:p>
        </w:tc>
        <w:tc>
          <w:tcPr>
            <w:tcW w:w="2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18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2,205,284</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661,720,734</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3.9% – 29.2% (8.3%)</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26,851,188</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3.9% – 14.2% (10.6%)</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First lien</w:t>
            </w:r>
          </w:p>
        </w:tc>
        <w:tc>
          <w:tcPr>
            <w:tcW w:w="16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9,084,267</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00"/>
              <w:spacing w:after="0"/>
              <w:rPr>
                <w:sz w:val="20"/>
                <w:szCs w:val="20"/>
                <w:color w:val="auto"/>
              </w:rPr>
            </w:pPr>
            <w:r>
              <w:rPr>
                <w:rFonts w:ascii="Arial" w:cs="Arial" w:eastAsia="Arial" w:hAnsi="Arial"/>
                <w:sz w:val="14"/>
                <w:szCs w:val="14"/>
                <w:color w:val="auto"/>
                <w:w w:val="94"/>
              </w:rPr>
              <w:t>5.0x – 10.9x (6.5x)</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5,314,125</w:t>
            </w:r>
          </w:p>
        </w:tc>
        <w:tc>
          <w:tcPr>
            <w:tcW w:w="260" w:type="dxa"/>
            <w:vAlign w:val="bottom"/>
          </w:tcPr>
          <w:p>
            <w:pPr>
              <w:spacing w:after="0"/>
              <w:rPr>
                <w:sz w:val="14"/>
                <w:szCs w:val="14"/>
                <w:color w:val="auto"/>
              </w:rPr>
            </w:pP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10.9x</w:t>
            </w:r>
          </w:p>
        </w:tc>
        <w:tc>
          <w:tcPr>
            <w:tcW w:w="0" w:type="dxa"/>
            <w:vAlign w:val="bottom"/>
          </w:tcPr>
          <w:p>
            <w:pPr>
              <w:spacing w:after="0"/>
              <w:rPr>
                <w:sz w:val="1"/>
                <w:szCs w:val="1"/>
                <w:color w:val="auto"/>
              </w:rPr>
            </w:pPr>
          </w:p>
        </w:tc>
      </w:tr>
      <w:tr>
        <w:trPr>
          <w:trHeight w:val="162"/>
        </w:trPr>
        <w:tc>
          <w:tcPr>
            <w:tcW w:w="342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15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52,466,181</w:t>
            </w:r>
          </w:p>
        </w:tc>
        <w:tc>
          <w:tcPr>
            <w:tcW w:w="260" w:type="dxa"/>
            <w:vAlign w:val="bottom"/>
            <w:shd w:val="clear" w:color="auto" w:fill="CCECFF"/>
          </w:tcPr>
          <w:p>
            <w:pPr>
              <w:spacing w:after="0"/>
              <w:rPr>
                <w:sz w:val="14"/>
                <w:szCs w:val="14"/>
                <w:color w:val="auto"/>
              </w:rPr>
            </w:pP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196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180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6.3x – 50.8x (15.4x)</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1,031,737,579</w:t>
            </w:r>
          </w:p>
        </w:tc>
        <w:tc>
          <w:tcPr>
            <w:tcW w:w="2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80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170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42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5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263,988,583</w:t>
            </w:r>
          </w:p>
        </w:tc>
        <w:tc>
          <w:tcPr>
            <w:tcW w:w="260" w:type="dxa"/>
            <w:vAlign w:val="bottom"/>
            <w:tcBorders>
              <w:bottom w:val="single" w:sz="8" w:color="CCECFF"/>
            </w:tcBorders>
            <w:shd w:val="clear" w:color="auto" w:fill="CCECFF"/>
          </w:tcPr>
          <w:p>
            <w:pPr>
              <w:spacing w:after="0"/>
              <w:rPr>
                <w:sz w:val="12"/>
                <w:szCs w:val="12"/>
                <w:color w:val="auto"/>
              </w:rPr>
            </w:pP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196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170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4.0%</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2"/>
          <w:szCs w:val="12"/>
          <w:color w:val="auto"/>
        </w:rPr>
      </w:pPr>
      <w:r>
        <w:rPr>
          <w:rFonts w:ascii="Arial" w:cs="Arial" w:eastAsia="Arial" w:hAnsi="Arial"/>
          <w:sz w:val="14"/>
          <w:szCs w:val="14"/>
          <w:color w:val="auto"/>
        </w:rPr>
        <w:t>The weighted averages disclosed in the table above were weighted by their relative fair value.</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investments, cash and cash equivalents, Credit Facility, 2023 Notes, and the 2031 Asset-Backed Debt were categorized as follows in the fair value hierarchy: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right"/>
              <w:ind w:right="108"/>
              <w:spacing w:after="0"/>
              <w:rPr>
                <w:sz w:val="20"/>
                <w:szCs w:val="20"/>
                <w:color w:val="auto"/>
              </w:rPr>
            </w:pPr>
            <w:r>
              <w:rPr>
                <w:rFonts w:ascii="Arial" w:cs="Arial" w:eastAsia="Arial" w:hAnsi="Arial"/>
                <w:sz w:val="14"/>
                <w:szCs w:val="14"/>
                <w:b w:val="1"/>
                <w:bCs w:val="1"/>
                <w:color w:val="auto"/>
                <w:w w:val="93"/>
              </w:rPr>
              <w:t>Fair Value at June 30, 2020</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1"/>
                <w:szCs w:val="11"/>
                <w:color w:val="auto"/>
              </w:rPr>
            </w:pPr>
          </w:p>
        </w:tc>
        <w:tc>
          <w:tcPr>
            <w:tcW w:w="9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11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5"/>
        </w:trPr>
        <w:tc>
          <w:tcPr>
            <w:tcW w:w="41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993,647,697</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CFF"/>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993,647,697</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31,715,006</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31,715,006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auto"/>
            </w:tcBorders>
            <w:shd w:val="clear" w:color="auto" w:fill="CCECFF"/>
          </w:tcPr>
          <w:p>
            <w:pPr>
              <w:spacing w:after="0"/>
              <w:rPr>
                <w:sz w:val="14"/>
                <w:szCs w:val="14"/>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78,990,548</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43,012,883</w:t>
            </w:r>
          </w:p>
        </w:tc>
        <w:tc>
          <w:tcPr>
            <w:tcW w:w="240" w:type="dxa"/>
            <w:vAlign w:val="bottom"/>
            <w:shd w:val="clear" w:color="auto" w:fill="CCECFF"/>
          </w:tcPr>
          <w:p>
            <w:pPr>
              <w:spacing w:after="0"/>
              <w:rPr>
                <w:sz w:val="14"/>
                <w:szCs w:val="14"/>
                <w:color w:val="auto"/>
              </w:rPr>
            </w:pPr>
          </w:p>
        </w:tc>
        <w:tc>
          <w:tcPr>
            <w:tcW w:w="80" w:type="dxa"/>
            <w:vAlign w:val="bottom"/>
            <w:tcBorders>
              <w:bottom w:val="single" w:sz="8" w:color="auto"/>
            </w:tcBorders>
            <w:shd w:val="clear" w:color="auto" w:fill="CCECFF"/>
          </w:tcPr>
          <w:p>
            <w:pPr>
              <w:spacing w:after="0"/>
              <w:rPr>
                <w:sz w:val="14"/>
                <w:szCs w:val="14"/>
                <w:color w:val="auto"/>
              </w:rPr>
            </w:pPr>
          </w:p>
        </w:tc>
        <w:tc>
          <w:tcPr>
            <w:tcW w:w="1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35,977,665</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1,104,353,251</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1,068,375,586</w:t>
            </w:r>
          </w:p>
        </w:tc>
        <w:tc>
          <w:tcPr>
            <w:tcW w:w="240" w:type="dxa"/>
            <w:vAlign w:val="bottom"/>
            <w:tcBorders>
              <w:bottom w:val="single" w:sz="8" w:color="CCEC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35,977,665</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53,405,925</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53,405,925</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1,157,759,176</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53,405,925</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1,068,375,586</w:t>
            </w:r>
          </w:p>
        </w:tc>
        <w:tc>
          <w:tcPr>
            <w:tcW w:w="240" w:type="dxa"/>
            <w:vAlign w:val="bottom"/>
            <w:tcBorders>
              <w:bottom w:val="single" w:sz="8" w:color="CCEC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35,977,665</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0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340,926,080</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ind w:left="80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00" w:type="dxa"/>
            <w:vAlign w:val="bottom"/>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340,926,080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gridSpan w:val="2"/>
          </w:tcPr>
          <w:p>
            <w:pPr>
              <w:spacing w:after="0"/>
              <w:rPr>
                <w:sz w:val="20"/>
                <w:szCs w:val="20"/>
                <w:color w:val="auto"/>
              </w:rPr>
            </w:pPr>
            <w:r>
              <w:rPr>
                <w:rFonts w:ascii="Arial" w:cs="Arial" w:eastAsia="Arial" w:hAnsi="Arial"/>
                <w:sz w:val="14"/>
                <w:szCs w:val="14"/>
                <w:color w:val="auto"/>
              </w:rPr>
              <w:t>2023 Notes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121,853,269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121,853,269</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 xml:space="preserve">2031 Asset-Backed Debt </w:t>
            </w:r>
            <w:r>
              <w:rPr>
                <w:rFonts w:ascii="Arial" w:cs="Arial" w:eastAsia="Arial" w:hAnsi="Arial"/>
                <w:sz w:val="12"/>
                <w:szCs w:val="12"/>
                <w:color w:val="auto"/>
              </w:rPr>
              <w:t>(2)</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224,708,624</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224,708,624</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30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687,487,973</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121,853,269</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565,634,704</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0" w:lineRule="exact"/>
        <w:rPr>
          <w:sz w:val="20"/>
          <w:szCs w:val="20"/>
          <w:color w:val="auto"/>
        </w:rPr>
      </w:pPr>
    </w:p>
    <w:p>
      <w:pPr>
        <w:ind w:left="380" w:right="560" w:hanging="372"/>
        <w:spacing w:after="0" w:line="251" w:lineRule="auto"/>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In accordance with ASC 820, our equity investment in PSSL is measured using the net asset value per share (or its equivalent) as a practical expedient for fair value, have not been classified in the fair value hierarchy.</w:t>
      </w:r>
    </w:p>
    <w:p>
      <w:pPr>
        <w:ind w:left="380" w:right="120" w:hanging="372"/>
        <w:spacing w:after="0" w:line="253" w:lineRule="auto"/>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We elected not to apply the fair-value option allowed by ASC 825-10 to the 2031 Asset-Backed Debt and thus the balance reported in the Consolidated Statement of Assets and Liabilities represents the carrying value, which approximates the fair value.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6"/>
          </w:tcPr>
          <w:p>
            <w:pPr>
              <w:jc w:val="right"/>
              <w:ind w:right="8"/>
              <w:spacing w:after="0"/>
              <w:rPr>
                <w:sz w:val="20"/>
                <w:szCs w:val="20"/>
                <w:color w:val="auto"/>
              </w:rPr>
            </w:pPr>
            <w:r>
              <w:rPr>
                <w:rFonts w:ascii="Arial" w:cs="Arial" w:eastAsia="Arial" w:hAnsi="Arial"/>
                <w:sz w:val="14"/>
                <w:szCs w:val="14"/>
                <w:b w:val="1"/>
                <w:bCs w:val="1"/>
                <w:color w:val="auto"/>
              </w:rPr>
              <w:t>Fair Value at September 30, 2019</w:t>
            </w: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1"/>
                <w:szCs w:val="11"/>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1"/>
                <w:szCs w:val="11"/>
                <w:color w:val="auto"/>
              </w:rPr>
            </w:pP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1100" w:type="dxa"/>
            <w:vAlign w:val="bottom"/>
          </w:tcPr>
          <w:p>
            <w:pPr>
              <w:jc w:val="center"/>
              <w:ind w:right="8"/>
              <w:spacing w:after="0" w:line="133" w:lineRule="exact"/>
              <w:rPr>
                <w:sz w:val="20"/>
                <w:szCs w:val="20"/>
                <w:color w:val="auto"/>
              </w:rPr>
            </w:pPr>
            <w:r>
              <w:rPr>
                <w:rFonts w:ascii="Arial" w:cs="Arial" w:eastAsia="Arial" w:hAnsi="Arial"/>
                <w:sz w:val="14"/>
                <w:szCs w:val="14"/>
                <w:b w:val="1"/>
                <w:bCs w:val="1"/>
                <w:color w:val="auto"/>
                <w:w w:val="94"/>
              </w:rPr>
              <w:t>Measured at Net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 xml:space="preserve">Asset Value </w:t>
            </w:r>
            <w:r>
              <w:rPr>
                <w:rFonts w:ascii="Arial" w:cs="Arial" w:eastAsia="Arial" w:hAnsi="Arial"/>
                <w:sz w:val="12"/>
                <w:szCs w:val="12"/>
                <w:b w:val="1"/>
                <w:bCs w:val="1"/>
                <w:color w:val="auto"/>
                <w:w w:val="89"/>
              </w:rPr>
              <w:t>(1)</w:t>
            </w:r>
          </w:p>
        </w:tc>
        <w:tc>
          <w:tcPr>
            <w:tcW w:w="0" w:type="dxa"/>
            <w:vAlign w:val="bottom"/>
          </w:tcPr>
          <w:p>
            <w:pPr>
              <w:spacing w:after="0"/>
              <w:rPr>
                <w:sz w:val="1"/>
                <w:szCs w:val="1"/>
                <w:color w:val="auto"/>
              </w:rPr>
            </w:pPr>
          </w:p>
        </w:tc>
      </w:tr>
      <w:tr>
        <w:trPr>
          <w:trHeight w:val="155"/>
        </w:trPr>
        <w:tc>
          <w:tcPr>
            <w:tcW w:w="41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CFF"/>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2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0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34,370,598</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34,370,598</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102,435,511</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52,466,181</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49,969,330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0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1,081,706,909</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1,031,737,579</w:t>
            </w:r>
          </w:p>
        </w:tc>
        <w:tc>
          <w:tcPr>
            <w:tcW w:w="240" w:type="dxa"/>
            <w:vAlign w:val="bottom"/>
            <w:tcBorders>
              <w:bottom w:val="single" w:sz="8" w:color="CCEC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49,969,330</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300" w:type="dxa"/>
            <w:vAlign w:val="bottom"/>
            <w:gridSpan w:val="2"/>
            <w:shd w:val="clear" w:color="auto" w:fill="CCECFF"/>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auto"/>
            </w:tcBorders>
            <w:shd w:val="clear" w:color="auto" w:fill="CCECFF"/>
          </w:tcPr>
          <w:p>
            <w:pPr>
              <w:spacing w:after="0"/>
              <w:rPr>
                <w:sz w:val="13"/>
                <w:szCs w:val="13"/>
                <w:color w:val="auto"/>
              </w:rPr>
            </w:pPr>
          </w:p>
        </w:tc>
        <w:tc>
          <w:tcPr>
            <w:tcW w:w="10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63,337,728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63,337,728</w:t>
            </w:r>
          </w:p>
        </w:tc>
        <w:tc>
          <w:tcPr>
            <w:tcW w:w="2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spacing w:after="0"/>
              <w:rPr>
                <w:sz w:val="13"/>
                <w:szCs w:val="13"/>
                <w:color w:val="auto"/>
              </w:rPr>
            </w:pPr>
          </w:p>
        </w:tc>
        <w:tc>
          <w:tcPr>
            <w:tcW w:w="9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3"/>
                <w:szCs w:val="13"/>
                <w:color w:val="auto"/>
              </w:rPr>
            </w:pPr>
          </w:p>
        </w:tc>
        <w:tc>
          <w:tcPr>
            <w:tcW w:w="80" w:type="dxa"/>
            <w:vAlign w:val="bottom"/>
            <w:tcBorders>
              <w:bottom w:val="single" w:sz="8" w:color="auto"/>
            </w:tcBorders>
            <w:shd w:val="clear" w:color="auto" w:fill="CCECFF"/>
          </w:tcPr>
          <w:p>
            <w:pPr>
              <w:spacing w:after="0"/>
              <w:rPr>
                <w:sz w:val="13"/>
                <w:szCs w:val="13"/>
                <w:color w:val="auto"/>
              </w:rPr>
            </w:pPr>
          </w:p>
        </w:tc>
        <w:tc>
          <w:tcPr>
            <w:tcW w:w="1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300" w:type="dxa"/>
            <w:vAlign w:val="bottom"/>
            <w:tcBorders>
              <w:bottom w:val="single" w:sz="8" w:color="CCECFF"/>
            </w:tcBorders>
            <w:gridSpan w:val="2"/>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1,145,044,637</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63,337,728</w:t>
            </w:r>
          </w:p>
        </w:tc>
        <w:tc>
          <w:tcPr>
            <w:tcW w:w="240" w:type="dxa"/>
            <w:vAlign w:val="bottom"/>
            <w:tcBorders>
              <w:bottom w:val="single" w:sz="8" w:color="CCECFF"/>
            </w:tcBorders>
          </w:tcPr>
          <w:p>
            <w:pPr>
              <w:spacing w:after="0"/>
              <w:rPr>
                <w:sz w:val="17"/>
                <w:szCs w:val="17"/>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Borders>
              <w:bottom w:val="single" w:sz="8" w:color="CCECFF"/>
            </w:tcBorders>
          </w:tcPr>
          <w:p>
            <w:pPr>
              <w:spacing w:after="0"/>
              <w:rPr>
                <w:sz w:val="17"/>
                <w:szCs w:val="17"/>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1,031,737,579</w:t>
            </w:r>
          </w:p>
        </w:tc>
        <w:tc>
          <w:tcPr>
            <w:tcW w:w="240" w:type="dxa"/>
            <w:vAlign w:val="bottom"/>
            <w:tcBorders>
              <w:bottom w:val="single" w:sz="8" w:color="CCECFF"/>
            </w:tcBorders>
          </w:tcPr>
          <w:p>
            <w:pPr>
              <w:spacing w:after="0"/>
              <w:rPr>
                <w:sz w:val="17"/>
                <w:szCs w:val="17"/>
                <w:color w:val="auto"/>
              </w:rPr>
            </w:pPr>
          </w:p>
        </w:tc>
        <w:tc>
          <w:tcPr>
            <w:tcW w:w="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49,969,330</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30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10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263,988,583</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2"/>
                <w:szCs w:val="12"/>
                <w:color w:val="auto"/>
              </w:rPr>
            </w:pPr>
          </w:p>
        </w:tc>
        <w:tc>
          <w:tcPr>
            <w:tcW w:w="220" w:type="dxa"/>
            <w:vAlign w:val="bottom"/>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ind w:left="800"/>
              <w:spacing w:after="0" w:line="143" w:lineRule="exact"/>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2"/>
                <w:szCs w:val="12"/>
                <w:color w:val="auto"/>
              </w:rPr>
            </w:pPr>
          </w:p>
        </w:tc>
        <w:tc>
          <w:tcPr>
            <w:tcW w:w="280" w:type="dxa"/>
            <w:vAlign w:val="bottom"/>
            <w:shd w:val="clear" w:color="auto" w:fill="CCECFF"/>
          </w:tcPr>
          <w:p>
            <w:pPr>
              <w:jc w:val="right"/>
              <w:ind w:right="128"/>
              <w:spacing w:after="0" w:line="143"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263,988,583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w w:val="76"/>
              </w:rPr>
              <w:t>$</w:t>
            </w:r>
          </w:p>
        </w:tc>
        <w:tc>
          <w:tcPr>
            <w:tcW w:w="1100" w:type="dxa"/>
            <w:vAlign w:val="bottom"/>
            <w:shd w:val="clear" w:color="auto" w:fill="CCEC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00" w:type="dxa"/>
            <w:vAlign w:val="bottom"/>
            <w:gridSpan w:val="2"/>
          </w:tcPr>
          <w:p>
            <w:pPr>
              <w:spacing w:after="0"/>
              <w:rPr>
                <w:sz w:val="20"/>
                <w:szCs w:val="20"/>
                <w:color w:val="auto"/>
              </w:rPr>
            </w:pPr>
            <w:r>
              <w:rPr>
                <w:rFonts w:ascii="Arial" w:cs="Arial" w:eastAsia="Arial" w:hAnsi="Arial"/>
                <w:sz w:val="14"/>
                <w:szCs w:val="14"/>
                <w:color w:val="auto"/>
              </w:rPr>
              <w:t>2023 Notes</w:t>
            </w:r>
          </w:p>
        </w:tc>
        <w:tc>
          <w:tcPr>
            <w:tcW w:w="1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135,240,084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135,240,084</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0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2031 Asset-Backed Debt</w:t>
            </w:r>
            <w:r>
              <w:rPr>
                <w:rFonts w:ascii="Arial" w:cs="Arial" w:eastAsia="Arial" w:hAnsi="Arial"/>
                <w:sz w:val="12"/>
                <w:szCs w:val="12"/>
                <w:color w:val="auto"/>
              </w:rPr>
              <w:t>(2)</w:t>
            </w:r>
          </w:p>
        </w:tc>
        <w:tc>
          <w:tcPr>
            <w:tcW w:w="160" w:type="dxa"/>
            <w:vAlign w:val="bottom"/>
            <w:shd w:val="clear" w:color="auto" w:fill="CCECFF"/>
          </w:tcPr>
          <w:p>
            <w:pPr>
              <w:spacing w:after="0"/>
              <w:rPr>
                <w:sz w:val="14"/>
                <w:szCs w:val="14"/>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224,321,845</w:t>
            </w:r>
          </w:p>
        </w:tc>
        <w:tc>
          <w:tcPr>
            <w:tcW w:w="2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ind w:left="800"/>
              <w:spacing w:after="0"/>
              <w:rPr>
                <w:sz w:val="20"/>
                <w:szCs w:val="20"/>
                <w:color w:val="auto"/>
              </w:rPr>
            </w:pPr>
            <w:r>
              <w:rPr>
                <w:rFonts w:ascii="Arial" w:cs="Arial" w:eastAsia="Arial" w:hAnsi="Arial"/>
                <w:sz w:val="14"/>
                <w:szCs w:val="14"/>
                <w:color w:val="auto"/>
                <w:w w:val="99"/>
              </w:rPr>
              <w:t>—</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224,321,845</w:t>
            </w:r>
          </w:p>
        </w:tc>
        <w:tc>
          <w:tcPr>
            <w:tcW w:w="24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300" w:type="dxa"/>
            <w:vAlign w:val="bottom"/>
            <w:gridSpan w:val="2"/>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623,550,512</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135,240,084</w:t>
            </w:r>
          </w:p>
        </w:tc>
        <w:tc>
          <w:tcPr>
            <w:tcW w:w="24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ind w:left="800"/>
              <w:spacing w:after="0" w:line="155" w:lineRule="exact"/>
              <w:rPr>
                <w:sz w:val="20"/>
                <w:szCs w:val="20"/>
                <w:color w:val="auto"/>
              </w:rPr>
            </w:pPr>
            <w:r>
              <w:rPr>
                <w:rFonts w:ascii="Arial" w:cs="Arial" w:eastAsia="Arial" w:hAnsi="Arial"/>
                <w:sz w:val="14"/>
                <w:szCs w:val="14"/>
                <w:color w:val="auto"/>
                <w:w w:val="99"/>
              </w:rPr>
              <w:t>—</w:t>
            </w:r>
          </w:p>
        </w:tc>
        <w:tc>
          <w:tcPr>
            <w:tcW w:w="24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488,310,428</w:t>
            </w: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50" w:lineRule="exact"/>
        <w:rPr>
          <w:sz w:val="20"/>
          <w:szCs w:val="20"/>
          <w:color w:val="auto"/>
        </w:rPr>
      </w:pPr>
    </w:p>
    <w:p>
      <w:pPr>
        <w:ind w:left="380" w:right="560" w:hanging="372"/>
        <w:spacing w:after="0" w:line="230"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In accordance with ASC 820, our equity investment in PSSL is measured using the net asset value per share (or its equivalent) as a practical expedient for fair value, have not been classified in the fair value hierarchy.</w:t>
      </w:r>
    </w:p>
    <w:p>
      <w:pPr>
        <w:ind w:left="380" w:right="120" w:hanging="372"/>
        <w:spacing w:after="0" w:line="237"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We elected not to apply the fair-value option allowed by ASC 825-10 to the 2031 Asset-Backed Debt and thus the balance reported in the Consolidated Statement of Assets and Liabilities represents the carrying value, which approximates the fair value.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ind w:left="3480"/>
        <w:spacing w:after="0"/>
        <w:rPr>
          <w:sz w:val="20"/>
          <w:szCs w:val="20"/>
          <w:color w:val="auto"/>
        </w:rPr>
      </w:pPr>
      <w:r>
        <w:rPr>
          <w:rFonts w:ascii="Arial" w:cs="Arial" w:eastAsia="Arial" w:hAnsi="Arial"/>
          <w:sz w:val="14"/>
          <w:szCs w:val="14"/>
          <w:b w:val="1"/>
          <w:bCs w:val="1"/>
          <w:color w:val="auto"/>
        </w:rPr>
        <w:t>PENNANTPARK FLOATING RATE CAPITAL LTD. AND SUBSIDIARIES</w:t>
      </w:r>
    </w:p>
    <w:p>
      <w:pPr>
        <w:ind w:left="334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ind w:left="5160"/>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120" w:type="dxa"/>
            <w:vAlign w:val="bottom"/>
            <w:gridSpan w:val="10"/>
          </w:tcPr>
          <w:p>
            <w:pPr>
              <w:ind w:left="440"/>
              <w:spacing w:after="0"/>
              <w:rPr>
                <w:sz w:val="20"/>
                <w:szCs w:val="20"/>
                <w:color w:val="auto"/>
              </w:rPr>
            </w:pPr>
            <w:r>
              <w:rPr>
                <w:rFonts w:ascii="Arial" w:cs="Arial" w:eastAsia="Arial" w:hAnsi="Arial"/>
                <w:sz w:val="14"/>
                <w:szCs w:val="14"/>
                <w:color w:val="auto"/>
                <w:w w:val="96"/>
              </w:rPr>
              <w:t>The tables below show a reconciliation of the beginning and ending balances for fair valued investments measured using significant unobservable inputs (Level 3):</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3"/>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3"/>
              </w:rPr>
              <w:t>Nine Months Ended June 30, 2020</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944,900,800</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86,836,779</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1,031,737,579</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(6,687,146)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(1,215,446)</w:t>
            </w:r>
          </w:p>
        </w:tc>
        <w:tc>
          <w:tcPr>
            <w:tcW w:w="3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(7,902,592)</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(19,324,825)</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(12,556,367)</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(31,881,192)</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416,471,631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7,141,958</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423,613,589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(341,712,763)</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(5,479,035)</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(347,191,798)</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993,647,697</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74,727,889</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1,068,375,586</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depreciation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14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(22,421,965)</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(11,367,951)</w:t>
            </w: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(33,789,916)</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7"/>
          </w:tcPr>
          <w:p>
            <w:pPr>
              <w:jc w:val="center"/>
              <w:ind w:left="708"/>
              <w:spacing w:after="0"/>
              <w:rPr>
                <w:sz w:val="20"/>
                <w:szCs w:val="20"/>
                <w:color w:val="auto"/>
              </w:rPr>
            </w:pPr>
            <w:r>
              <w:rPr>
                <w:rFonts w:ascii="Arial" w:cs="Arial" w:eastAsia="Arial" w:hAnsi="Arial"/>
                <w:sz w:val="14"/>
                <w:szCs w:val="14"/>
                <w:b w:val="1"/>
                <w:bCs w:val="1"/>
                <w:color w:val="auto"/>
                <w:w w:val="93"/>
              </w:rPr>
              <w:t>Nine Months Ended June 30, 2019</w:t>
            </w: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6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9"/>
              </w:rPr>
              <w:t>Second lien,</w:t>
            </w: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subordinated debt</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and equity</w:t>
            </w:r>
          </w:p>
        </w:tc>
        <w:tc>
          <w:tcPr>
            <w:tcW w:w="320" w:type="dxa"/>
            <w:vAlign w:val="bottom"/>
          </w:tcPr>
          <w:p>
            <w:pPr>
              <w:spacing w:after="0"/>
              <w:rPr>
                <w:sz w:val="12"/>
                <w:szCs w:val="12"/>
                <w:color w:val="auto"/>
              </w:rPr>
            </w:pPr>
          </w:p>
        </w:tc>
        <w:tc>
          <w:tcPr>
            <w:tcW w:w="11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65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4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913,297,976</w:t>
            </w: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42,517,588</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955,815,564</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Net realized loss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(12,595,096)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4"/>
                <w:szCs w:val="14"/>
                <w:color w:val="auto"/>
              </w:rPr>
              <w:t>(4,448,014)</w:t>
            </w:r>
          </w:p>
        </w:tc>
        <w:tc>
          <w:tcPr>
            <w:tcW w:w="320" w:type="dxa"/>
            <w:vAlign w:val="bottom"/>
          </w:tcPr>
          <w:p>
            <w:pPr>
              <w:spacing w:after="0"/>
              <w:rPr>
                <w:sz w:val="14"/>
                <w:szCs w:val="1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(17,043,110)</w:t>
            </w: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change in unrealized (depreciation) appreciation</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(18,182,610)</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7,493,080</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(10,689,530)</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467,294,508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26,193,464</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493,487,972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2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(395,335,166)</w:t>
            </w:r>
          </w:p>
        </w:tc>
        <w:tc>
          <w:tcPr>
            <w:tcW w:w="10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00"/>
              <w:spacing w:after="0"/>
              <w:rPr>
                <w:sz w:val="20"/>
                <w:szCs w:val="20"/>
                <w:color w:val="auto"/>
              </w:rPr>
            </w:pPr>
            <w:r>
              <w:rPr>
                <w:rFonts w:ascii="Arial" w:cs="Arial" w:eastAsia="Arial" w:hAnsi="Arial"/>
                <w:sz w:val="14"/>
                <w:szCs w:val="14"/>
                <w:color w:val="auto"/>
              </w:rPr>
              <w:t>(4,808,018)</w:t>
            </w:r>
          </w:p>
        </w:tc>
        <w:tc>
          <w:tcPr>
            <w:tcW w:w="320" w:type="dxa"/>
            <w:vAlign w:val="bottom"/>
            <w:shd w:val="clear" w:color="auto" w:fill="CCECFF"/>
          </w:tcPr>
          <w:p>
            <w:pPr>
              <w:spacing w:after="0"/>
              <w:rPr>
                <w:sz w:val="14"/>
                <w:szCs w:val="14"/>
                <w:color w:val="auto"/>
              </w:rPr>
            </w:pPr>
          </w:p>
        </w:tc>
        <w:tc>
          <w:tcPr>
            <w:tcW w:w="11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(400,143,184)</w:t>
            </w:r>
          </w:p>
        </w:tc>
        <w:tc>
          <w:tcPr>
            <w:tcW w:w="0" w:type="dxa"/>
            <w:vAlign w:val="bottom"/>
          </w:tcPr>
          <w:p>
            <w:pPr>
              <w:spacing w:after="0"/>
              <w:rPr>
                <w:sz w:val="1"/>
                <w:szCs w:val="1"/>
                <w:color w:val="auto"/>
              </w:rPr>
            </w:pPr>
          </w:p>
        </w:tc>
      </w:tr>
      <w:tr>
        <w:trPr>
          <w:trHeight w:val="162"/>
        </w:trPr>
        <w:tc>
          <w:tcPr>
            <w:tcW w:w="6520" w:type="dxa"/>
            <w:vAlign w:val="bottom"/>
          </w:tcPr>
          <w:p>
            <w:pPr>
              <w:ind w:left="500"/>
              <w:spacing w:after="0"/>
              <w:rPr>
                <w:sz w:val="20"/>
                <w:szCs w:val="20"/>
                <w:color w:val="auto"/>
              </w:rPr>
            </w:pPr>
            <w:r>
              <w:rPr>
                <w:rFonts w:ascii="Arial" w:cs="Arial" w:eastAsia="Arial" w:hAnsi="Arial"/>
                <w:sz w:val="14"/>
                <w:szCs w:val="14"/>
                <w:color w:val="auto"/>
              </w:rPr>
              <w:t>Transfers in and/or out of Level 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52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954,479,612</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66,948,100</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320" w:type="dxa"/>
            <w:vAlign w:val="bottom"/>
            <w:tcBorders>
              <w:top w:val="single" w:sz="8" w:color="auto"/>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1,021,427,712</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4"/>
                <w:szCs w:val="14"/>
                <w:color w:val="auto"/>
              </w:rPr>
              <w:t>Net change in unrealized (depreciation) appreciation reported within the net change in unrealized</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20" w:type="dxa"/>
            <w:vAlign w:val="bottom"/>
          </w:tcPr>
          <w:p>
            <w:pPr>
              <w:ind w:left="120"/>
              <w:spacing w:after="0" w:line="149" w:lineRule="exact"/>
              <w:rPr>
                <w:sz w:val="20"/>
                <w:szCs w:val="20"/>
                <w:color w:val="auto"/>
              </w:rPr>
            </w:pPr>
            <w:r>
              <w:rPr>
                <w:rFonts w:ascii="Arial" w:cs="Arial" w:eastAsia="Arial" w:hAnsi="Arial"/>
                <w:sz w:val="14"/>
                <w:szCs w:val="14"/>
                <w:color w:val="auto"/>
              </w:rPr>
              <w:t>depreciation on investments in our Consolidated Statements of Operations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520" w:type="dxa"/>
            <w:vAlign w:val="bottom"/>
          </w:tcPr>
          <w:p>
            <w:pPr>
              <w:ind w:left="120"/>
              <w:spacing w:after="0"/>
              <w:rPr>
                <w:sz w:val="20"/>
                <w:szCs w:val="20"/>
                <w:color w:val="auto"/>
              </w:rPr>
            </w:pPr>
            <w:r>
              <w:rPr>
                <w:rFonts w:ascii="Arial" w:cs="Arial" w:eastAsia="Arial" w:hAnsi="Arial"/>
                <w:sz w:val="14"/>
                <w:szCs w:val="14"/>
                <w:color w:val="auto"/>
              </w:rPr>
              <w:t>attributable to our Level 3 assets still held at the reporting date.</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4"/>
                <w:szCs w:val="14"/>
                <w:color w:val="auto"/>
              </w:rPr>
              <w:t>(20,477,519)</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5,444,110</w:t>
            </w:r>
          </w:p>
        </w:tc>
        <w:tc>
          <w:tcPr>
            <w:tcW w:w="240" w:type="dxa"/>
            <w:vAlign w:val="bottom"/>
          </w:tcPr>
          <w:p>
            <w:pPr>
              <w:spacing w:after="0"/>
              <w:rPr>
                <w:sz w:val="14"/>
                <w:szCs w:val="14"/>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60"/>
              <w:spacing w:after="0"/>
              <w:rPr>
                <w:sz w:val="20"/>
                <w:szCs w:val="20"/>
                <w:color w:val="auto"/>
              </w:rPr>
            </w:pPr>
            <w:r>
              <w:rPr>
                <w:rFonts w:ascii="Arial" w:cs="Arial" w:eastAsia="Arial" w:hAnsi="Arial"/>
                <w:sz w:val="14"/>
                <w:szCs w:val="14"/>
                <w:color w:val="auto"/>
              </w:rPr>
              <w:t>(15,033,409)</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5"/>
        </w:trPr>
        <w:tc>
          <w:tcPr>
            <w:tcW w:w="7720" w:type="dxa"/>
            <w:vAlign w:val="bottom"/>
            <w:gridSpan w:val="2"/>
            <w:vMerge w:val="continue"/>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$265,307,500 and $333,727,520,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263,988,583</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332,128,815</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depreciation included in earnings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(9,353,503)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(1,579,717)</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Borrowings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265,000,000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283,700,000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Repayments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(178,709,000)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(202,120,020)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$351,598,500 and $415,307,500,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340,926,080</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412,129,078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40"/>
        <w:spacing w:after="0"/>
        <w:rPr>
          <w:sz w:val="20"/>
          <w:szCs w:val="20"/>
          <w:color w:val="auto"/>
        </w:rPr>
      </w:pPr>
      <w:r>
        <w:rPr>
          <w:rFonts w:ascii="Arial" w:cs="Arial" w:eastAsia="Arial" w:hAnsi="Arial"/>
          <w:sz w:val="13"/>
          <w:szCs w:val="13"/>
          <w:color w:val="auto"/>
        </w:rPr>
        <w:t>As of June 30, 2020, we had outstanding non-U.S. dollar borrowings on the Credit Facility. Net change in fair value from foreign currency translation on outstanding borrowings is listed</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560" w:type="dxa"/>
            <w:vAlign w:val="bottom"/>
          </w:tcPr>
          <w:p>
            <w:pPr>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83"/>
        </w:trPr>
        <w:tc>
          <w:tcPr>
            <w:tcW w:w="256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24"/>
                <w:szCs w:val="2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Value</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24"/>
                <w:szCs w:val="2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2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28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78"/>
              </w:rPr>
              <w:t>C</w:t>
            </w: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16,500,000</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11,698,500</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12,114,537</w:t>
            </w:r>
          </w:p>
        </w:tc>
        <w:tc>
          <w:tcPr>
            <w:tcW w:w="280" w:type="dxa"/>
            <w:vAlign w:val="bottom"/>
            <w:tcBorders>
              <w:top w:val="single" w:sz="8" w:color="CCECFF"/>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2"/>
              </w:rPr>
              <w:t>July 1, 2020</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416,037</w:t>
            </w:r>
          </w:p>
        </w:tc>
        <w:tc>
          <w:tcPr>
            <w:tcW w:w="12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140" w:firstLine="438"/>
        <w:spacing w:after="0" w:line="253" w:lineRule="auto"/>
        <w:rPr>
          <w:sz w:val="20"/>
          <w:szCs w:val="20"/>
          <w:color w:val="auto"/>
        </w:rPr>
      </w:pPr>
      <w:r>
        <w:rPr>
          <w:rFonts w:ascii="Arial" w:cs="Arial" w:eastAsia="Arial" w:hAnsi="Arial"/>
          <w:sz w:val="14"/>
          <w:szCs w:val="14"/>
          <w:color w:val="auto"/>
        </w:rPr>
        <w:t>As of September 30, 2019, we had outstanding non-U.S. dollar borrowings on the Credit Facility. Net change in fair value from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6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Amount Borrowed</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Cost</w:t>
            </w:r>
          </w:p>
        </w:tc>
        <w:tc>
          <w:tcPr>
            <w:tcW w:w="160" w:type="dxa"/>
            <w:vAlign w:val="bottom"/>
          </w:tcPr>
          <w:p>
            <w:pPr>
              <w:spacing w:after="0"/>
              <w:rPr>
                <w:sz w:val="14"/>
                <w:szCs w:val="14"/>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Current Value</w:t>
            </w:r>
          </w:p>
        </w:tc>
        <w:tc>
          <w:tcPr>
            <w:tcW w:w="1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2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c>
          <w:tcPr>
            <w:tcW w:w="20" w:type="dxa"/>
            <w:vAlign w:val="bottom"/>
          </w:tcPr>
          <w:p>
            <w:pPr>
              <w:spacing w:after="0"/>
              <w:rPr>
                <w:sz w:val="14"/>
                <w:szCs w:val="14"/>
                <w:color w:val="auto"/>
              </w:rPr>
            </w:pPr>
          </w:p>
        </w:tc>
      </w:tr>
      <w:tr>
        <w:trPr>
          <w:trHeight w:val="156"/>
        </w:trPr>
        <w:tc>
          <w:tcPr>
            <w:tcW w:w="2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Canadian Dollar</w:t>
            </w:r>
          </w:p>
        </w:tc>
        <w:tc>
          <w:tcPr>
            <w:tcW w:w="280" w:type="dxa"/>
            <w:vAlign w:val="bottom"/>
            <w:tcBorders>
              <w:top w:val="single" w:sz="8" w:color="CCECFF"/>
            </w:tcBorders>
            <w:shd w:val="clear" w:color="auto" w:fill="CCECFF"/>
          </w:tcPr>
          <w:p>
            <w:pPr>
              <w:ind w:left="180"/>
              <w:spacing w:after="0" w:line="155" w:lineRule="exact"/>
              <w:rPr>
                <w:sz w:val="20"/>
                <w:szCs w:val="20"/>
                <w:color w:val="auto"/>
              </w:rPr>
            </w:pPr>
            <w:r>
              <w:rPr>
                <w:rFonts w:ascii="Arial" w:cs="Arial" w:eastAsia="Arial" w:hAnsi="Arial"/>
                <w:sz w:val="14"/>
                <w:szCs w:val="14"/>
                <w:color w:val="auto"/>
                <w:w w:val="78"/>
              </w:rPr>
              <w:t>C</w:t>
            </w: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17,500,000</w:t>
            </w:r>
          </w:p>
        </w:tc>
        <w:tc>
          <w:tcPr>
            <w:tcW w:w="26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12,407,501</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13,217,523</w:t>
            </w:r>
          </w:p>
        </w:tc>
        <w:tc>
          <w:tcPr>
            <w:tcW w:w="280" w:type="dxa"/>
            <w:vAlign w:val="bottom"/>
            <w:tcBorders>
              <w:top w:val="single" w:sz="8" w:color="CCECFF"/>
            </w:tcBorders>
            <w:shd w:val="clear" w:color="auto" w:fill="CCECFF"/>
          </w:tcPr>
          <w:p>
            <w:pPr>
              <w:spacing w:after="0"/>
              <w:rPr>
                <w:sz w:val="13"/>
                <w:szCs w:val="13"/>
                <w:color w:val="auto"/>
              </w:rPr>
            </w:pPr>
          </w:p>
        </w:tc>
        <w:tc>
          <w:tcPr>
            <w:tcW w:w="15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1, 2019</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810,022</w:t>
            </w:r>
          </w:p>
        </w:tc>
        <w:tc>
          <w:tcPr>
            <w:tcW w:w="12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528"/>
        </w:trPr>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27</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2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27" w:name="page28"/>
    <w:bookmarkEnd w:id="27"/>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right="20" w:firstLine="438"/>
        <w:spacing w:after="0" w:line="226" w:lineRule="auto"/>
        <w:rPr>
          <w:sz w:val="20"/>
          <w:szCs w:val="20"/>
          <w:color w:val="auto"/>
        </w:rPr>
      </w:pPr>
      <w:r>
        <w:rPr>
          <w:rFonts w:ascii="Arial" w:cs="Arial" w:eastAsia="Arial" w:hAnsi="Arial"/>
          <w:sz w:val="14"/>
          <w:szCs w:val="14"/>
          <w:color w:val="auto"/>
        </w:rPr>
        <w:t>Generally, 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no expenses relating to amendment costs on the Credit Facility during both the three and nine months ended June 30, 2020. Due to that election and in accordance with GAAP, we incurred expenses of zero and $4.5 million, respectively, relating to amendment costs on the Credit Facility during the three and nine months ended June 30, 2019.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2031 Asset-Backed Debt.</w:t>
      </w:r>
    </w:p>
    <w:p>
      <w:pPr>
        <w:spacing w:after="0" w:line="117"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For the three and nine months ended June 30, 2020, the Credit Facility and the 2023 Notes had a net change in unrealized (appreciation) depreciation of $(12.2) million and $22.7 million, respectively. For the three and nine months ended June 30, 2019, the Credit Facility and the 2023 Notes had a net change in unrealized depreciation of $0.4 million and $0.4 million, respectively. As of June 30, 2020 and September 30, 2019, the net unrealized depreciation on the Credit Facility and the 2023 Notes totaled $27.4 million and $4.2 million, respectively. We use a nationally recognized independent valuation service to measure the fair value of the Credit Facility in a manner consistent with the valuation process that the board of directors uses to value our investments. Our 2023 Notes trade on the TASE and we use the closing price on the exchange to determine the fair value.</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8"/>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2020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Fair value at</w:t>
            </w:r>
          </w:p>
        </w:tc>
        <w:tc>
          <w:tcPr>
            <w:tcW w:w="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7"/>
              </w:rPr>
              <w:t>Purchases</w:t>
            </w: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Sale of /</w:t>
            </w:r>
          </w:p>
        </w:tc>
        <w:tc>
          <w:tcPr>
            <w:tcW w:w="112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93"/>
              </w:rPr>
              <w:t>Net Change in</w:t>
            </w:r>
          </w:p>
        </w:tc>
        <w:tc>
          <w:tcPr>
            <w:tcW w:w="80" w:type="dxa"/>
            <w:vAlign w:val="bottom"/>
          </w:tcPr>
          <w:p>
            <w:pPr>
              <w:spacing w:after="0"/>
              <w:rPr>
                <w:sz w:val="14"/>
                <w:szCs w:val="14"/>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Fair value at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80" w:type="dxa"/>
            <w:vAlign w:val="bottom"/>
          </w:tcPr>
          <w:p>
            <w:pPr>
              <w:spacing w:after="0"/>
              <w:rPr>
                <w:sz w:val="12"/>
                <w:szCs w:val="12"/>
                <w:color w:val="auto"/>
              </w:rPr>
            </w:pPr>
          </w:p>
        </w:tc>
        <w:tc>
          <w:tcPr>
            <w:tcW w:w="104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Interest</w:t>
            </w:r>
          </w:p>
        </w:tc>
        <w:tc>
          <w:tcPr>
            <w:tcW w:w="12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Dividend/Other</w:t>
            </w: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8"/>
        </w:trPr>
        <w:tc>
          <w:tcPr>
            <w:tcW w:w="2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 / Advances</w:t>
            </w: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from</w:t>
            </w:r>
          </w:p>
        </w:tc>
        <w:tc>
          <w:tcPr>
            <w:tcW w:w="80" w:type="dxa"/>
            <w:vAlign w:val="bottom"/>
          </w:tcPr>
          <w:p>
            <w:pPr>
              <w:spacing w:after="0"/>
              <w:rPr>
                <w:sz w:val="12"/>
                <w:szCs w:val="12"/>
                <w:color w:val="auto"/>
              </w:rPr>
            </w:pPr>
          </w:p>
        </w:tc>
        <w:tc>
          <w:tcPr>
            <w:tcW w:w="104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5"/>
              </w:rPr>
              <w:t>Appreciation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89"/>
              </w:rPr>
              <w:t>June 30,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0" w:type="dxa"/>
            <w:vAlign w:val="bottom"/>
          </w:tcPr>
          <w:p>
            <w:pPr>
              <w:spacing w:after="0"/>
              <w:rPr>
                <w:sz w:val="1"/>
                <w:szCs w:val="1"/>
                <w:color w:val="auto"/>
              </w:rPr>
            </w:pPr>
          </w:p>
        </w:tc>
      </w:tr>
      <w:tr>
        <w:trPr>
          <w:trHeight w:val="171"/>
        </w:trPr>
        <w:tc>
          <w:tcPr>
            <w:tcW w:w="2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to Affiliates</w:t>
            </w:r>
          </w:p>
        </w:tc>
        <w:tc>
          <w:tcPr>
            <w:tcW w:w="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Affiliates</w:t>
            </w:r>
          </w:p>
        </w:tc>
        <w:tc>
          <w:tcPr>
            <w:tcW w:w="1120" w:type="dxa"/>
            <w:vAlign w:val="bottom"/>
            <w:gridSpan w:val="3"/>
          </w:tcPr>
          <w:p>
            <w:pPr>
              <w:jc w:val="center"/>
              <w:ind w:right="99"/>
              <w:spacing w:after="0"/>
              <w:rPr>
                <w:sz w:val="20"/>
                <w:szCs w:val="20"/>
                <w:color w:val="auto"/>
              </w:rPr>
            </w:pPr>
            <w:r>
              <w:rPr>
                <w:rFonts w:ascii="Arial" w:cs="Arial" w:eastAsia="Arial" w:hAnsi="Arial"/>
                <w:sz w:val="14"/>
                <w:szCs w:val="14"/>
                <w:b w:val="1"/>
                <w:bCs w:val="1"/>
                <w:color w:val="auto"/>
                <w:w w:val="95"/>
              </w:rPr>
              <w:t>(Depreciation)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10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(Losses)</w:t>
            </w:r>
          </w:p>
        </w:tc>
        <w:tc>
          <w:tcPr>
            <w:tcW w:w="0" w:type="dxa"/>
            <w:vAlign w:val="bottom"/>
          </w:tcPr>
          <w:p>
            <w:pPr>
              <w:spacing w:after="0"/>
              <w:rPr>
                <w:sz w:val="1"/>
                <w:szCs w:val="1"/>
                <w:color w:val="auto"/>
              </w:rPr>
            </w:pPr>
          </w:p>
        </w:tc>
      </w:tr>
      <w:tr>
        <w:trPr>
          <w:trHeight w:val="156"/>
        </w:trPr>
        <w:tc>
          <w:tcPr>
            <w:tcW w:w="20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Non-Controlled Affiliates</w:t>
            </w: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0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92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7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82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74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140" w:type="dxa"/>
            <w:vAlign w:val="bottom"/>
            <w:gridSpan w:val="2"/>
          </w:tcPr>
          <w:p>
            <w:pPr>
              <w:spacing w:after="0" w:line="143" w:lineRule="exact"/>
              <w:rPr>
                <w:sz w:val="20"/>
                <w:szCs w:val="20"/>
                <w:color w:val="auto"/>
              </w:rPr>
            </w:pPr>
            <w:r>
              <w:rPr>
                <w:rFonts w:ascii="Arial" w:cs="Arial" w:eastAsia="Arial" w:hAnsi="Arial"/>
                <w:sz w:val="14"/>
                <w:szCs w:val="14"/>
                <w:color w:val="auto"/>
              </w:rPr>
              <w:t>Country Fresh Holding</w:t>
            </w: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gridSpan w:val="2"/>
          </w:tcPr>
          <w:p>
            <w:pPr>
              <w:ind w:left="120"/>
              <w:spacing w:after="0"/>
              <w:rPr>
                <w:sz w:val="20"/>
                <w:szCs w:val="20"/>
                <w:color w:val="auto"/>
              </w:rPr>
            </w:pPr>
            <w:r>
              <w:rPr>
                <w:rFonts w:ascii="Arial" w:cs="Arial" w:eastAsia="Arial" w:hAnsi="Arial"/>
                <w:sz w:val="14"/>
                <w:szCs w:val="14"/>
                <w:color w:val="auto"/>
              </w:rPr>
              <w:t>Company Inc.</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14,491,626</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3,093,972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9"/>
              <w:spacing w:after="0"/>
              <w:rPr>
                <w:sz w:val="20"/>
                <w:szCs w:val="20"/>
                <w:color w:val="auto"/>
              </w:rPr>
            </w:pPr>
            <w:r>
              <w:rPr>
                <w:rFonts w:ascii="Arial" w:cs="Arial" w:eastAsia="Arial" w:hAnsi="Arial"/>
                <w:sz w:val="14"/>
                <w:szCs w:val="14"/>
                <w:color w:val="auto"/>
              </w:rPr>
              <w:t>(7,907,993)</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9,677,605</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634,723</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36,170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140" w:type="dxa"/>
            <w:vAlign w:val="bottom"/>
            <w:gridSpan w:val="2"/>
            <w:shd w:val="clear" w:color="auto" w:fill="CCECFF"/>
          </w:tcPr>
          <w:p>
            <w:pPr>
              <w:spacing w:after="0" w:line="143" w:lineRule="exact"/>
              <w:rPr>
                <w:sz w:val="20"/>
                <w:szCs w:val="20"/>
                <w:color w:val="auto"/>
              </w:rPr>
            </w:pPr>
            <w:r>
              <w:rPr>
                <w:rFonts w:ascii="Arial" w:cs="Arial" w:eastAsia="Arial" w:hAnsi="Arial"/>
                <w:sz w:val="14"/>
                <w:szCs w:val="14"/>
                <w:color w:val="auto"/>
              </w:rPr>
              <w:t>Quick Weight Loss</w:t>
            </w:r>
          </w:p>
        </w:tc>
        <w:tc>
          <w:tcPr>
            <w:tcW w:w="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9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8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4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14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Centers, LLC</w:t>
            </w:r>
          </w:p>
        </w:tc>
        <w:tc>
          <w:tcPr>
            <w:tcW w:w="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5,938,939</w:t>
            </w: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70,554</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60"/>
              <w:spacing w:after="0"/>
              <w:rPr>
                <w:sz w:val="20"/>
                <w:szCs w:val="20"/>
                <w:color w:val="auto"/>
              </w:rPr>
            </w:pPr>
            <w:r>
              <w:rPr>
                <w:rFonts w:ascii="Arial" w:cs="Arial" w:eastAsia="Arial" w:hAnsi="Arial"/>
                <w:sz w:val="14"/>
                <w:szCs w:val="14"/>
                <w:color w:val="auto"/>
              </w:rPr>
              <w:t>(5,683,145)</w:t>
            </w:r>
          </w:p>
        </w:tc>
        <w:tc>
          <w:tcPr>
            <w:tcW w:w="8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39"/>
              <w:spacing w:after="0"/>
              <w:rPr>
                <w:sz w:val="20"/>
                <w:szCs w:val="20"/>
                <w:color w:val="auto"/>
              </w:rPr>
            </w:pPr>
            <w:r>
              <w:rPr>
                <w:rFonts w:ascii="Arial" w:cs="Arial" w:eastAsia="Arial" w:hAnsi="Arial"/>
                <w:sz w:val="14"/>
                <w:szCs w:val="14"/>
                <w:color w:val="auto"/>
              </w:rPr>
              <w:t>(326,348)</w:t>
            </w: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20,306</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40" w:type="dxa"/>
            <w:vAlign w:val="bottom"/>
            <w:gridSpan w:val="3"/>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8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(5,683,145)</w:t>
            </w:r>
          </w:p>
        </w:tc>
        <w:tc>
          <w:tcPr>
            <w:tcW w:w="0" w:type="dxa"/>
            <w:vAlign w:val="bottom"/>
          </w:tcPr>
          <w:p>
            <w:pPr>
              <w:spacing w:after="0"/>
              <w:rPr>
                <w:sz w:val="1"/>
                <w:szCs w:val="1"/>
                <w:color w:val="auto"/>
              </w:rPr>
            </w:pPr>
          </w:p>
        </w:tc>
      </w:tr>
      <w:tr>
        <w:trPr>
          <w:trHeight w:val="137"/>
        </w:trPr>
        <w:tc>
          <w:tcPr>
            <w:tcW w:w="2140" w:type="dxa"/>
            <w:vAlign w:val="bottom"/>
            <w:gridSpan w:val="2"/>
          </w:tcPr>
          <w:p>
            <w:pPr>
              <w:spacing w:after="0" w:line="137" w:lineRule="exact"/>
              <w:rPr>
                <w:sz w:val="20"/>
                <w:szCs w:val="20"/>
                <w:color w:val="auto"/>
              </w:rPr>
            </w:pPr>
            <w:r>
              <w:rPr>
                <w:rFonts w:ascii="Arial" w:cs="Arial" w:eastAsia="Arial" w:hAnsi="Arial"/>
                <w:sz w:val="14"/>
                <w:szCs w:val="14"/>
                <w:color w:val="auto"/>
              </w:rPr>
              <w:t>Total Non-Controlled</w:t>
            </w: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140" w:type="dxa"/>
            <w:vAlign w:val="bottom"/>
            <w:gridSpan w:val="2"/>
          </w:tcPr>
          <w:p>
            <w:pPr>
              <w:ind w:left="120"/>
              <w:spacing w:after="0"/>
              <w:rPr>
                <w:sz w:val="20"/>
                <w:szCs w:val="20"/>
                <w:color w:val="auto"/>
              </w:rPr>
            </w:pPr>
            <w:r>
              <w:rPr>
                <w:rFonts w:ascii="Arial" w:cs="Arial" w:eastAsia="Arial" w:hAnsi="Arial"/>
                <w:sz w:val="14"/>
                <w:szCs w:val="14"/>
                <w:color w:val="auto"/>
              </w:rPr>
              <w:t>Affiliates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20,430,565</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3,164,526</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(5,683,145)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9"/>
              <w:spacing w:after="0"/>
              <w:rPr>
                <w:sz w:val="20"/>
                <w:szCs w:val="20"/>
                <w:color w:val="auto"/>
              </w:rPr>
            </w:pPr>
            <w:r>
              <w:rPr>
                <w:rFonts w:ascii="Arial" w:cs="Arial" w:eastAsia="Arial" w:hAnsi="Arial"/>
                <w:sz w:val="14"/>
                <w:szCs w:val="14"/>
                <w:color w:val="auto"/>
              </w:rPr>
              <w:t>(8,234,341)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9,677,605</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655,029</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36,170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(5,683,145)</w:t>
            </w:r>
          </w:p>
        </w:tc>
        <w:tc>
          <w:tcPr>
            <w:tcW w:w="0" w:type="dxa"/>
            <w:vAlign w:val="bottom"/>
          </w:tcPr>
          <w:p>
            <w:pPr>
              <w:spacing w:after="0"/>
              <w:rPr>
                <w:sz w:val="1"/>
                <w:szCs w:val="1"/>
                <w:color w:val="auto"/>
              </w:rPr>
            </w:pPr>
          </w:p>
        </w:tc>
      </w:tr>
      <w:tr>
        <w:trPr>
          <w:trHeight w:val="143"/>
        </w:trPr>
        <w:tc>
          <w:tcPr>
            <w:tcW w:w="204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2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8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92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80" w:type="dxa"/>
            <w:vAlign w:val="bottom"/>
            <w:tcBorders>
              <w:top w:val="single" w:sz="8" w:color="auto"/>
            </w:tcBorders>
            <w:shd w:val="clear" w:color="auto" w:fill="CCECFF"/>
          </w:tcPr>
          <w:p>
            <w:pPr>
              <w:spacing w:after="0"/>
              <w:rPr>
                <w:sz w:val="12"/>
                <w:szCs w:val="12"/>
                <w:color w:val="auto"/>
              </w:rPr>
            </w:pPr>
          </w:p>
        </w:tc>
        <w:tc>
          <w:tcPr>
            <w:tcW w:w="200" w:type="dxa"/>
            <w:vAlign w:val="bottom"/>
            <w:tcBorders>
              <w:top w:val="single" w:sz="8" w:color="CCECFF"/>
            </w:tcBorders>
            <w:shd w:val="clear" w:color="auto" w:fill="CCECFF"/>
          </w:tcPr>
          <w:p>
            <w:pPr>
              <w:spacing w:after="0"/>
              <w:rPr>
                <w:sz w:val="12"/>
                <w:szCs w:val="12"/>
                <w:color w:val="auto"/>
              </w:rPr>
            </w:pPr>
          </w:p>
        </w:tc>
        <w:tc>
          <w:tcPr>
            <w:tcW w:w="14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rPr>
                <w:sz w:val="12"/>
                <w:szCs w:val="12"/>
                <w:color w:val="auto"/>
              </w:rPr>
            </w:pPr>
          </w:p>
        </w:tc>
        <w:tc>
          <w:tcPr>
            <w:tcW w:w="8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auto"/>
            </w:tcBorders>
            <w:shd w:val="clear" w:color="auto" w:fill="CCECFF"/>
          </w:tcPr>
          <w:p>
            <w:pPr>
              <w:spacing w:after="0"/>
              <w:rPr>
                <w:sz w:val="12"/>
                <w:szCs w:val="12"/>
                <w:color w:val="auto"/>
              </w:rPr>
            </w:pPr>
          </w:p>
        </w:tc>
        <w:tc>
          <w:tcPr>
            <w:tcW w:w="74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b w:val="1"/>
                <w:bCs w:val="1"/>
                <w:color w:val="auto"/>
              </w:rPr>
              <w:t>Controlled Affiliates</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PennantPark Senior Secured</w:t>
            </w:r>
          </w:p>
        </w:tc>
        <w:tc>
          <w:tcPr>
            <w:tcW w:w="8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9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7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7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40" w:type="dxa"/>
            <w:vAlign w:val="bottom"/>
            <w:gridSpan w:val="2"/>
          </w:tcPr>
          <w:p>
            <w:pPr>
              <w:ind w:left="140"/>
              <w:spacing w:after="0"/>
              <w:rPr>
                <w:sz w:val="20"/>
                <w:szCs w:val="20"/>
                <w:color w:val="auto"/>
              </w:rPr>
            </w:pPr>
            <w:r>
              <w:rPr>
                <w:rFonts w:ascii="Arial" w:cs="Arial" w:eastAsia="Arial" w:hAnsi="Arial"/>
                <w:sz w:val="14"/>
                <w:szCs w:val="14"/>
                <w:color w:val="auto"/>
              </w:rPr>
              <w:t>Loan Fund I LLC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172,163,080</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1,750,000</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9"/>
              <w:spacing w:after="0"/>
              <w:rPr>
                <w:sz w:val="20"/>
                <w:szCs w:val="20"/>
                <w:color w:val="auto"/>
              </w:rPr>
            </w:pPr>
            <w:r>
              <w:rPr>
                <w:rFonts w:ascii="Arial" w:cs="Arial" w:eastAsia="Arial" w:hAnsi="Arial"/>
                <w:sz w:val="14"/>
                <w:szCs w:val="14"/>
                <w:color w:val="auto"/>
              </w:rPr>
              <w:t>(14,516,665)</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5"/>
              </w:rPr>
              <w:t>159,396,415</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9,169,399</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4,375,000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140" w:type="dxa"/>
            <w:vAlign w:val="bottom"/>
            <w:tcBorders>
              <w:top w:val="single" w:sz="8" w:color="CCECFF"/>
              <w:bottom w:val="single" w:sz="8" w:color="CCECFF"/>
            </w:tcBorders>
            <w:gridSpan w:val="2"/>
            <w:shd w:val="clear" w:color="auto" w:fill="CCECFF"/>
          </w:tcPr>
          <w:p>
            <w:pPr>
              <w:spacing w:after="0" w:line="155" w:lineRule="exact"/>
              <w:rPr>
                <w:sz w:val="20"/>
                <w:szCs w:val="20"/>
                <w:color w:val="auto"/>
              </w:rPr>
            </w:pPr>
            <w:r>
              <w:rPr>
                <w:rFonts w:ascii="Arial" w:cs="Arial" w:eastAsia="Arial" w:hAnsi="Arial"/>
                <w:sz w:val="14"/>
                <w:szCs w:val="14"/>
                <w:color w:val="auto"/>
              </w:rPr>
              <w:t>Total Controlled Affiliates</w:t>
            </w: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172,163,080</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1,750,000</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(14,516,665</w:t>
            </w:r>
          </w:p>
        </w:tc>
        <w:tc>
          <w:tcPr>
            <w:tcW w:w="120" w:type="dxa"/>
            <w:vAlign w:val="bottom"/>
            <w:tcBorders>
              <w:top w:val="single" w:sz="8" w:color="CCECFF"/>
              <w:bottom w:val="single" w:sz="8" w:color="CCECFF"/>
            </w:tcBorders>
            <w:shd w:val="clear" w:color="auto" w:fill="CCECFF"/>
          </w:tcPr>
          <w:p>
            <w:pPr>
              <w:jc w:val="right"/>
              <w:ind w:right="3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5"/>
              </w:rPr>
              <w:t>159,396,415</w:t>
            </w:r>
          </w:p>
        </w:tc>
        <w:tc>
          <w:tcPr>
            <w:tcW w:w="200" w:type="dxa"/>
            <w:vAlign w:val="bottom"/>
            <w:tcBorders>
              <w:top w:val="single" w:sz="8" w:color="CCECFF"/>
              <w:bottom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9,169,399</w:t>
            </w:r>
          </w:p>
        </w:tc>
        <w:tc>
          <w:tcPr>
            <w:tcW w:w="22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4,375,000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40" w:type="dxa"/>
            <w:vAlign w:val="bottom"/>
            <w:gridSpan w:val="2"/>
            <w:vMerge w:val="restart"/>
          </w:tcPr>
          <w:p>
            <w:pPr>
              <w:spacing w:after="0" w:line="160" w:lineRule="exact"/>
              <w:rPr>
                <w:sz w:val="20"/>
                <w:szCs w:val="20"/>
                <w:color w:val="auto"/>
              </w:rPr>
            </w:pPr>
            <w:r>
              <w:rPr>
                <w:rFonts w:ascii="Arial" w:cs="Arial" w:eastAsia="Arial" w:hAnsi="Arial"/>
                <w:sz w:val="14"/>
                <w:szCs w:val="14"/>
                <w:b w:val="1"/>
                <w:bCs w:val="1"/>
                <w:color w:val="auto"/>
              </w:rPr>
              <w:t>Total Controlled and</w:t>
            </w: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1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14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192,593,645</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4,914,526</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(5,683,145)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39"/>
              <w:spacing w:after="0"/>
              <w:rPr>
                <w:sz w:val="20"/>
                <w:szCs w:val="20"/>
                <w:color w:val="auto"/>
              </w:rPr>
            </w:pPr>
            <w:r>
              <w:rPr>
                <w:rFonts w:ascii="Arial" w:cs="Arial" w:eastAsia="Arial" w:hAnsi="Arial"/>
                <w:sz w:val="14"/>
                <w:szCs w:val="14"/>
                <w:color w:val="auto"/>
              </w:rPr>
              <w:t>(22,751,006)</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w w:val="95"/>
              </w:rPr>
              <w:t>169,074,020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9,824,428</w:t>
            </w:r>
          </w:p>
        </w:tc>
        <w:tc>
          <w:tcPr>
            <w:tcW w:w="22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4,411,170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(5,683,145)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380" w:right="20" w:hanging="372"/>
        <w:spacing w:after="0" w:line="233" w:lineRule="auto"/>
        <w:tabs>
          <w:tab w:leader="none" w:pos="380" w:val="left"/>
        </w:tabs>
        <w:numPr>
          <w:ilvl w:val="0"/>
          <w:numId w:val="15"/>
        </w:numPr>
        <w:rPr>
          <w:rFonts w:ascii="Arial" w:cs="Arial" w:eastAsia="Arial" w:hAnsi="Arial"/>
          <w:sz w:val="12"/>
          <w:szCs w:val="12"/>
          <w:color w:val="auto"/>
        </w:rPr>
      </w:pPr>
      <w:r>
        <w:rPr>
          <w:rFonts w:ascii="Arial" w:cs="Arial" w:eastAsia="Arial" w:hAnsi="Arial"/>
          <w:sz w:val="14"/>
          <w:szCs w:val="14"/>
          <w:color w:val="auto"/>
        </w:rPr>
        <w:t>We and Kemper are the members of PSSL, a joint venture formed as a Delaware limited liability company that is not consolidated by us for financial reporting purposes. The members of PSSL make investments in the PSSL in the form of first lien secured debt and equity interests, and all portfolio and other material decisions regarding PSSL must be submitted to PSSL’s board of directors or investment committee, both of which are comprised of two members appointed by each of us and Kemper. Because management of PSSL is shared equally between us and Kemper, we do not believe we control PSSL for purposes of the 1940 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-393065</wp:posOffset>
            </wp:positionV>
            <wp:extent cx="18599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The following information sets forth the computation of basic and diluted per share net (decrease) increase in net assets resulting from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20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548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ind w:left="200"/>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C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r>
      <w:tr>
        <w:trPr>
          <w:trHeight w:val="155"/>
        </w:trPr>
        <w:tc>
          <w:tcPr>
            <w:tcW w:w="548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40" w:type="dxa"/>
            <w:vAlign w:val="bottom"/>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12,555,145</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4,518,816</w:t>
            </w:r>
          </w:p>
        </w:tc>
        <w:tc>
          <w:tcPr>
            <w:tcW w:w="24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1,426,990</w:t>
            </w:r>
          </w:p>
        </w:tc>
        <w:tc>
          <w:tcPr>
            <w:tcW w:w="240" w:type="dxa"/>
            <w:vAlign w:val="bottom"/>
            <w:shd w:val="clear" w:color="auto" w:fill="CCECFF"/>
          </w:tcPr>
          <w:p>
            <w:pPr>
              <w:spacing w:after="0"/>
              <w:rPr>
                <w:sz w:val="13"/>
                <w:szCs w:val="13"/>
                <w:color w:val="auto"/>
              </w:rPr>
            </w:pPr>
          </w:p>
        </w:tc>
        <w:tc>
          <w:tcPr>
            <w:tcW w:w="280" w:type="dxa"/>
            <w:vAlign w:val="bottom"/>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4,042,286</w:t>
            </w:r>
          </w:p>
        </w:tc>
        <w:tc>
          <w:tcPr>
            <w:tcW w:w="100" w:type="dxa"/>
            <w:vAlign w:val="bottom"/>
            <w:shd w:val="clear" w:color="auto" w:fill="CCECFF"/>
          </w:tcPr>
          <w:p>
            <w:pPr>
              <w:spacing w:after="0"/>
              <w:rPr>
                <w:sz w:val="13"/>
                <w:szCs w:val="13"/>
                <w:color w:val="auto"/>
              </w:rPr>
            </w:pPr>
          </w:p>
        </w:tc>
      </w:tr>
      <w:tr>
        <w:trPr>
          <w:trHeight w:val="162"/>
        </w:trPr>
        <w:tc>
          <w:tcPr>
            <w:tcW w:w="548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38,772,074</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38,772,074</w:t>
            </w:r>
          </w:p>
        </w:tc>
        <w:tc>
          <w:tcPr>
            <w:tcW w:w="100" w:type="dxa"/>
            <w:vAlign w:val="bottom"/>
          </w:tcPr>
          <w:p>
            <w:pPr>
              <w:spacing w:after="0"/>
              <w:rPr>
                <w:sz w:val="14"/>
                <w:szCs w:val="14"/>
                <w:color w:val="auto"/>
              </w:rPr>
            </w:pPr>
          </w:p>
        </w:tc>
      </w:tr>
      <w:tr>
        <w:trPr>
          <w:trHeight w:val="162"/>
        </w:trPr>
        <w:tc>
          <w:tcPr>
            <w:tcW w:w="548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40" w:type="dxa"/>
            <w:vAlign w:val="bottom"/>
            <w:shd w:val="clear" w:color="auto" w:fill="CCECFF"/>
          </w:tcPr>
          <w:p>
            <w:pPr>
              <w:jc w:val="right"/>
              <w:ind w:right="8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0.32</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0.12</w:t>
            </w:r>
          </w:p>
        </w:tc>
        <w:tc>
          <w:tcPr>
            <w:tcW w:w="50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0.04</w:t>
            </w:r>
          </w:p>
        </w:tc>
        <w:tc>
          <w:tcPr>
            <w:tcW w:w="240" w:type="dxa"/>
            <w:vAlign w:val="bottom"/>
            <w:shd w:val="clear" w:color="auto" w:fill="CCECFF"/>
          </w:tcPr>
          <w:p>
            <w:pPr>
              <w:spacing w:after="0"/>
              <w:rPr>
                <w:sz w:val="14"/>
                <w:szCs w:val="14"/>
                <w:color w:val="auto"/>
              </w:rPr>
            </w:pPr>
          </w:p>
        </w:tc>
        <w:tc>
          <w:tcPr>
            <w:tcW w:w="280" w:type="dxa"/>
            <w:vAlign w:val="bottom"/>
            <w:shd w:val="clear" w:color="auto" w:fill="CCECFF"/>
          </w:tcPr>
          <w:p>
            <w:pPr>
              <w:jc w:val="right"/>
              <w:ind w:right="128"/>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0.10</w:t>
            </w:r>
          </w:p>
        </w:tc>
        <w:tc>
          <w:tcPr>
            <w:tcW w:w="10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2020 and September 30, 2019, cash and cash equivalents consisted of money market funds in the amounts of $53.4 million and $63.3 million at fair value,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0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7600" w:type="dxa"/>
            <w:vAlign w:val="bottom"/>
          </w:tcPr>
          <w:p>
            <w:pPr>
              <w:ind w:left="440"/>
              <w:spacing w:after="0"/>
              <w:rPr>
                <w:sz w:val="20"/>
                <w:szCs w:val="20"/>
                <w:color w:val="auto"/>
              </w:rPr>
            </w:pPr>
            <w:r>
              <w:rPr>
                <w:rFonts w:ascii="Arial" w:cs="Arial" w:eastAsia="Arial" w:hAnsi="Arial"/>
                <w:sz w:val="14"/>
                <w:szCs w:val="14"/>
                <w:color w:val="auto"/>
              </w:rPr>
              <w:t>Below are the financial highlights:</w:t>
            </w: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7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3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7600" w:type="dxa"/>
            <w:vAlign w:val="bottom"/>
            <w:tcBorders>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6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34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340" w:type="dxa"/>
            <w:vAlign w:val="bottom"/>
            <w:shd w:val="clear" w:color="auto" w:fill="CCECFF"/>
          </w:tcPr>
          <w:p>
            <w:pPr>
              <w:spacing w:after="0"/>
              <w:rPr>
                <w:sz w:val="13"/>
                <w:szCs w:val="13"/>
                <w:color w:val="auto"/>
              </w:rPr>
            </w:pPr>
          </w:p>
        </w:tc>
        <w:tc>
          <w:tcPr>
            <w:tcW w:w="1220" w:type="dxa"/>
            <w:vAlign w:val="bottom"/>
            <w:shd w:val="clear" w:color="auto" w:fill="CCECFF"/>
          </w:tcPr>
          <w:p>
            <w:pPr>
              <w:spacing w:after="0"/>
              <w:rPr>
                <w:sz w:val="13"/>
                <w:szCs w:val="13"/>
                <w:color w:val="auto"/>
              </w:rPr>
            </w:pPr>
          </w:p>
        </w:tc>
        <w:tc>
          <w:tcPr>
            <w:tcW w:w="18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12.97</w:t>
            </w:r>
          </w:p>
        </w:tc>
        <w:tc>
          <w:tcPr>
            <w:tcW w:w="260" w:type="dxa"/>
            <w:vAlign w:val="bottom"/>
          </w:tcPr>
          <w:p>
            <w:pPr>
              <w:spacing w:after="0"/>
              <w:rPr>
                <w:sz w:val="14"/>
                <w:szCs w:val="14"/>
                <w:color w:val="auto"/>
              </w:rPr>
            </w:pP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13.82</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34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0.85</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0.88</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 xml:space="preserve">Net change in realized and unrealized loss </w:t>
            </w:r>
            <w:r>
              <w:rPr>
                <w:rFonts w:ascii="Arial" w:cs="Arial" w:eastAsia="Arial" w:hAnsi="Arial"/>
                <w:sz w:val="12"/>
                <w:szCs w:val="12"/>
                <w:color w:val="auto"/>
              </w:rPr>
              <w:t>(1)</w:t>
            </w:r>
          </w:p>
        </w:tc>
        <w:tc>
          <w:tcPr>
            <w:tcW w:w="34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(0.81)</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156"/>
        </w:trPr>
        <w:tc>
          <w:tcPr>
            <w:tcW w:w="76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340" w:type="dxa"/>
            <w:vAlign w:val="bottom"/>
            <w:tcBorders>
              <w:top w:val="single" w:sz="8" w:color="auto"/>
            </w:tcBorders>
            <w:shd w:val="clear" w:color="auto" w:fill="CCECFF"/>
          </w:tcPr>
          <w:p>
            <w:pPr>
              <w:spacing w:after="0"/>
              <w:rPr>
                <w:sz w:val="13"/>
                <w:szCs w:val="13"/>
                <w:color w:val="auto"/>
              </w:rPr>
            </w:pP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0.04</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0.10</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340" w:type="dxa"/>
            <w:vAlign w:val="bottom"/>
          </w:tcPr>
          <w:p>
            <w:pPr>
              <w:spacing w:after="0"/>
              <w:rPr>
                <w:sz w:val="14"/>
                <w:szCs w:val="14"/>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4"/>
                <w:szCs w:val="14"/>
                <w:color w:val="auto"/>
              </w:rPr>
              <w:t>(0.86)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156"/>
        </w:trPr>
        <w:tc>
          <w:tcPr>
            <w:tcW w:w="760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340" w:type="dxa"/>
            <w:vAlign w:val="bottom"/>
            <w:tcBorders>
              <w:top w:val="single" w:sz="8" w:color="auto"/>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13.07</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4"/>
                <w:szCs w:val="14"/>
                <w:color w:val="auto"/>
              </w:rPr>
              <w:t>Per share market value, end of period</w:t>
            </w: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tcBorders>
              <w:bottom w:val="single" w:sz="8" w:color="CCECFF"/>
            </w:tcBorders>
            <w:vMerge w:val="continue"/>
          </w:tcPr>
          <w:p>
            <w:pPr>
              <w:spacing w:after="0"/>
              <w:rPr>
                <w:sz w:val="15"/>
                <w:szCs w:val="15"/>
                <w:color w:val="auto"/>
              </w:rPr>
            </w:pPr>
          </w:p>
        </w:tc>
        <w:tc>
          <w:tcPr>
            <w:tcW w:w="340" w:type="dxa"/>
            <w:vAlign w:val="bottom"/>
            <w:tcBorders>
              <w:top w:val="single" w:sz="8" w:color="auto"/>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8.40</w:t>
            </w:r>
          </w:p>
        </w:tc>
        <w:tc>
          <w:tcPr>
            <w:tcW w:w="260" w:type="dxa"/>
            <w:vAlign w:val="bottom"/>
            <w:tcBorders>
              <w:bottom w:val="single" w:sz="8" w:color="CCECFF"/>
            </w:tcBorders>
          </w:tcPr>
          <w:p>
            <w:pPr>
              <w:spacing w:after="0"/>
              <w:rPr>
                <w:sz w:val="15"/>
                <w:szCs w:val="15"/>
                <w:color w:val="auto"/>
              </w:rPr>
            </w:pPr>
          </w:p>
        </w:tc>
        <w:tc>
          <w:tcPr>
            <w:tcW w:w="100" w:type="dxa"/>
            <w:vAlign w:val="bottom"/>
            <w:tcBorders>
              <w:bottom w:val="single" w:sz="8" w:color="CCECFF"/>
            </w:tcBorders>
          </w:tcPr>
          <w:p>
            <w:pPr>
              <w:spacing w:after="0"/>
              <w:rPr>
                <w:sz w:val="15"/>
                <w:szCs w:val="15"/>
                <w:color w:val="auto"/>
              </w:rPr>
            </w:pPr>
          </w:p>
        </w:tc>
        <w:tc>
          <w:tcPr>
            <w:tcW w:w="340" w:type="dxa"/>
            <w:vAlign w:val="bottom"/>
            <w:tcBorders>
              <w:top w:val="single" w:sz="8" w:color="auto"/>
              <w:bottom w:val="single" w:sz="8" w:color="auto"/>
            </w:tcBorders>
          </w:tcPr>
          <w:p>
            <w:pPr>
              <w:jc w:val="right"/>
              <w:ind w:right="188"/>
              <w:spacing w:after="0" w:line="143"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11.56</w:t>
            </w:r>
          </w:p>
        </w:tc>
        <w:tc>
          <w:tcPr>
            <w:tcW w:w="18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0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340" w:type="dxa"/>
            <w:vAlign w:val="bottom"/>
            <w:shd w:val="clear" w:color="auto" w:fill="CCECFF"/>
          </w:tcPr>
          <w:p>
            <w:pPr>
              <w:spacing w:after="0"/>
              <w:rPr>
                <w:sz w:val="12"/>
                <w:szCs w:val="12"/>
                <w:color w:val="auto"/>
              </w:rPr>
            </w:pPr>
          </w:p>
        </w:tc>
        <w:tc>
          <w:tcPr>
            <w:tcW w:w="1460" w:type="dxa"/>
            <w:vAlign w:val="bottom"/>
            <w:gridSpan w:val="2"/>
            <w:shd w:val="clear" w:color="auto" w:fill="CCECFF"/>
          </w:tcPr>
          <w:p>
            <w:pPr>
              <w:jc w:val="right"/>
              <w:ind w:right="80"/>
              <w:spacing w:after="0" w:line="143" w:lineRule="exact"/>
              <w:rPr>
                <w:sz w:val="20"/>
                <w:szCs w:val="20"/>
                <w:color w:val="auto"/>
              </w:rPr>
            </w:pPr>
            <w:r>
              <w:rPr>
                <w:rFonts w:ascii="Arial" w:cs="Arial" w:eastAsia="Arial" w:hAnsi="Arial"/>
                <w:sz w:val="14"/>
                <w:szCs w:val="14"/>
                <w:color w:val="auto"/>
              </w:rPr>
              <w:t>(20.21)%</w:t>
            </w: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400" w:type="dxa"/>
            <w:vAlign w:val="bottom"/>
            <w:gridSpan w:val="2"/>
            <w:shd w:val="clear" w:color="auto" w:fill="CCECFF"/>
          </w:tcPr>
          <w:p>
            <w:pPr>
              <w:jc w:val="right"/>
              <w:ind w:right="20"/>
              <w:spacing w:after="0" w:line="143" w:lineRule="exact"/>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202"/>
        </w:trPr>
        <w:tc>
          <w:tcPr>
            <w:tcW w:w="760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Shares outstanding at end of period</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260" w:type="dxa"/>
            <w:vAlign w:val="bottom"/>
            <w:tcBorders>
              <w:bottom w:val="single" w:sz="8" w:color="CCECFF"/>
            </w:tcBorders>
          </w:tcPr>
          <w:p>
            <w:pPr>
              <w:spacing w:after="0"/>
              <w:rPr>
                <w:sz w:val="17"/>
                <w:szCs w:val="17"/>
                <w:color w:val="auto"/>
              </w:rPr>
            </w:pPr>
          </w:p>
        </w:tc>
        <w:tc>
          <w:tcPr>
            <w:tcW w:w="100" w:type="dxa"/>
            <w:vAlign w:val="bottom"/>
            <w:tcBorders>
              <w:bottom w:val="single" w:sz="8" w:color="CCEC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38,772,074</w:t>
            </w:r>
          </w:p>
        </w:tc>
        <w:tc>
          <w:tcPr>
            <w:tcW w:w="18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60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Ratios** / Supplemental Data:</w:t>
            </w:r>
          </w:p>
        </w:tc>
        <w:tc>
          <w:tcPr>
            <w:tcW w:w="3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6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34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w:t>
            </w:r>
          </w:p>
        </w:tc>
        <w:tc>
          <w:tcPr>
            <w:tcW w:w="340" w:type="dxa"/>
            <w:vAlign w:val="bottom"/>
          </w:tcPr>
          <w:p>
            <w:pPr>
              <w:spacing w:after="0"/>
              <w:rPr>
                <w:sz w:val="14"/>
                <w:szCs w:val="1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5.25%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3.63%</w:t>
            </w:r>
          </w:p>
        </w:tc>
        <w:tc>
          <w:tcPr>
            <w:tcW w:w="0" w:type="dxa"/>
            <w:vAlign w:val="bottom"/>
          </w:tcPr>
          <w:p>
            <w:pPr>
              <w:spacing w:after="0"/>
              <w:rPr>
                <w:sz w:val="1"/>
                <w:szCs w:val="1"/>
                <w:color w:val="auto"/>
              </w:rPr>
            </w:pPr>
          </w:p>
        </w:tc>
      </w:tr>
      <w:tr>
        <w:trPr>
          <w:trHeight w:val="162"/>
        </w:trPr>
        <w:tc>
          <w:tcPr>
            <w:tcW w:w="76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debt related expenses to average net assets </w:t>
            </w:r>
            <w:r>
              <w:rPr>
                <w:rFonts w:ascii="Arial" w:cs="Arial" w:eastAsia="Arial" w:hAnsi="Arial"/>
                <w:sz w:val="12"/>
                <w:szCs w:val="12"/>
                <w:color w:val="auto"/>
              </w:rPr>
              <w:t>(5)</w:t>
            </w:r>
          </w:p>
        </w:tc>
        <w:tc>
          <w:tcPr>
            <w:tcW w:w="34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5.94%</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0"/>
        </w:trPr>
        <w:tc>
          <w:tcPr>
            <w:tcW w:w="7600" w:type="dxa"/>
            <w:vAlign w:val="bottom"/>
            <w:vMerge w:val="restart"/>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4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11.19%</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8.66%</w:t>
            </w:r>
          </w:p>
        </w:tc>
        <w:tc>
          <w:tcPr>
            <w:tcW w:w="0" w:type="dxa"/>
            <w:vAlign w:val="bottom"/>
          </w:tcPr>
          <w:p>
            <w:pPr>
              <w:spacing w:after="0"/>
              <w:rPr>
                <w:sz w:val="1"/>
                <w:szCs w:val="1"/>
                <w:color w:val="auto"/>
              </w:rPr>
            </w:pPr>
          </w:p>
        </w:tc>
      </w:tr>
      <w:tr>
        <w:trPr>
          <w:trHeight w:val="162"/>
        </w:trPr>
        <w:tc>
          <w:tcPr>
            <w:tcW w:w="76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(5)</w:t>
            </w:r>
          </w:p>
        </w:tc>
        <w:tc>
          <w:tcPr>
            <w:tcW w:w="34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4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8.99%</w:t>
            </w:r>
          </w:p>
        </w:tc>
        <w:tc>
          <w:tcPr>
            <w:tcW w:w="0" w:type="dxa"/>
            <w:vAlign w:val="bottom"/>
          </w:tcPr>
          <w:p>
            <w:pPr>
              <w:spacing w:after="0"/>
              <w:rPr>
                <w:sz w:val="1"/>
                <w:szCs w:val="1"/>
                <w:color w:val="auto"/>
              </w:rPr>
            </w:pPr>
          </w:p>
        </w:tc>
      </w:tr>
      <w:tr>
        <w:trPr>
          <w:trHeight w:val="162"/>
        </w:trPr>
        <w:tc>
          <w:tcPr>
            <w:tcW w:w="7600" w:type="dxa"/>
            <w:vAlign w:val="bottom"/>
          </w:tcPr>
          <w:p>
            <w:pPr>
              <w:spacing w:after="0"/>
              <w:rPr>
                <w:sz w:val="20"/>
                <w:szCs w:val="20"/>
                <w:color w:val="auto"/>
              </w:rPr>
            </w:pPr>
            <w:r>
              <w:rPr>
                <w:rFonts w:ascii="Arial" w:cs="Arial" w:eastAsia="Arial" w:hAnsi="Arial"/>
                <w:sz w:val="14"/>
                <w:szCs w:val="14"/>
                <w:color w:val="auto"/>
              </w:rPr>
              <w:t>Net assets at end of period</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471,334,378</w:t>
            </w:r>
          </w:p>
        </w:tc>
        <w:tc>
          <w:tcPr>
            <w:tcW w:w="260" w:type="dxa"/>
            <w:vAlign w:val="bottom"/>
          </w:tcPr>
          <w:p>
            <w:pPr>
              <w:spacing w:after="0"/>
              <w:rPr>
                <w:sz w:val="14"/>
                <w:szCs w:val="14"/>
                <w:color w:val="auto"/>
              </w:rPr>
            </w:pPr>
          </w:p>
        </w:tc>
        <w:tc>
          <w:tcPr>
            <w:tcW w:w="44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506,733,731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6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Weighted average debt outstanding</w:t>
            </w:r>
          </w:p>
        </w:tc>
        <w:tc>
          <w:tcPr>
            <w:tcW w:w="340" w:type="dxa"/>
            <w:vAlign w:val="bottom"/>
            <w:tcBorders>
              <w:top w:val="single" w:sz="8" w:color="auto"/>
              <w:bottom w:val="single" w:sz="8" w:color="auto"/>
            </w:tcBorders>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742,391,378</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491,199,285</w:t>
            </w:r>
          </w:p>
        </w:tc>
        <w:tc>
          <w:tcPr>
            <w:tcW w:w="18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60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19.15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line="155" w:lineRule="exact"/>
              <w:rPr>
                <w:sz w:val="20"/>
                <w:szCs w:val="20"/>
                <w:color w:val="auto"/>
              </w:rPr>
            </w:pPr>
            <w:r>
              <w:rPr>
                <w:rFonts w:ascii="Arial" w:cs="Arial" w:eastAsia="Arial" w:hAnsi="Arial"/>
                <w:sz w:val="14"/>
                <w:szCs w:val="14"/>
                <w:color w:val="auto"/>
              </w:rPr>
              <w:t>12.67</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6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(6)</w:t>
            </w: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1,617</w:t>
            </w:r>
          </w:p>
        </w:tc>
        <w:tc>
          <w:tcPr>
            <w:tcW w:w="260" w:type="dxa"/>
            <w:vAlign w:val="bottom"/>
            <w:shd w:val="clear" w:color="auto" w:fill="CCECFF"/>
          </w:tcPr>
          <w:p>
            <w:pPr>
              <w:spacing w:after="0"/>
              <w:rPr>
                <w:sz w:val="14"/>
                <w:szCs w:val="14"/>
                <w:color w:val="auto"/>
              </w:rPr>
            </w:pPr>
          </w:p>
        </w:tc>
        <w:tc>
          <w:tcPr>
            <w:tcW w:w="440" w:type="dxa"/>
            <w:vAlign w:val="bottom"/>
            <w:gridSpan w:val="2"/>
            <w:shd w:val="clear" w:color="auto" w:fill="CCECFF"/>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1,904</w:t>
            </w:r>
          </w:p>
        </w:tc>
        <w:tc>
          <w:tcPr>
            <w:tcW w:w="18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600" w:type="dxa"/>
            <w:vAlign w:val="bottom"/>
          </w:tcPr>
          <w:p>
            <w:pPr>
              <w:spacing w:after="0"/>
              <w:rPr>
                <w:sz w:val="20"/>
                <w:szCs w:val="20"/>
                <w:color w:val="auto"/>
              </w:rPr>
            </w:pPr>
            <w:r>
              <w:rPr>
                <w:rFonts w:ascii="Arial" w:cs="Arial" w:eastAsia="Arial" w:hAnsi="Arial"/>
                <w:sz w:val="14"/>
                <w:szCs w:val="14"/>
                <w:color w:val="auto"/>
              </w:rPr>
              <w:t>Portfolio turnover ratio</w:t>
            </w:r>
          </w:p>
        </w:tc>
        <w:tc>
          <w:tcPr>
            <w:tcW w:w="340" w:type="dxa"/>
            <w:vAlign w:val="bottom"/>
          </w:tcPr>
          <w:p>
            <w:pPr>
              <w:spacing w:after="0"/>
              <w:rPr>
                <w:sz w:val="15"/>
                <w:szCs w:val="15"/>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4"/>
                <w:szCs w:val="14"/>
                <w:color w:val="auto"/>
              </w:rPr>
              <w:t>40.49%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4"/>
                <w:szCs w:val="14"/>
                <w:color w:val="auto"/>
              </w:rPr>
              <w:t>54.40%</w:t>
            </w:r>
          </w:p>
        </w:tc>
        <w:tc>
          <w:tcPr>
            <w:tcW w:w="0" w:type="dxa"/>
            <w:vAlign w:val="bottom"/>
          </w:tcPr>
          <w:p>
            <w:pPr>
              <w:spacing w:after="0"/>
              <w:rPr>
                <w:sz w:val="1"/>
                <w:szCs w:val="1"/>
                <w:color w:val="auto"/>
              </w:rPr>
            </w:pPr>
          </w:p>
        </w:tc>
      </w:tr>
    </w:tbl>
    <w:p>
      <w:pPr>
        <w:spacing w:after="0" w:line="110" w:lineRule="exact"/>
        <w:rPr>
          <w:sz w:val="20"/>
          <w:szCs w:val="20"/>
          <w:color w:val="auto"/>
        </w:rPr>
      </w:pPr>
    </w:p>
    <w:p>
      <w:pPr>
        <w:ind w:right="8240" w:firstLine="8"/>
        <w:spacing w:after="0" w:line="248" w:lineRule="auto"/>
        <w:tabs>
          <w:tab w:leader="none" w:pos="364" w:val="left"/>
        </w:tabs>
        <w:numPr>
          <w:ilvl w:val="0"/>
          <w:numId w:val="16"/>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18599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ind w:left="380" w:hanging="372"/>
        <w:spacing w:after="0" w:line="221"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ind w:left="380" w:right="340" w:hanging="372"/>
        <w:spacing w:after="0" w:line="221"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80" w:hanging="372"/>
        <w:spacing w:after="0" w:line="221"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assumes distributions, if any, are reinvested.</w:t>
      </w:r>
    </w:p>
    <w:p>
      <w:pPr>
        <w:ind w:left="380" w:hanging="372"/>
        <w:spacing w:after="0" w:line="221"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Excludes debt related costs.</w:t>
      </w:r>
    </w:p>
    <w:p>
      <w:pPr>
        <w:ind w:left="380" w:hanging="372"/>
        <w:spacing w:after="0" w:line="221"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Includes interest and expenses on debt (annualized) as well as Credit Facility amendment and debt issuance costs, if any, (not annualized).</w:t>
      </w:r>
    </w:p>
    <w:p>
      <w:pPr>
        <w:ind w:left="380" w:right="80" w:hanging="372"/>
        <w:spacing w:after="0" w:line="232" w:lineRule="auto"/>
        <w:tabs>
          <w:tab w:leader="none" w:pos="38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at par (changed from fair value). This asset coverage ratio is multiplied by $1,000 to determine the asset coverage per unit.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The annualized weighted average cost of debt for the nine months ended June 30, 2020 and 2019, inclusive of the fee on the undrawn commitment on the Credit Facility, amendment costs and debt issuance costs, was 3.9% and 5.3%, respectively (excluding amendment and debt issuance costs, amounts were 3.9% and 4.4%, respectively). As of June 30, 2020, in accordance with the 1940 Act, with certain limited exceptions, we are only allowed to borrow amounts such that we are in compliance with a 150% asset coverage ratio requirement after such borrowing.</w:t>
      </w:r>
    </w:p>
    <w:p>
      <w:pPr>
        <w:spacing w:after="0" w:line="101"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2020 and September 30, 2019, our asset coverage ratio, as computed in accordance with the 1940 Act, was 162% and 179%,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120" w:firstLine="438"/>
        <w:spacing w:after="0" w:line="229" w:lineRule="auto"/>
        <w:rPr>
          <w:sz w:val="20"/>
          <w:szCs w:val="20"/>
          <w:color w:val="auto"/>
        </w:rPr>
      </w:pPr>
      <w:r>
        <w:rPr>
          <w:rFonts w:ascii="Arial" w:cs="Arial" w:eastAsia="Arial" w:hAnsi="Arial"/>
          <w:sz w:val="14"/>
          <w:szCs w:val="14"/>
          <w:color w:val="auto"/>
        </w:rPr>
        <w:t>Funding I’s multi-currency Credit Facility with affiliates of Truist Bank (formerly SunTrust Bank), or the Lenders, was $520 million as of June 30, 2020, subject to satisfaction of certain conditions and regulatory restrictions that the 1940 Act imposes on us as a BDC, has an interest rate spread above LIBOR (or an alternative risk-free interest rate index) of 200 basis points, a maturity date of October 2023 and a revolving period that ends in October 2021. As of June 30, 2020 and September 30, 2019, Funding I had $351.6 million and $265.3 million of outstanding borrowings under the Credit Facility, respectively. The Credit Facility had a weighted average interest rate of 2.2% and 4.1%, exclusive of the fee on undrawn commitments as of June 30, 2020 and September 30, 2019, respectively. As of June 30, 2020 and September 30, 2019, we had $168.4 million and $254.7 million of unused borrowing capacity under the Credit Facility, respectively, subject to leverage and borrowing base restrictions.</w:t>
      </w:r>
    </w:p>
    <w:p>
      <w:pPr>
        <w:spacing w:after="0" w:line="118" w:lineRule="exact"/>
        <w:rPr>
          <w:sz w:val="20"/>
          <w:szCs w:val="20"/>
          <w:color w:val="auto"/>
        </w:rPr>
      </w:pPr>
    </w:p>
    <w:p>
      <w:pPr>
        <w:ind w:right="220" w:firstLine="438"/>
        <w:spacing w:after="0" w:line="233"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interest rate index) plus 200 basis points and, after the revolving period, the rate will reset to LIBOR (or an alternative risk-free interest rate index) plus 425 basis points for the remaining two years, maturing in October 2023. The Credit Facility is secured by all of the assets of Funding I. Both we and Funding I have made customary representations and warranties and are required to comply with various covenants, reporting requirements and other customary requirements for similar credit facilities.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4"/>
          <w:szCs w:val="14"/>
          <w:b w:val="1"/>
          <w:bCs w:val="1"/>
          <w:color w:val="auto"/>
        </w:rPr>
        <w:t>PENNANTPARK FLOATING RATE CAPITAL LTD. AND SUBSIDIARIES</w:t>
      </w:r>
    </w:p>
    <w:p>
      <w:pPr>
        <w:jc w:val="center"/>
        <w:ind w:right="-19"/>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JUNE 30, 2020</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38"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2020, we were in compliance with the covenants relating to the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14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The Investment Adviser has irrevocably directed that the management fee owed with respect to such services is to be paid to the Company so long as the Investment Adviser remains the collateral manager.</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2023 Notes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 November 2017, we issued $138.6 million of our 2023 Notes pursuant to a deed of trust between the Company and Mishmeret Trust Company, Ltd., as trustee.</w:t>
      </w:r>
    </w:p>
    <w:p>
      <w:pPr>
        <w:spacing w:after="0" w:line="136" w:lineRule="exact"/>
        <w:rPr>
          <w:sz w:val="20"/>
          <w:szCs w:val="20"/>
          <w:color w:val="auto"/>
        </w:rPr>
      </w:pPr>
    </w:p>
    <w:p>
      <w:pPr>
        <w:ind w:right="240" w:firstLine="438"/>
        <w:spacing w:after="0" w:line="264" w:lineRule="auto"/>
        <w:rPr>
          <w:sz w:val="20"/>
          <w:szCs w:val="20"/>
          <w:color w:val="auto"/>
        </w:rPr>
      </w:pPr>
      <w:r>
        <w:rPr>
          <w:rFonts w:ascii="Arial" w:cs="Arial" w:eastAsia="Arial" w:hAnsi="Arial"/>
          <w:sz w:val="13"/>
          <w:szCs w:val="13"/>
          <w:color w:val="auto"/>
        </w:rPr>
        <w:t>The 2023 Notes currently pay interest at a rate of 4.3% per year. Interest on the 2023 Notes is payable semi-annually in arrears on June 15 and December 15 of each year, commencing June 15, 2018. The principal on the 2023 Notes is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the post-effective amendment to our registration statement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2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of 1933, as amended, or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2031 Asset-Backed Debt</w:t>
      </w:r>
    </w:p>
    <w:p>
      <w:pPr>
        <w:spacing w:after="0" w:line="136" w:lineRule="exact"/>
        <w:rPr>
          <w:sz w:val="20"/>
          <w:szCs w:val="20"/>
          <w:color w:val="auto"/>
        </w:rPr>
      </w:pPr>
    </w:p>
    <w:p>
      <w:pPr>
        <w:ind w:right="60" w:firstLine="438"/>
        <w:spacing w:after="0" w:line="152" w:lineRule="exact"/>
        <w:rPr>
          <w:sz w:val="20"/>
          <w:szCs w:val="20"/>
          <w:color w:val="auto"/>
        </w:rPr>
      </w:pPr>
      <w:r>
        <w:rPr>
          <w:rFonts w:ascii="Arial" w:cs="Arial" w:eastAsia="Arial" w:hAnsi="Arial"/>
          <w:sz w:val="13"/>
          <w:szCs w:val="13"/>
          <w:color w:val="auto"/>
        </w:rPr>
        <w:t>In September 2019, the Company completed the 301.4 million term debt securitization. Term debt securitizations, also known as CLOs, are a form of secured financing incurred by the Company, which is consolidated by the Company and subject to the Company’s asset coverage requirements. The 2031 Asset-Backed Debt was issued by the Securitization Issuer.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Loans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Notes due 2031, which bear interest at the three-month LIBOR plus 1.8%, under a credit agreement by and among the Securitization Issuers, as borrowers, various financial institutions, as lenders, and U.S. Bank National Association, as collateral agent and as loan agent. The annualized interest on the 2031 Asset-Backed Debt will be paid, to the extent of funds available. The reinvestment period of the Debt Securitization ends on October 15, 2023 and the 2031 Asset-Backed Debt is scheduled to mature on October 15, 2031.</w:t>
      </w:r>
    </w:p>
    <w:p>
      <w:pPr>
        <w:spacing w:after="0" w:line="11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certain of our wholly owned subsidiaries,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approximately $55.4 million at the closing of the Debt Securitization.</w:t>
      </w:r>
    </w:p>
    <w:p>
      <w:pPr>
        <w:spacing w:after="0" w:line="117"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2031 Asset-Backed Debt is included in the Consolidated Statement of Assets and Liabilities as debt of the Company and the Class D Secured Deferrable Floating Rate Notes and the Preferred Shares of the Securitization Issuer were eliminated in consolidation. As of June 30, 2020 and September 30, 2019, the Company had $228.0 million of 2031 Asset-Backed Debt outstanding, respectively, with a weighted average interest rate of 3.5% and 4.2%. As of June 30, 2020 and September 30, 2019, the unamortized fees on the 2031 Asset-Backed Debt were $3.3 million and $3.7 million, respectively.</w:t>
      </w:r>
    </w:p>
    <w:p>
      <w:pPr>
        <w:spacing w:after="0" w:line="117" w:lineRule="exact"/>
        <w:rPr>
          <w:sz w:val="20"/>
          <w:szCs w:val="20"/>
          <w:color w:val="auto"/>
        </w:rPr>
      </w:pPr>
    </w:p>
    <w:p>
      <w:pPr>
        <w:ind w:right="120" w:firstLine="438"/>
        <w:spacing w:after="0" w:line="238" w:lineRule="auto"/>
        <w:rPr>
          <w:sz w:val="20"/>
          <w:szCs w:val="20"/>
          <w:color w:val="auto"/>
        </w:rPr>
      </w:pPr>
      <w:r>
        <w:rPr>
          <w:rFonts w:ascii="Arial" w:cs="Arial" w:eastAsia="Arial" w:hAnsi="Arial"/>
          <w:sz w:val="14"/>
          <w:szCs w:val="14"/>
          <w:color w:val="auto"/>
        </w:rPr>
        <w:t>Our Investment Adviser serves as collateral manager to the Securitization Issuer pursuant to a collateral management agreement between our Investment Adviser and the Securitization Issuer, or the Collateral Management Agreement. For so long as our Investment Adviser serves as collateral manager, it will elect to irrevocably waive any collateral management fee to which it may be entitled under the Collateral Management Agreement.</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right="100" w:firstLine="438"/>
        <w:spacing w:after="0" w:line="229"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June 30, 2020 and September 30, 2019, we had $62.0 million and $101.1 million, respectively, in commitments to fund investments. Additionally, as described in Note 4, the Company had unfunded commitments of up to $24.9 million and $9.2 million, respectively, to PSSL as of June 30, 2020 and September 30, 2019 that may be contributed primarily for the purpose of funding new investments approved by the PSSL board of directors or investment committee.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ind w:left="38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To the Stockholders and Board of Directors of PennantPark Floating Rate Capital Ltd. and its Subsidiaries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Review of Interim Financial Statements</w:t>
      </w:r>
    </w:p>
    <w:p>
      <w:pPr>
        <w:spacing w:after="0" w:line="140" w:lineRule="exact"/>
        <w:rPr>
          <w:sz w:val="20"/>
          <w:szCs w:val="20"/>
          <w:color w:val="auto"/>
        </w:rPr>
      </w:pPr>
    </w:p>
    <w:p>
      <w:pPr>
        <w:ind w:right="100" w:firstLine="438"/>
        <w:spacing w:after="0" w:line="251" w:lineRule="auto"/>
        <w:rPr>
          <w:sz w:val="20"/>
          <w:szCs w:val="20"/>
          <w:color w:val="auto"/>
        </w:rPr>
      </w:pPr>
      <w:r>
        <w:rPr>
          <w:rFonts w:ascii="Arial" w:cs="Arial" w:eastAsia="Arial" w:hAnsi="Arial"/>
          <w:sz w:val="13"/>
          <w:szCs w:val="13"/>
          <w:color w:val="auto"/>
        </w:rPr>
        <w:t>We have reviewed the accompanying consolidated statement of assets and liabilities of PennantPark Floating Rate Capital Ltd. and its Subsidiaries (collectively referred to as the “Company”), including the consolidated schedule of investments, as of June 30, 2020, the related consolidated statements of operations and the related consolidated statements of changes in net assets for the three and nine months ended June 30, 2020 and 2019, and cash flows for the nine months ended June 30, 2020 and 2019, and the related notes to the consolidated financial statements (collectively, the interim financial information or financial statements). Based on our reviews, we are not aware of any material modifications that should be made to the interim financial statements referred to above for them to be in conformity with accounting principles generally accepted in the United States of America.</w:t>
      </w:r>
    </w:p>
    <w:p>
      <w:pPr>
        <w:spacing w:after="0" w:line="109" w:lineRule="exact"/>
        <w:rPr>
          <w:sz w:val="20"/>
          <w:szCs w:val="20"/>
          <w:color w:val="auto"/>
        </w:rPr>
      </w:pPr>
    </w:p>
    <w:p>
      <w:pPr>
        <w:ind w:right="220" w:firstLine="438"/>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2019, and the related consolidated statements of operations, changes in net assets, and cash flows for the year then ended (not presented herein); and in our report dated November 20, 2019, we expressed an unqualified opinion on those financial statements. In our opinion, the information set forth in the accompanying consolidated statement of assets and liabilities as of September 30, 2019, is fairly stated, in all material respects, in relation to the consolidated statement of assets and liabilities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firstLine="438"/>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August 5, 2020</w:t>
      </w: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265" w:right="359" w:bottom="1440" w:gutter="0" w:footer="0" w:header="0"/>
        </w:sectPr>
      </w:pPr>
    </w:p>
    <w:bookmarkStart w:id="31" w:name="page32"/>
    <w:bookmarkEnd w:id="31"/>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 including as a result of the current pandemic caused by COVID-19;</w:t>
      </w:r>
    </w:p>
    <w:p>
      <w:pPr>
        <w:spacing w:after="0" w:line="136" w:lineRule="exact"/>
        <w:rPr>
          <w:rFonts w:ascii="Arial" w:cs="Arial" w:eastAsia="Arial" w:hAnsi="Arial"/>
          <w:sz w:val="14"/>
          <w:szCs w:val="14"/>
          <w:color w:val="auto"/>
        </w:rPr>
      </w:pPr>
    </w:p>
    <w:p>
      <w:pPr>
        <w:ind w:left="800" w:right="40" w:hanging="360"/>
        <w:spacing w:after="0" w:line="253" w:lineRule="auto"/>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political, economic or industry conditions, the interest rate environment or conditions affecting the financial and capital markets that could result in changes to the value of our assets, including changes from the impact of the current COVID-19 pandemic;</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continue to effectively manage our business due to the significant disruptions caused by the current COVID-19 pandemic;</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expected financings and investments and ability to fund capital commitments to PSSL;</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the United Kingdom’s withdrawal from the European Union (commonly known as “Brexit”) and other world economic and political issues.</w:t>
      </w:r>
    </w:p>
    <w:p>
      <w:pPr>
        <w:spacing w:after="0" w:line="136" w:lineRule="exact"/>
        <w:rPr>
          <w:sz w:val="20"/>
          <w:szCs w:val="20"/>
          <w:color w:val="auto"/>
        </w:rPr>
      </w:pPr>
    </w:p>
    <w:p>
      <w:pPr>
        <w:ind w:right="100" w:firstLine="438"/>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480" w:firstLine="438"/>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520" w:firstLine="438"/>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PennantPark Floating Rate Capital Ltd. is a BDC whose objectives are to generate both current income and capital appreciation while seeking to preserve capital by investing primarily in Floating Rate Loans and other investments made to U.S. middle-market companies.</w:t>
      </w:r>
    </w:p>
    <w:p>
      <w:pPr>
        <w:spacing w:after="0" w:line="106"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We believe that Floating Rate Loans to U.S. middle-market companies offer attractive risk-reward to investors due to a limited amount of capital available for such companies. We use the term “middle-market” to refer to companies with annual revenues between $50 million and $1 billion. Our investments are typically rated below investment grade. Securities rated below investment grade are often referred to as “leveraged loans,”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32" w:name="page33"/>
    <w:bookmarkEnd w:id="32"/>
    <w:p>
      <w:pPr>
        <w:ind w:right="160" w:firstLine="438"/>
        <w:spacing w:after="0" w:line="255"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first lien secured debt will represent at least 65% of our overall portfolio. We also generally expect to invest up to 35% of our overall portfolio opportunistically in other types of investments, including second lien secured debt and subordinated debt and, to a lesser extent, equity investments. We seek to create a diversified portfolio by generally targeting an investment size between $5 million and $30 million, on average, although we expect that this investment size will vary proportionately with the size of our capital base.</w:t>
      </w:r>
    </w:p>
    <w:p>
      <w:pPr>
        <w:spacing w:after="0" w:line="107" w:lineRule="exact"/>
        <w:rPr>
          <w:sz w:val="20"/>
          <w:szCs w:val="20"/>
          <w:color w:val="auto"/>
        </w:rPr>
      </w:pPr>
    </w:p>
    <w:p>
      <w:pPr>
        <w:ind w:right="180" w:firstLine="438"/>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Floating Rate Capital Ltd.</w:t>
      </w:r>
    </w:p>
    <w:p>
      <w:pPr>
        <w:spacing w:after="0" w:line="136" w:lineRule="exact"/>
        <w:rPr>
          <w:sz w:val="20"/>
          <w:szCs w:val="20"/>
          <w:color w:val="auto"/>
        </w:rPr>
      </w:pPr>
    </w:p>
    <w:p>
      <w:pPr>
        <w:ind w:right="120" w:firstLine="438"/>
        <w:spacing w:after="0" w:line="290"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84" w:lineRule="exact"/>
        <w:rPr>
          <w:sz w:val="20"/>
          <w:szCs w:val="20"/>
          <w:color w:val="auto"/>
        </w:rPr>
      </w:pPr>
    </w:p>
    <w:p>
      <w:pPr>
        <w:ind w:right="200" w:firstLine="438"/>
        <w:spacing w:after="0" w:line="229"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COVID-19 Developments</w:t>
      </w:r>
    </w:p>
    <w:p>
      <w:pPr>
        <w:spacing w:after="0" w:line="136" w:lineRule="exact"/>
        <w:rPr>
          <w:sz w:val="20"/>
          <w:szCs w:val="20"/>
          <w:color w:val="auto"/>
        </w:rPr>
      </w:pPr>
    </w:p>
    <w:p>
      <w:pPr>
        <w:ind w:right="100" w:firstLine="438"/>
        <w:spacing w:after="0" w:line="245" w:lineRule="auto"/>
        <w:rPr>
          <w:sz w:val="20"/>
          <w:szCs w:val="20"/>
          <w:color w:val="auto"/>
        </w:rPr>
      </w:pPr>
      <w:r>
        <w:rPr>
          <w:rFonts w:ascii="Arial" w:cs="Arial" w:eastAsia="Arial" w:hAnsi="Arial"/>
          <w:sz w:val="13"/>
          <w:szCs w:val="13"/>
          <w:color w:val="auto"/>
        </w:rPr>
        <w:t>COVID-19 was first detected in December 2019 in the city of Wuhan in China and has since been identified as a global pandemic by the World Health Organization. In response, governmental authorities of affected jurisdictions, including those in the United States, have imposed travel restrictions and required the temporary closures of many corporate offices, retail stores, manufacturing facilities, factories and other common places of public congregation. These restrictions and “stay-at-home” orders have essentially resulted in the shutdown of all non-essential businesses, as defined by each governmental authority imposing the respective orders. The economic impact resulting from such restrictions has adversely affected the business operations of some, if not all, of our portfolio companies, as well as our own operations and the operations of our Adviser. While some jurisdictions have either lifted or started to ease certain restrictions on businesses, it is possible that a resurgence of COVID-19 will require additional closures in the future. We cannot predict with any level of certainty the magnitude of the ongoing impact to our business operations or the business operations of our portfolio companies due to the business and supply-chain disruptions caused by the COVID-19 pandemic and the resulting governmental responses. However, we expect such adverse effects to continue for the duration of the pandemic, and potentially for some time thereafter.</w:t>
      </w:r>
    </w:p>
    <w:p>
      <w:pPr>
        <w:spacing w:after="0" w:line="116"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Due to the nature of these governmental restrictions and their potentially long-lasting duration, some portfolio companies, especially those in vulnerable industries such as retail, food and beverage and travel, have experienced significant financial distress and may default on their financial obligations to us and their other capital providers. Moreover, certain of our portfolio companies that remain subject to prolonged and severe financial distress, have substantially curtailed their operations, deferred capital expenditures, furloughed or laid off workers and/or terminated relationships with their service providers. These developments will likely continue to impact the value of our investments in such portfolio companies.</w:t>
      </w:r>
    </w:p>
    <w:p>
      <w:pPr>
        <w:spacing w:after="0" w:line="107"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The COVID-19 pandemic will likely continue to have an adverse impact on the global economy and result in a period, however long, of global economic slowdown. Particularly, COVID-19 presents material uncertainty and risk with respect to our future performance and financial results as well as the future performance and financial results of our portfolio companies. While we are unable to predict the ultimate adverse effect of COVID-19 on our results of operation, we have identified certain factors that are likely to affect market, economic and geopolitical conditions, and thereby may adversely affect our business, including:</w:t>
      </w:r>
    </w:p>
    <w:p>
      <w:pPr>
        <w:spacing w:after="0" w:line="117" w:lineRule="exact"/>
        <w:rPr>
          <w:sz w:val="20"/>
          <w:szCs w:val="20"/>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U.S. and global economic slowdowns;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interest rates, including LIBOR;</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limited availability of credit, both in the United States and internationally;</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disruptions to supply-chains and price volatility;</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to existing laws and regulations, or the imposition of new laws and regulations; and</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19"/>
        </w:numPr>
        <w:rPr>
          <w:rFonts w:ascii="Arial" w:cs="Arial" w:eastAsia="Arial" w:hAnsi="Arial"/>
          <w:sz w:val="14"/>
          <w:szCs w:val="14"/>
          <w:color w:val="auto"/>
        </w:rPr>
      </w:pPr>
      <w:r>
        <w:rPr>
          <w:rFonts w:ascii="Arial" w:cs="Arial" w:eastAsia="Arial" w:hAnsi="Arial"/>
          <w:sz w:val="14"/>
          <w:szCs w:val="14"/>
          <w:color w:val="auto"/>
        </w:rPr>
        <w:t>uncertainty regarding future governmental and regulatory policies.</w:t>
      </w:r>
    </w:p>
    <w:p>
      <w:pPr>
        <w:spacing w:after="0" w:line="136" w:lineRule="exact"/>
        <w:rPr>
          <w:sz w:val="20"/>
          <w:szCs w:val="20"/>
          <w:color w:val="auto"/>
        </w:rPr>
      </w:pPr>
    </w:p>
    <w:p>
      <w:pPr>
        <w:ind w:right="40" w:firstLine="438"/>
        <w:spacing w:after="0" w:line="273" w:lineRule="auto"/>
        <w:rPr>
          <w:sz w:val="20"/>
          <w:szCs w:val="20"/>
          <w:color w:val="auto"/>
        </w:rPr>
      </w:pPr>
      <w:r>
        <w:rPr>
          <w:rFonts w:ascii="Arial" w:cs="Arial" w:eastAsia="Arial" w:hAnsi="Arial"/>
          <w:sz w:val="12"/>
          <w:szCs w:val="12"/>
          <w:color w:val="auto"/>
        </w:rPr>
        <w:t>The business disruption and financial harm resulting from COVID-19 experienced by our portfolio companies are likely to reduce, over time, the amount of interest and dividend income that we receive from such investments and may require us to provide an increase of capital to such companies in the form of follow on investments. In connection with the adverse effects of the COVID-19 pandemic, we may also need to restructure the capitalization of some of our portfolio companies, which could result in reduced interest payments, an increase in the amount of PIK interest we receive or a permanent reduction in the value of our investments. If our net investment income decreases, the percentage of our cash flows dedicated to debt servicing and distribution payments to stockholders would subsequently increase. If such cash flows cannot be sustained, we may be required to reduce the amount of our future distributions to stockholders. As of June 30, 2020, we had three portfolio companies on non-accrual status, and the continuing impact of the COVID-19 pandemic may result in additional portfolio investments being placed on non-accrual status in the future.</w:t>
      </w:r>
    </w:p>
    <w:p>
      <w:pPr>
        <w:spacing w:after="0" w:line="98" w:lineRule="exact"/>
        <w:rPr>
          <w:sz w:val="20"/>
          <w:szCs w:val="20"/>
          <w:color w:val="auto"/>
        </w:rPr>
      </w:pPr>
    </w:p>
    <w:p>
      <w:pPr>
        <w:ind w:right="100" w:firstLine="438"/>
        <w:spacing w:after="0" w:line="251" w:lineRule="auto"/>
        <w:rPr>
          <w:sz w:val="20"/>
          <w:szCs w:val="20"/>
          <w:color w:val="auto"/>
        </w:rPr>
      </w:pPr>
      <w:r>
        <w:rPr>
          <w:rFonts w:ascii="Arial" w:cs="Arial" w:eastAsia="Arial" w:hAnsi="Arial"/>
          <w:sz w:val="13"/>
          <w:szCs w:val="13"/>
          <w:color w:val="auto"/>
        </w:rPr>
        <w:t>We have had a significant reduction in our net asset value as of June 30, 2020 as compared to our net asset value as of September 30, 2019, which was primarily due to the immediate adverse economic effects of the COVID-19 pandemic, the continuing uncertainty surrounding its long-term impact as well as the re-pricing of credit risk in the broadly syndicated credit market. The decrease in net asset value as of June 30, 2020 as compared to September 30, 2019 primarily resulted from a decrease in the fair value of some of our portfolio company investments, which led to an increase in unrealized depreciation in respect of our portfolio company investments. In addition, our investment valuations are inherently less certain than they would be absent the impact of the COVID-19 pandemic and related market volatility and the values assigned as of this date may materially differ from the values that may ultimately be realized.</w:t>
      </w:r>
    </w:p>
    <w:p>
      <w:pPr>
        <w:spacing w:after="0" w:line="109"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Additionally, as of June 30, 2020 and September 30, 2019, our asset coverage ratio, as computed in accordance with the 1940 Act, was 162% and 179%, respectively. Our Credit Facility includes standard covenants and events of default provisions. If we fail to make payments required under such facility or breach the covenants therein, it could result in a default under the Credit Facility. Failure to cure such default or obtain a waiver from the appropriate party would result in an event of default, and the Lenders may accelerate the repayment of our indebtedness under the Credit Facility, such that all amounts owed are due immediately at the time of default. Such an action would negatively affect our liquidity, business, financial condition, results of operations, cash flows and ability to pay distributions to our stockholders.</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33" w:name="page34"/>
    <w:bookmarkEnd w:id="33"/>
    <w:p>
      <w:pPr>
        <w:ind w:right="40" w:firstLine="438"/>
        <w:spacing w:after="0" w:line="227" w:lineRule="auto"/>
        <w:rPr>
          <w:sz w:val="20"/>
          <w:szCs w:val="20"/>
          <w:color w:val="auto"/>
        </w:rPr>
      </w:pPr>
      <w:r>
        <w:rPr>
          <w:rFonts w:ascii="Arial" w:cs="Arial" w:eastAsia="Arial" w:hAnsi="Arial"/>
          <w:sz w:val="14"/>
          <w:szCs w:val="14"/>
          <w:color w:val="auto"/>
        </w:rPr>
        <w:t>We are also subject to financial risks, including changes in market interest rates. As of June 30, 2020, our debt portfolio consisted of 99%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 floor. In addition, the Credit Facility currently bears interest at LIBOR (or an alternative risk-free floating interest rate index) plus 200 basis points and, after the revolving period ends in October 2021, the rate will reset to LIBOR (or an alternative risk-free floating interest rate index) plus 425 basis points. In connection with the COVID-19 pandemic, the U.S. Federal Reserve and other central banks have reduced interest rates, which has caused LIBOR to decrease. Due to such rates, our gross investment income has decreased, which could result in a decrease in our net investment income if such decreases in LIBOR are not offset by, among other things, a corresponding increase in the spread over LIBOR that we earn on such loans or a decrease in the interest rate of our floating interest rate liabilities tied to LIBOR. See “Item 3. Quantitative and Qualitative Disclosures About Market Risk” below.</w:t>
      </w:r>
    </w:p>
    <w:p>
      <w:pPr>
        <w:spacing w:after="0" w:line="118" w:lineRule="exact"/>
        <w:rPr>
          <w:sz w:val="20"/>
          <w:szCs w:val="20"/>
          <w:color w:val="auto"/>
        </w:rPr>
      </w:pPr>
    </w:p>
    <w:p>
      <w:pPr>
        <w:ind w:right="80" w:firstLine="496"/>
        <w:spacing w:after="0" w:line="233" w:lineRule="auto"/>
        <w:rPr>
          <w:sz w:val="20"/>
          <w:szCs w:val="20"/>
          <w:color w:val="auto"/>
        </w:rPr>
      </w:pPr>
      <w:r>
        <w:rPr>
          <w:rFonts w:ascii="Arial" w:cs="Arial" w:eastAsia="Arial" w:hAnsi="Arial"/>
          <w:sz w:val="14"/>
          <w:szCs w:val="14"/>
          <w:color w:val="auto"/>
        </w:rPr>
        <w:t>In addition, we activated our business continuity planning strategy. Our priority has been to safeguard the health of our employees and to ensure continuity of business operations on behalf of our investors. As a result of the execution of our business continuity planning strategy, nearly all of our employees are working remotely. Our systems and infrastructure have continued to support our business operations. We implemented a heightened level of communication across senior management, our investment team and our board of directors, and we have proactively engaged with our vendors on a regular basis to ensure they continue to meet our criteria for business continuity.</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60" w:firstLine="438"/>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floating or fixed rate. Interest on debt securities is generally payable quarterly. In some cases,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 Litigation settlements are accounted for in accordance with the gain contingency provisions of ASC 450-30.</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800" w:right="180" w:hanging="360"/>
        <w:spacing w:after="0" w:line="253" w:lineRule="auto"/>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and applicable federal and state securities laws; and</w:t>
      </w:r>
    </w:p>
    <w:p>
      <w:pPr>
        <w:spacing w:after="0" w:line="136" w:lineRule="exact"/>
        <w:rPr>
          <w:rFonts w:ascii="Arial" w:cs="Arial" w:eastAsia="Arial" w:hAnsi="Arial"/>
          <w:sz w:val="14"/>
          <w:szCs w:val="14"/>
          <w:color w:val="auto"/>
        </w:rPr>
      </w:pPr>
    </w:p>
    <w:p>
      <w:pPr>
        <w:jc w:val="both"/>
        <w:ind w:left="800" w:right="140" w:hanging="360"/>
        <w:spacing w:after="0" w:line="264" w:lineRule="auto"/>
        <w:tabs>
          <w:tab w:leader="none" w:pos="8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269" w:right="379" w:bottom="1440" w:gutter="0" w:footer="0" w:header="0"/>
        </w:sectPr>
      </w:pPr>
    </w:p>
    <w:bookmarkStart w:id="34" w:name="page35"/>
    <w:bookmarkEnd w:id="34"/>
    <w:p>
      <w:pPr>
        <w:ind w:right="40" w:firstLine="438"/>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As of June 30, 2020, our portfolio totaled $1,104.4 million and consisted of $993.6 million of first lien secured debt (including $123.4 million in PSSL), $31.7 million of second lien secured debt and $79.0 million of preferred and common equity (including $36.0 million in PSSL). Our debt portfolio consisted of 99% variable-rate investments. As of June 30, 2020, we had three portfolio companies on non-accrual, representing 2.2% and 1.8% of our overall portfolio on a cost and fair value basis, respectively. Overall, the portfolio had net unrealized depreciation of $49.9 million. Our overall portfolio consisted of 104 companies with an average investment size of $10.6 million, had a weighted average yield on debt investments of 7.4%, and was invested 90% in first lien secured debt (including 11% in PSSL), 3% in second lien secured debt and 7% in preferred and common equity (including 3% in PSSL). As of June 30, 2020, 98% of the investments held by PSSL were first lien secured debt.</w:t>
      </w:r>
    </w:p>
    <w:p>
      <w:pPr>
        <w:spacing w:after="0" w:line="118" w:lineRule="exact"/>
        <w:rPr>
          <w:sz w:val="20"/>
          <w:szCs w:val="20"/>
          <w:color w:val="auto"/>
        </w:rPr>
      </w:pPr>
    </w:p>
    <w:p>
      <w:pPr>
        <w:ind w:right="20" w:firstLine="438"/>
        <w:spacing w:after="0" w:line="229" w:lineRule="auto"/>
        <w:rPr>
          <w:sz w:val="20"/>
          <w:szCs w:val="20"/>
          <w:color w:val="auto"/>
        </w:rPr>
      </w:pPr>
      <w:r>
        <w:rPr>
          <w:rFonts w:ascii="Arial" w:cs="Arial" w:eastAsia="Arial" w:hAnsi="Arial"/>
          <w:sz w:val="14"/>
          <w:szCs w:val="14"/>
          <w:color w:val="auto"/>
        </w:rPr>
        <w:t>As of September 30, 2019, our portfolio totaled $1,081.7 million and consisted of $944.9 million of first lien secured debt (including $122.2 million in PSSL), $34.4 million of second lien secured debt and $102.4 million of preferred and common equity (including $50.0 million in PSSL). Our debt portfolio consisted of 99% variable-rate investments. As of September 30, 2019, we had one portfolio company on non-accrual, representing 0.4% and zero of our overall portfolio on a cost and fair value basis, respectively. Overall, the portfolio had net unrealized depreciation of $3.5 million. Our overall portfolio consisted of 95 companies with an average investment size of $11.4 million, had a weighted average yield on debt investments of 8.7%, and was invested 87% in first lien secured debt (including 11% in PSSL), 3% in second lien secured debt and 10% in preferred and common equity (including 5% in PSSL). As of September 30, 2019, 97% of the investments held by PSSL were first lien secured debt.</w:t>
      </w:r>
    </w:p>
    <w:p>
      <w:pPr>
        <w:spacing w:after="0" w:line="118" w:lineRule="exact"/>
        <w:rPr>
          <w:sz w:val="20"/>
          <w:szCs w:val="20"/>
          <w:color w:val="auto"/>
        </w:rPr>
      </w:pPr>
    </w:p>
    <w:p>
      <w:pPr>
        <w:ind w:right="120" w:firstLine="438"/>
        <w:spacing w:after="0" w:line="264" w:lineRule="auto"/>
        <w:rPr>
          <w:sz w:val="20"/>
          <w:szCs w:val="20"/>
          <w:color w:val="auto"/>
        </w:rPr>
      </w:pPr>
      <w:r>
        <w:rPr>
          <w:rFonts w:ascii="Arial" w:cs="Arial" w:eastAsia="Arial" w:hAnsi="Arial"/>
          <w:sz w:val="13"/>
          <w:szCs w:val="13"/>
          <w:color w:val="auto"/>
        </w:rPr>
        <w:t>For the three months ended June 30, 2020, we invested $14.4 million in one new and 18 existing portfolio companies with a weighted average yield on debt investments of 8.1%. Sales and repayments of investments for the three months ended June 30, 2020 totaled $104.1 million. For the nine months ended June 30, 2020, we invested $421.4 million in 18 new and 86 existing portfolio companies with a weighted average yield on debt investments of 8.0%. Sales and repayments of investments for the nine months ended June 30, 2020 totaled $347.2 million.</w:t>
      </w:r>
    </w:p>
    <w:p>
      <w:pPr>
        <w:spacing w:after="0" w:line="101" w:lineRule="exact"/>
        <w:rPr>
          <w:sz w:val="20"/>
          <w:szCs w:val="20"/>
          <w:color w:val="auto"/>
        </w:rPr>
      </w:pPr>
    </w:p>
    <w:p>
      <w:pPr>
        <w:ind w:right="80" w:firstLine="438"/>
        <w:spacing w:after="0" w:line="264" w:lineRule="auto"/>
        <w:rPr>
          <w:sz w:val="20"/>
          <w:szCs w:val="20"/>
          <w:color w:val="auto"/>
        </w:rPr>
      </w:pPr>
      <w:r>
        <w:rPr>
          <w:rFonts w:ascii="Arial" w:cs="Arial" w:eastAsia="Arial" w:hAnsi="Arial"/>
          <w:sz w:val="13"/>
          <w:szCs w:val="13"/>
          <w:color w:val="auto"/>
        </w:rPr>
        <w:t>For the three months ended June 30, 2019, we invested $182.7 million in eight new and 14 existing portfolio companies with a weighted average yield on debt investments of 9.3%. Sales and repayments of investments for the three months ended June 30, 2019 totaled $66.6 million. For the nine months ended June 30, 2019, we invested $499.5 million in 22 new and 60 existing portfolio companies with a weighted average yield on debt investments of 8.9%. Sales and repayments of investments for the nine months ended June 30, 2019 totaled $400.1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40"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As of June 30, 2020, PSSL’s portfolio totaled $458.5 million, consisted of 49 companies with an average investment size of $9.4 million and had a weighted average yield on debt investments of 6.8%. As of September 30, 2019, PSSL’s portfolio totaled $488.5 million, consisted of 45 companies with an average investment size of $10.9 million and had a weighted average yield on debt investments of 7.6%.</w:t>
      </w:r>
    </w:p>
    <w:p>
      <w:pPr>
        <w:spacing w:after="0" w:line="115" w:lineRule="exact"/>
        <w:rPr>
          <w:sz w:val="20"/>
          <w:szCs w:val="20"/>
          <w:color w:val="auto"/>
        </w:rPr>
      </w:pPr>
    </w:p>
    <w:p>
      <w:pPr>
        <w:jc w:val="both"/>
        <w:ind w:right="200" w:firstLine="438"/>
        <w:spacing w:after="0" w:line="264" w:lineRule="auto"/>
        <w:rPr>
          <w:sz w:val="20"/>
          <w:szCs w:val="20"/>
          <w:color w:val="auto"/>
        </w:rPr>
      </w:pPr>
      <w:r>
        <w:rPr>
          <w:rFonts w:ascii="Arial" w:cs="Arial" w:eastAsia="Arial" w:hAnsi="Arial"/>
          <w:sz w:val="13"/>
          <w:szCs w:val="13"/>
          <w:color w:val="auto"/>
        </w:rPr>
        <w:t>For the three months ended June 30, 2020, PSSL made zero new or follow-on investments. Sales and repayments of investments for the three months ended June 30, 2020 totaled $28.3 million. For the nine months ended June 30, 2020, PSSL invested $87.1 million (including $86.7 million purchased from the Company) in 11 new and two existing portfolio companies with a weighted average yield on debt investments of 7.4%. Sales and repayments of investments for the nine months ended June 30, 2020 totaled $102.6 million.</w:t>
      </w:r>
    </w:p>
    <w:p>
      <w:pPr>
        <w:spacing w:after="0" w:line="101" w:lineRule="exact"/>
        <w:rPr>
          <w:sz w:val="20"/>
          <w:szCs w:val="20"/>
          <w:color w:val="auto"/>
        </w:rPr>
      </w:pPr>
    </w:p>
    <w:p>
      <w:pPr>
        <w:ind w:right="200" w:firstLine="438"/>
        <w:spacing w:after="0" w:line="233" w:lineRule="auto"/>
        <w:rPr>
          <w:sz w:val="20"/>
          <w:szCs w:val="20"/>
          <w:color w:val="auto"/>
        </w:rPr>
      </w:pPr>
      <w:r>
        <w:rPr>
          <w:rFonts w:ascii="Arial" w:cs="Arial" w:eastAsia="Arial" w:hAnsi="Arial"/>
          <w:sz w:val="14"/>
          <w:szCs w:val="14"/>
          <w:color w:val="auto"/>
        </w:rPr>
        <w:t>For the three months ended June 30, 2019, PSSL invested $8.4 million in one new and three existing portfolio companies with a weighted average yield on debt investments of 9.0%. PSSL’s sales and repayments of investments for the three months ended June 30, 2019 totaled $39.7 million. For the nine months ended June 30, 2019 PSSL invested $176.0 million (including $57.7 million purchased from the Company) in 11 new and 13 existing portfolio companies with a weighted average yield on debt investments of 8.1%. PSSL’s sales and repayments of investments for the nine months ended June 30, 2019 totaled $128.2 million.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firstLine="438"/>
        <w:spacing w:after="0" w:line="228" w:lineRule="auto"/>
        <w:rPr>
          <w:sz w:val="20"/>
          <w:szCs w:val="20"/>
          <w:color w:val="auto"/>
        </w:rPr>
      </w:pPr>
      <w:r>
        <w:rPr>
          <w:rFonts w:ascii="Arial" w:cs="Arial" w:eastAsia="Arial" w:hAnsi="Arial"/>
          <w:sz w:val="14"/>
          <w:szCs w:val="14"/>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firstLine="438"/>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80" w:firstLine="438"/>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00" w:right="400" w:hanging="360"/>
        <w:spacing w:after="0" w:line="253"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00" w:hanging="360"/>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5" w:name="page36"/>
    <w:bookmarkEnd w:id="35"/>
    <w:p>
      <w:pPr>
        <w:jc w:val="both"/>
        <w:ind w:left="800" w:right="180" w:hanging="360"/>
        <w:spacing w:after="0" w:line="264" w:lineRule="auto"/>
        <w:tabs>
          <w:tab w:leader="none" w:pos="8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00" w:right="60" w:hanging="360"/>
        <w:spacing w:after="0" w:line="238" w:lineRule="auto"/>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00" w:right="200" w:hanging="360"/>
        <w:spacing w:after="0" w:line="253" w:lineRule="auto"/>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40" w:firstLine="438"/>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07"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260" w:right="20" w:hanging="809"/>
        <w:spacing w:after="0" w:line="290" w:lineRule="auto"/>
        <w:tabs>
          <w:tab w:leader="none" w:pos="12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our 2031 Asset-Backed Debt and our Credit Facility are classified as Level 3. Our 2023 Notes are classified as Level 1, as they were valued using the closing price from the primary exchange.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7" w:lineRule="exact"/>
        <w:rPr>
          <w:sz w:val="20"/>
          <w:szCs w:val="20"/>
          <w:color w:val="auto"/>
        </w:rPr>
      </w:pPr>
    </w:p>
    <w:p>
      <w:pPr>
        <w:ind w:right="260" w:firstLine="438"/>
        <w:spacing w:after="0" w:line="238" w:lineRule="auto"/>
        <w:rPr>
          <w:sz w:val="20"/>
          <w:szCs w:val="20"/>
          <w:color w:val="auto"/>
        </w:rPr>
      </w:pPr>
      <w:r>
        <w:rPr>
          <w:rFonts w:ascii="Arial" w:cs="Arial" w:eastAsia="Arial" w:hAnsi="Arial"/>
          <w:sz w:val="14"/>
          <w:szCs w:val="14"/>
          <w:color w:val="auto"/>
        </w:rPr>
        <w:t>In addition to using the above inputs to value cash equivalents, investments, our 2023 Notes, our 2031 Asset-Backed Debt and our Credit Facility,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5"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Generally, 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the Credit Facility and the 2023 Notes. We elected to use the fair value option for the Credit Facility and the 2023 Notes to align the measurement attributes of both our assets and liabilities while mitigating volatility in earnings from using different measurement attributes. Due to that election and in accordance with GAAP, we incurred no expenses relating to amendment costs on the Credit Facility during both the three and nine months ended June 30, 2020. Due to that election and in accordance with GAAP, we incurred expenses of zero and $4.5 million, respectively, relating to amendment costs on the Credit Facility during the three and nine months ended June 30, 2019.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the 2023 Notes are reported in our Consolidated Statements of Operations. We elected not to apply ASC 825-10 to any other financial assets or liabilities, including our 2031 Asset-Backed Debt.</w:t>
      </w:r>
    </w:p>
    <w:p>
      <w:pPr>
        <w:spacing w:after="0" w:line="117" w:lineRule="exact"/>
        <w:rPr>
          <w:sz w:val="20"/>
          <w:szCs w:val="20"/>
          <w:color w:val="auto"/>
        </w:rPr>
      </w:pPr>
    </w:p>
    <w:p>
      <w:pPr>
        <w:ind w:right="60" w:firstLine="438"/>
        <w:spacing w:after="0" w:line="231" w:lineRule="auto"/>
        <w:rPr>
          <w:sz w:val="20"/>
          <w:szCs w:val="20"/>
          <w:color w:val="auto"/>
        </w:rPr>
      </w:pPr>
      <w:r>
        <w:rPr>
          <w:rFonts w:ascii="Arial" w:cs="Arial" w:eastAsia="Arial" w:hAnsi="Arial"/>
          <w:sz w:val="14"/>
          <w:szCs w:val="14"/>
          <w:color w:val="auto"/>
        </w:rPr>
        <w:t>For the three and nine months ended June 30, 2020, the Credit Facility and the 2023 Notes had a net change in unrealized (appreciation) depreciation of $(12.2) million and $22.7 million, respectively. For both the three and nine months ended June 30, 2019, the Credit Facility and the 2023 Notes had a net change in unrealized depreciation of $0.4 million. As of June 30, 2020 and September 30, 2019, the net unrealized depreciation on the Credit Facility and the 2023 Notes totaled $27.4 million and $4.2 million, respectively. We use a nationally recognized independent valuation service to measure the fair value of the Credit Facility in a manner consistent with the valuation process that the board of directors uses to value our investments. Our 2023 Notes trade on the TASE and we use the closing price on the exchange to determine the fair value.</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fair values of our portfolio investments, our Credit Facility and the 2023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800" w:hanging="360"/>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800" w:hanging="360"/>
        <w:spacing w:after="0"/>
        <w:tabs>
          <w:tab w:leader="none" w:pos="800" w:val="left"/>
        </w:tabs>
        <w:numPr>
          <w:ilvl w:val="0"/>
          <w:numId w:val="23"/>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40" w:firstLine="438"/>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PIK Interest</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firstLine="438"/>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60" w:firstLine="438"/>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and (3) the sum of any net ordinary income plus capital gain net income for preceding years that was not distributed during such years and on which we did not incur any federal income tax, or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111"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Because federal income tax regulations differ from GAAP, distributions characterized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117" w:lineRule="exact"/>
        <w:rPr>
          <w:sz w:val="20"/>
          <w:szCs w:val="20"/>
          <w:color w:val="auto"/>
        </w:rPr>
      </w:pPr>
    </w:p>
    <w:p>
      <w:pPr>
        <w:ind w:right="40" w:firstLine="438"/>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including the Taxable Subsidiary,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Set forth below are the results of operations for the three and nine months ended June 30, 2020 and 2019.</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jc w:val="both"/>
        <w:ind w:right="80" w:firstLine="438"/>
        <w:spacing w:after="0" w:line="233" w:lineRule="auto"/>
        <w:rPr>
          <w:sz w:val="20"/>
          <w:szCs w:val="20"/>
          <w:color w:val="auto"/>
        </w:rPr>
      </w:pPr>
      <w:r>
        <w:rPr>
          <w:rFonts w:ascii="Arial" w:cs="Arial" w:eastAsia="Arial" w:hAnsi="Arial"/>
          <w:sz w:val="14"/>
          <w:szCs w:val="14"/>
          <w:color w:val="auto"/>
        </w:rPr>
        <w:t>Investment income for the three and nine months ended June 30, 2020 was $22.8 million and $73.7 million, respectively, and was attributable to $21.0 million and $67.5 million from first lien secured debt and $1.8 million and $6.2 million from other investments, respectively. This compares to investment income for the three and nine months ended June 30, 2019, which was $22.9 million and $69.1 million, respectively, and was attributable to $19.9 million and $62.0 million from first lien secured debt and $3.0 million and $7.0 million from other investments, respectively. The increase in investment income compared to the same periods in the prior year was primarily due to the growth of our portfolio.</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40" w:firstLine="438"/>
        <w:spacing w:after="0" w:line="273" w:lineRule="auto"/>
        <w:rPr>
          <w:sz w:val="20"/>
          <w:szCs w:val="20"/>
          <w:color w:val="auto"/>
        </w:rPr>
      </w:pPr>
      <w:r>
        <w:rPr>
          <w:rFonts w:ascii="Arial" w:cs="Arial" w:eastAsia="Arial" w:hAnsi="Arial"/>
          <w:sz w:val="12"/>
          <w:szCs w:val="12"/>
          <w:color w:val="auto"/>
        </w:rPr>
        <w:t>Expenses for the three and nine months ended June 30, 2020 totaled $12.6 million and $40.7 million, respectively. Base management fee for the same periods totaled $2.9 million and $8.7 million, incentive fee totaled $2.0 million and $7.2 million, debt related interest and expenses totaled $6.7 million and $21.6 million and general and administrative expenses totaled $1.0 million and $2.9 million, respectively. This compares to expenses for the three and nine months ended June 30, 2019 which totaled $11.5 million and $35.0 million, respectively. Base management fee for the same periods totaled $2.6 million and $7.5 million, incentive fee totaled $2.4 million and $3.7 million (including $(1.4) million on realized and unrealized gains accrued but not payable), debt related interest and expenses totaled $5.7 million and $20.8 million (including $4.5 million in Credit Facility amendment costs), and general and administrative expenses totaled $1.0 million and $3.0 million, respectively. The increase in expenses for the three and nine months ended June 30, 2020 compared to the same periods in the prior year was primarily due to the growth of our portfolio.</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220" w:firstLine="438"/>
        <w:spacing w:after="0" w:line="253" w:lineRule="auto"/>
        <w:rPr>
          <w:sz w:val="20"/>
          <w:szCs w:val="20"/>
          <w:color w:val="auto"/>
        </w:rPr>
      </w:pPr>
      <w:r>
        <w:rPr>
          <w:rFonts w:ascii="Arial" w:cs="Arial" w:eastAsia="Arial" w:hAnsi="Arial"/>
          <w:sz w:val="14"/>
          <w:szCs w:val="14"/>
          <w:color w:val="auto"/>
        </w:rPr>
        <w:t>Net investment income totaled $10.2 million and $33.1 million, or $0.26 and $0.85 per share, for the three and nine months ended June 30, 2020, respectively. Net investment income totaled $11.3 million and $34.1 million, or $0.29 and $0.88 per share, for the three and nine months ended June 30, 2019, respectively.</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jc w:val="both"/>
        <w:ind w:right="80" w:firstLine="438"/>
        <w:spacing w:after="0" w:line="296" w:lineRule="auto"/>
        <w:rPr>
          <w:sz w:val="20"/>
          <w:szCs w:val="20"/>
          <w:color w:val="auto"/>
        </w:rPr>
      </w:pPr>
      <w:r>
        <w:rPr>
          <w:rFonts w:ascii="Arial" w:cs="Arial" w:eastAsia="Arial" w:hAnsi="Arial"/>
          <w:sz w:val="12"/>
          <w:szCs w:val="12"/>
          <w:color w:val="auto"/>
        </w:rPr>
        <w:t>Sales and repayments of investments for the three and nine months ended June 30, 2020 totaled $104.1 million and $347.2 million, respectively, and net realized losses totaled $7.4 million and $8.0 million, respectively. Sales and repayments of investments for the three and nine months ended June 30, 2019 totaled $66.6 million and $400.1 million, respectively, and net realized losses totaled $18.4 million and $16.4 million, respectively. The change in realized gains/losses was primarily due to changes in the market conditions of our investments and the values at which they were realized.</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the Credit Facility and the 2023 Notes</w:t>
      </w:r>
    </w:p>
    <w:p>
      <w:pPr>
        <w:spacing w:after="0" w:line="136"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For the three and nine months ended June 30, 2020, we reported net change in unrealized appreciation (depreciation) on investments of $21.9 million and $(46.4) million, respectively. For the three and nine months ended June 30, 2019, we reported net change in unrealized appreciation (depreciation) on investments of $11.9 million and $(13.2) million, respectively. As of June 30, 2020 and September 30, 2019, our net unrealized depreciation on investments totaled $49.9 million and $3.5 million, respectively. The net change in unrealized depreciation on our investments compared to the same periods in the prior year was primarily due to changes in the capital market conditions as well as the financial performance of certain portfolio companies primarily driven by the market disruption caused by the COVID-19 pandemic and the uncertainty surrounding its continued adverse economic impact, as discussed above under “COVID-19 Developments.”</w:t>
      </w:r>
    </w:p>
    <w:p>
      <w:pPr>
        <w:spacing w:after="0" w:line="109"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For the three and nine months ended June 30, 2020, the Credit Facility and the 2023 Notes had a net change in unrealized (appreciation) depreciation of $(12.2) million and $22.7 million, respectively. For the three and nine months ended June 30, 2019, the Credit Facility and the 2023 Notes had a net change in unrealized appreciation of $0.4 million and $0.4 million, respectively. As of June 30, 2020 and September 30, 2019, the net unrealized depreciation on the Credit Facility and the 2023 Notes totaled $27.4 million and $4.7 million, respectively. The net change in net unrealized depreciation compared to the same period in the prior year was primarily due to changes in the capital markets.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ind w:right="60" w:firstLine="438"/>
        <w:spacing w:after="0" w:line="229" w:lineRule="auto"/>
        <w:rPr>
          <w:sz w:val="20"/>
          <w:szCs w:val="20"/>
          <w:color w:val="auto"/>
        </w:rPr>
      </w:pPr>
      <w:r>
        <w:rPr>
          <w:rFonts w:ascii="Arial" w:cs="Arial" w:eastAsia="Arial" w:hAnsi="Arial"/>
          <w:sz w:val="14"/>
          <w:szCs w:val="14"/>
          <w:color w:val="auto"/>
        </w:rPr>
        <w:t>Net change in net assets resulting from operations totaled $12.6 million and $1.4 million, or $0.32 and $0.04 per share, respectively, for the three and nine months ended June 30, 2020. This compares to a net change in net assets resulting from operations of $4.5 million and $4.0 million, or $0.12 and $0.10 per share, respectively, for the three and nine months ended June 30, 2019. The increase in the net change in net assets from operations for the three months ended June 30, 2020 compared to the same period in the prior year was primarily due to changes in the capital markets. The decrease in the net change in net assets from operations for the nine months ended June 30, 2020 compared to the same period in the prior year was primarily due to depreciation of the portfolio primarily driven by the market disruption caused by the COVID-19 pandemic and the uncertainty surrounding its continued adverse economic impact, as discussed above under “COVID-19 Developments”.</w:t>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firstLine="438"/>
        <w:spacing w:after="0" w:line="25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June 30, 2020, in accordance with the 1940 Act, with certain limited exceptions, we are only allowed to borrow amounts such that we are in compliance with a 150% asset coverage ratio requirement after such</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borrowing. This “Liquidity and Capital Resources” section should be read in conjunction with the “COVID-19 Developments” section above.</w:t>
      </w:r>
    </w:p>
    <w:p>
      <w:pPr>
        <w:spacing w:after="0" w:line="163" w:lineRule="exact"/>
        <w:rPr>
          <w:sz w:val="20"/>
          <w:szCs w:val="20"/>
          <w:color w:val="auto"/>
        </w:rPr>
      </w:pPr>
    </w:p>
    <w:p>
      <w:pPr>
        <w:ind w:right="120" w:firstLine="438"/>
        <w:spacing w:after="0" w:line="255" w:lineRule="auto"/>
        <w:rPr>
          <w:sz w:val="20"/>
          <w:szCs w:val="20"/>
          <w:color w:val="auto"/>
        </w:rPr>
      </w:pPr>
      <w:r>
        <w:rPr>
          <w:rFonts w:ascii="Arial" w:cs="Arial" w:eastAsia="Arial" w:hAnsi="Arial"/>
          <w:sz w:val="13"/>
          <w:szCs w:val="13"/>
          <w:color w:val="auto"/>
        </w:rPr>
        <w:t>On April 5, 2018, our board of directors approved the application of the modified asset coverage requirements set forth in Section 61(a)(2) of the 1940 Act, as amended by the Consolidated Appropriations Act of 2018 (which includes the SBCAA). As a result, the asset coverage requirement applicable to us for senior securities was reduced from 200% (i.e., $1 of debt outstanding for each $1 of equity) to 150% (i.e., $2 of debt outstanding for each $1 of equity), effective as of April 5, 2019, subject to compliance with certain disclosure requirements. As of June 30, 2020 and September 30, 2019, our asset coverage ratio, as computed in accordance with the 1940 Act, was 162% and 179%, respectively.</w:t>
      </w:r>
    </w:p>
    <w:p>
      <w:pPr>
        <w:spacing w:after="0" w:line="107"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The annualized weighted average cost of debt for the nine months ended June 30, 2020 and 2019, inclusive of the fee on the undrawn commitment on the Credit Facility, amendment costs and debt issuance costs, was 3.9% and 5.3%, respectively (excluding amendment and debt issuance costs, amounts were 3.9% and 4.4%, respectively). As of June 30, 2020 and September 30, 2019, we had $168.4 million and $254.7 million of unused borrowing capacity under the Credit Facility, respectively, subject to leverage and borrowing base restrictions.</w:t>
      </w:r>
    </w:p>
    <w:p>
      <w:pPr>
        <w:spacing w:after="0" w:line="101" w:lineRule="exact"/>
        <w:rPr>
          <w:sz w:val="20"/>
          <w:szCs w:val="20"/>
          <w:color w:val="auto"/>
        </w:rPr>
      </w:pPr>
    </w:p>
    <w:p>
      <w:pPr>
        <w:ind w:right="80" w:firstLine="438"/>
        <w:spacing w:after="0" w:line="255" w:lineRule="auto"/>
        <w:rPr>
          <w:sz w:val="20"/>
          <w:szCs w:val="20"/>
          <w:color w:val="auto"/>
        </w:rPr>
      </w:pPr>
      <w:r>
        <w:rPr>
          <w:rFonts w:ascii="Arial" w:cs="Arial" w:eastAsia="Arial" w:hAnsi="Arial"/>
          <w:sz w:val="13"/>
          <w:szCs w:val="13"/>
          <w:color w:val="auto"/>
        </w:rPr>
        <w:t>Funding I’s multi-currency Credit Facility with the Lenders was $520 million as of June 30, 2020, subject to satisfaction of certain conditions and regulatory restrictions that the 1940 Act imposes on us as a BDC, has an interest rate spread above LIBOR (or an alternative risk-free floating interest rate index) of 200 basis points, a maturity date of October 2023 and a revolving period that ends in October 2021. As of June 30, 2020 and September 30, 2019, Funding I had $351.6 million and 265.3 million of outstanding borrowings under the Credit Facility, respectively. The Credit Facility had a weighted average interest rate of 2.2% and 4.1%, exclusive of the fee on undrawn commitments as of June 30, 2020 and September 30, 2019, respectively.</w:t>
      </w:r>
    </w:p>
    <w:p>
      <w:pPr>
        <w:spacing w:after="0" w:line="107" w:lineRule="exact"/>
        <w:rPr>
          <w:sz w:val="20"/>
          <w:szCs w:val="20"/>
          <w:color w:val="auto"/>
        </w:rPr>
      </w:pPr>
    </w:p>
    <w:p>
      <w:pPr>
        <w:jc w:val="both"/>
        <w:ind w:firstLine="438"/>
        <w:spacing w:after="0" w:line="233" w:lineRule="auto"/>
        <w:rPr>
          <w:sz w:val="20"/>
          <w:szCs w:val="20"/>
          <w:color w:val="auto"/>
        </w:rPr>
      </w:pPr>
      <w:r>
        <w:rPr>
          <w:rFonts w:ascii="Arial" w:cs="Arial" w:eastAsia="Arial" w:hAnsi="Arial"/>
          <w:sz w:val="14"/>
          <w:szCs w:val="14"/>
          <w:color w:val="auto"/>
        </w:rPr>
        <w:t>During the revolving period, the Credit Facility bears interest at LIBOR (or an alternative risk-free floating interest rate index) plus 200 basis points and, after the revolving period, the rate will reset to LIBOR (or an alternative risk-free floating interest rate index) plus 425 basis points for the remaining two years, maturing in October 2023.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7"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The Credit Facility contains covenants, including but not limited to, restrictions of loan size, currency types and amounts,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The Credit Facility compliance reporting is prepared on a basis of accounting other than GAAP. As of June 30, 2020, we were in compliance with the covenants relating to the Credit Facility.</w:t>
      </w:r>
    </w:p>
    <w:p>
      <w:pPr>
        <w:spacing w:after="0" w:line="117"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color w:val="auto"/>
        </w:rPr>
        <w:t>We own 100% of the equity interest in Funding I and treat the indebtedness of Funding I as our leverage. Our Investment Adviser serves as collateral manager to Funding I under the Credit Facility.</w:t>
      </w:r>
    </w:p>
    <w:p>
      <w:pPr>
        <w:spacing w:after="0" w:line="10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Lenders,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color w:val="auto"/>
        </w:rPr>
        <w:t>irrevocably directed that the management fee owed with respect to such services is to be paid to the Company so long as the Investment Adviser remains the collateral manager.</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3"/>
          <w:szCs w:val="13"/>
          <w:color w:val="auto"/>
        </w:rPr>
        <w:t>In November 2017, we issued $138.6 million of our 2023 Notes. The 2023 Notes were issued pursuant to a deed of trust between the Company and Mishmeret Trust Company, Ltd., as</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trustee.</w:t>
      </w:r>
    </w:p>
    <w:p>
      <w:pPr>
        <w:spacing w:after="0" w:line="124"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The 2023 Notes currently pay interest at a rate of 4.3% per year. Interest on the 2023 Notes is payable semi-annually in arrears on June 15 and December 15 of each year, commencing June 15, 2018. The principal on the 2023 Notes will be payable in four annual installments as follows: 15% of the original principal amount on December 15, 2020, 15% of the original principal amount on December 15, 2021, 15% of the original principal amount on December 15, 2022 and 55% of the original principal amount on December 15, 2023.</w:t>
      </w:r>
    </w:p>
    <w:p>
      <w:pPr>
        <w:spacing w:after="0" w:line="101" w:lineRule="exact"/>
        <w:rPr>
          <w:sz w:val="20"/>
          <w:szCs w:val="20"/>
          <w:color w:val="auto"/>
        </w:rPr>
      </w:pPr>
    </w:p>
    <w:p>
      <w:pPr>
        <w:ind w:right="100" w:firstLine="438"/>
        <w:spacing w:after="0" w:line="233" w:lineRule="auto"/>
        <w:rPr>
          <w:sz w:val="20"/>
          <w:szCs w:val="20"/>
          <w:color w:val="auto"/>
        </w:rPr>
      </w:pPr>
      <w:r>
        <w:rPr>
          <w:rFonts w:ascii="Arial" w:cs="Arial" w:eastAsia="Arial" w:hAnsi="Arial"/>
          <w:sz w:val="14"/>
          <w:szCs w:val="14"/>
          <w:color w:val="auto"/>
        </w:rPr>
        <w:t>The 2023 Notes are general, unsecured obligations, rank equal in right of payment with all of our existing and future senior unsecured indebtedness and are generally redeemable at our option. The deed of trust governing the 2023 Notes includes certain customary covenants, including minimum equity requirements, and events of default. Please refer to the deed of trust filed as Exhibit (d)(8) to the post-effective amendment to our registration statement filed on December 13, 2017 for more information. The 2023 Notes are rated ilA- by S&amp;P Global Ratings Maalot Ltd. and are listed on the TASE. In connection with this offering, we have dual listed our common stock on the TASE.</w:t>
      </w:r>
    </w:p>
    <w:p>
      <w:pPr>
        <w:spacing w:after="0" w:line="117" w:lineRule="exact"/>
        <w:rPr>
          <w:sz w:val="20"/>
          <w:szCs w:val="20"/>
          <w:color w:val="auto"/>
        </w:rPr>
      </w:pPr>
    </w:p>
    <w:p>
      <w:pPr>
        <w:ind w:right="340" w:firstLine="438"/>
        <w:spacing w:after="0" w:line="253" w:lineRule="auto"/>
        <w:rPr>
          <w:sz w:val="20"/>
          <w:szCs w:val="20"/>
          <w:color w:val="auto"/>
        </w:rPr>
      </w:pPr>
      <w:r>
        <w:rPr>
          <w:rFonts w:ascii="Arial" w:cs="Arial" w:eastAsia="Arial" w:hAnsi="Arial"/>
          <w:sz w:val="14"/>
          <w:szCs w:val="14"/>
          <w:color w:val="auto"/>
        </w:rPr>
        <w:t>The 2023 Notes have not been and will not be registered under the Securities Act and may not be offered or sold in the United States absent registration under the Securities Act or in transactions exempt from, or not subject to, such registration requirements.</w:t>
      </w:r>
    </w:p>
    <w:p>
      <w:pPr>
        <w:spacing w:after="0" w:line="106" w:lineRule="exact"/>
        <w:rPr>
          <w:sz w:val="20"/>
          <w:szCs w:val="20"/>
          <w:color w:val="auto"/>
        </w:rPr>
      </w:pPr>
    </w:p>
    <w:p>
      <w:pPr>
        <w:ind w:right="40" w:firstLine="438"/>
        <w:spacing w:after="0" w:line="152" w:lineRule="exact"/>
        <w:rPr>
          <w:sz w:val="20"/>
          <w:szCs w:val="20"/>
          <w:color w:val="auto"/>
        </w:rPr>
      </w:pPr>
      <w:r>
        <w:rPr>
          <w:rFonts w:ascii="Arial" w:cs="Arial" w:eastAsia="Arial" w:hAnsi="Arial"/>
          <w:sz w:val="13"/>
          <w:szCs w:val="13"/>
          <w:color w:val="auto"/>
        </w:rPr>
        <w:t>In September 2019, the Securitization Issuers completed the Debt Securitization. The 2031 Asset-Backed Debt is secured by the middle market loans, participation interests in middle market loans and other assets of the Securitization Issuer. The Debt Securitization was executed through (A) a private placement of: (i) $78.5 million Class A-1 Senior Secured Floating Rate Notes maturing 2031, which bear interest at the three-month LIBOR plus 1.8%, (ii) $15.0 million Class A-2 Senior Secured Fixed Rate Notes due 2031, which bear interest at 3.7%, (iii) $14.0 million Class B-1 Senior Secured Floating Rate Notes due 2031, which bear interest at the three-month LIBOR plus 2.9%, (iv) $16.0 million Class B-2 Senior Secured Fixed Rate Notes due 2031, which bear interest at 4.3%, (v) $19.0 million Class C</w:t>
      </w:r>
      <w:r>
        <w:rPr>
          <w:rFonts w:ascii="MS PGothic" w:cs="MS PGothic" w:eastAsia="MS PGothic" w:hAnsi="MS PGothic"/>
          <w:sz w:val="13"/>
          <w:szCs w:val="13"/>
          <w:color w:val="auto"/>
        </w:rPr>
        <w:t>‑</w:t>
      </w:r>
      <w:r>
        <w:rPr>
          <w:rFonts w:ascii="Arial" w:cs="Arial" w:eastAsia="Arial" w:hAnsi="Arial"/>
          <w:sz w:val="13"/>
          <w:szCs w:val="13"/>
          <w:color w:val="auto"/>
        </w:rPr>
        <w:t>1 Secured Deferrable Floating Rate Notes due 2031, which bear interest at the three-month LIBOR plus 4.0%, (vi) $8.0 million Class C-2 Secured Deferrable Fixed Rate Notes due 2031, which bear interest at 5.4%, and (vii) $18.0 million Class D Secured Deferrable Floating Rate Notes due 2031, which bear interest at the three-month LIBOR plus 4.8% and (B) the borrowing of $77.5 million Class A</w:t>
      </w:r>
      <w:r>
        <w:rPr>
          <w:rFonts w:ascii="MS PGothic" w:cs="MS PGothic" w:eastAsia="MS PGothic" w:hAnsi="MS PGothic"/>
          <w:sz w:val="13"/>
          <w:szCs w:val="13"/>
          <w:color w:val="auto"/>
        </w:rPr>
        <w:t>‑</w:t>
      </w:r>
      <w:r>
        <w:rPr>
          <w:rFonts w:ascii="Arial" w:cs="Arial" w:eastAsia="Arial" w:hAnsi="Arial"/>
          <w:sz w:val="13"/>
          <w:szCs w:val="13"/>
          <w:color w:val="auto"/>
        </w:rPr>
        <w:t>1 Senior Secured Floating Rate Loans due 2031, which bear interest at the three-month LIBOR plus 1.8%, under a credit agreement by and among the Securitization Issuers, as borrowers, various financial institutions, as lenders, and U.S. Bank National Association, as collateral agent and as loan agent. The 2031 Asset-Backed Debt is scheduled to mature on October 15, 2031. As of June 30, 2020 and September 30, 2019, the Company had $228.0 million of 2031 Asset-Backed Debt outstanding, respectively, with a weighted average interest rate of 3.5% and 4.2%.</w:t>
      </w:r>
    </w:p>
    <w:p>
      <w:pPr>
        <w:spacing w:after="0" w:line="120"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On the closing date of the Debt Securitization, in consideration of our transfer to the Securitization Issuer of the initial closing date loan portfolio, which included loans distributed to us by our wholly owned subsidiary, the Securitization Issuer transferred to us 100% of the Preferred Shares of the Securitization Issuer, 100% of the Class D Secured Deferrable Floating Rate Notes issued by the Securitization Issuer, and a portion of the net cash proceeds received from the sale of the 2031 Asset-Backed Debt. The Preferred Shares of the Securitization Issuer do not bear interest and had a stated value of $55.4 million at the closing of the Debt Securitization.</w:t>
      </w:r>
    </w:p>
    <w:p>
      <w:pPr>
        <w:spacing w:after="0" w:line="117" w:lineRule="exact"/>
        <w:rPr>
          <w:sz w:val="20"/>
          <w:szCs w:val="20"/>
          <w:color w:val="auto"/>
        </w:rPr>
      </w:pPr>
    </w:p>
    <w:p>
      <w:pPr>
        <w:jc w:val="both"/>
        <w:ind w:right="220" w:firstLine="438"/>
        <w:spacing w:after="0" w:line="238" w:lineRule="auto"/>
        <w:rPr>
          <w:sz w:val="20"/>
          <w:szCs w:val="20"/>
          <w:color w:val="auto"/>
        </w:rPr>
      </w:pPr>
      <w:r>
        <w:rPr>
          <w:rFonts w:ascii="Arial" w:cs="Arial" w:eastAsia="Arial" w:hAnsi="Arial"/>
          <w:sz w:val="14"/>
          <w:szCs w:val="14"/>
          <w:color w:val="auto"/>
        </w:rPr>
        <w:t>The 2031 Asset-Backed Debt constitutes secured obligations of the Securitization Issuers, and the indenture governing the 2031 Asset-Backed Debt includes customary covenants and events of default. The 2031 Asset-Backed Debt has not been, and will not be, registered under the Securities Act or any state securities or “blue sky” laws and may not be offered or sold in the United States absent registration with the SEC or an applicable exemption from registration.</w:t>
      </w:r>
    </w:p>
    <w:p>
      <w:pPr>
        <w:spacing w:after="0" w:line="115" w:lineRule="exact"/>
        <w:rPr>
          <w:sz w:val="20"/>
          <w:szCs w:val="20"/>
          <w:color w:val="auto"/>
        </w:rPr>
      </w:pPr>
    </w:p>
    <w:p>
      <w:pPr>
        <w:ind w:right="400" w:firstLine="438"/>
        <w:spacing w:after="0" w:line="253" w:lineRule="auto"/>
        <w:rPr>
          <w:sz w:val="20"/>
          <w:szCs w:val="20"/>
          <w:color w:val="auto"/>
        </w:rPr>
      </w:pPr>
      <w:r>
        <w:rPr>
          <w:rFonts w:ascii="Arial" w:cs="Arial" w:eastAsia="Arial" w:hAnsi="Arial"/>
          <w:sz w:val="14"/>
          <w:szCs w:val="14"/>
          <w:color w:val="auto"/>
        </w:rPr>
        <w:t>Our Investment Adviser serves as collateral manager to the Securitization Issuer pursuant to the Collateral Management Agreement. For so long as our Investment Adviser serves as collateral manager, it will elect to irrevocably waive any collateral management fee to which it may be entitled under the Collateral Management Agreement.</w:t>
      </w:r>
    </w:p>
    <w:p>
      <w:pPr>
        <w:spacing w:after="0" w:line="106" w:lineRule="exact"/>
        <w:rPr>
          <w:sz w:val="20"/>
          <w:szCs w:val="20"/>
          <w:color w:val="auto"/>
        </w:rPr>
      </w:pPr>
    </w:p>
    <w:p>
      <w:pPr>
        <w:ind w:right="20" w:firstLine="438"/>
        <w:spacing w:after="0" w:line="233" w:lineRule="auto"/>
        <w:rPr>
          <w:sz w:val="20"/>
          <w:szCs w:val="20"/>
          <w:color w:val="auto"/>
        </w:rPr>
      </w:pPr>
      <w:r>
        <w:rPr>
          <w:rFonts w:ascii="Arial" w:cs="Arial" w:eastAsia="Arial" w:hAnsi="Arial"/>
          <w:sz w:val="14"/>
          <w:szCs w:val="14"/>
          <w:color w:val="auto"/>
        </w:rPr>
        <w:t>We may raise equity or debt capital through both registered offerings off our shelf registration statement and private offerings of securities, securitizing a portion of our investments among other considerations or mergers and acquisitions. Furthermore, the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 For both the nine months ended June 30, 2020 and 2019, we did not issue any shares.</w:t>
      </w:r>
    </w:p>
    <w:p>
      <w:pPr>
        <w:spacing w:after="0" w:line="117" w:lineRule="exact"/>
        <w:rPr>
          <w:sz w:val="20"/>
          <w:szCs w:val="20"/>
          <w:color w:val="auto"/>
        </w:rPr>
      </w:pPr>
    </w:p>
    <w:p>
      <w:pPr>
        <w:ind w:right="60" w:firstLine="438"/>
        <w:spacing w:after="0" w:line="253" w:lineRule="auto"/>
        <w:rPr>
          <w:sz w:val="20"/>
          <w:szCs w:val="20"/>
          <w:color w:val="auto"/>
        </w:rPr>
      </w:pPr>
      <w:r>
        <w:rPr>
          <w:rFonts w:ascii="Arial" w:cs="Arial" w:eastAsia="Arial" w:hAnsi="Arial"/>
          <w:sz w:val="14"/>
          <w:szCs w:val="14"/>
          <w:color w:val="auto"/>
        </w:rPr>
        <w:t>As of June 30, 2020 and September 30, 2019, we had cash equivalents of $53.4 million and $63.3 million,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20" w:firstLine="438"/>
        <w:spacing w:after="0" w:line="238" w:lineRule="auto"/>
        <w:rPr>
          <w:sz w:val="20"/>
          <w:szCs w:val="20"/>
          <w:color w:val="auto"/>
        </w:rPr>
      </w:pPr>
      <w:r>
        <w:rPr>
          <w:rFonts w:ascii="Arial" w:cs="Arial" w:eastAsia="Arial" w:hAnsi="Arial"/>
          <w:sz w:val="14"/>
          <w:szCs w:val="14"/>
          <w:color w:val="auto"/>
        </w:rPr>
        <w:t>Our operating activities used cash of $63.0 million for the nine months ended June 30, 2020, and our financing activities provided cash of $53.1 million for the same period. Our operating activities used cash primarily for our investment activities and our financing activities provided cash primarily from draws on our credit facility, partially offset by distributions paid to stockholders.</w:t>
      </w:r>
    </w:p>
    <w:p>
      <w:pPr>
        <w:spacing w:after="0" w:line="115" w:lineRule="exact"/>
        <w:rPr>
          <w:sz w:val="20"/>
          <w:szCs w:val="20"/>
          <w:color w:val="auto"/>
        </w:rPr>
      </w:pPr>
    </w:p>
    <w:p>
      <w:pPr>
        <w:ind w:right="60" w:firstLine="438"/>
        <w:spacing w:after="0" w:line="238" w:lineRule="auto"/>
        <w:rPr>
          <w:sz w:val="20"/>
          <w:szCs w:val="20"/>
          <w:color w:val="auto"/>
        </w:rPr>
      </w:pPr>
      <w:r>
        <w:rPr>
          <w:rFonts w:ascii="Arial" w:cs="Arial" w:eastAsia="Arial" w:hAnsi="Arial"/>
          <w:sz w:val="14"/>
          <w:szCs w:val="14"/>
          <w:color w:val="auto"/>
        </w:rPr>
        <w:t>Our operating activities used cash of $96.0 million for the nine months ended June 30, 2019 and our financing activities provided cash of $48.4 million for the same period. Our operating activities used cash primarily for our investment activities and our financing activities provided cash primarily from draws on credit facility, partially offset by for distributions paid to stockholders.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PennantPark Senior Secured Loan Fund I LLC</w:t>
      </w:r>
    </w:p>
    <w:p>
      <w:pPr>
        <w:spacing w:after="0" w:line="113"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In May 2017, we and Kemper formed PSSL, an unconsolidated joint venture. PSSL invests primarily in middle-market and other corporate debt securities consistent with our strategy. PSSL was formed as a Delaware limited liability company. As of June 30, 2020 and September 30, 2019, PSSL had total assets of $471.7 million and $506.7 million, respectively. As of the same dates, we and Kemper had remaining commitments to fund first lien secured debt and equity interests in PSSL in an aggregate amount of $28.5 million and $10.5 million, respectively. PSSL invests in portfolio companies in the same industries in which we may directly invest.</w:t>
      </w:r>
    </w:p>
    <w:p>
      <w:pPr>
        <w:spacing w:after="0" w:line="90" w:lineRule="exact"/>
        <w:rPr>
          <w:sz w:val="20"/>
          <w:szCs w:val="20"/>
          <w:color w:val="auto"/>
        </w:rPr>
      </w:pPr>
    </w:p>
    <w:p>
      <w:pPr>
        <w:jc w:val="both"/>
        <w:ind w:right="20" w:firstLine="438"/>
        <w:spacing w:after="0" w:line="233" w:lineRule="auto"/>
        <w:rPr>
          <w:sz w:val="20"/>
          <w:szCs w:val="20"/>
          <w:color w:val="auto"/>
        </w:rPr>
      </w:pPr>
      <w:r>
        <w:rPr>
          <w:rFonts w:ascii="Arial" w:cs="Arial" w:eastAsia="Arial" w:hAnsi="Arial"/>
          <w:sz w:val="14"/>
          <w:szCs w:val="14"/>
          <w:color w:val="auto"/>
        </w:rPr>
        <w:t>We provide capital to PSSL in the form of first lien secured debt and equity interests. As of June 30, 2020 and September 30, 2019, we and Kemper owned 87.5% and 12.5%, respectively, of each of the outstanding first lien secured debt and equity interests. As of the same dates, our investment in PSSL consisted of first lien secured debt of $123.4 million (additional $17.5 million unfunded) and $122.2 million (additional $6.4 million unfunded), respectively, and equity interests of $52.9 million (additional $7.4 million unfunded) and $52.4 million (additional $2.8 million unfunded), respectively.</w:t>
      </w:r>
    </w:p>
    <w:p>
      <w:pPr>
        <w:spacing w:after="0" w:line="117" w:lineRule="exact"/>
        <w:rPr>
          <w:sz w:val="20"/>
          <w:szCs w:val="20"/>
          <w:color w:val="auto"/>
        </w:rPr>
      </w:pPr>
    </w:p>
    <w:p>
      <w:pPr>
        <w:ind w:right="40" w:firstLine="438"/>
        <w:spacing w:after="0" w:line="229" w:lineRule="auto"/>
        <w:rPr>
          <w:sz w:val="20"/>
          <w:szCs w:val="20"/>
          <w:color w:val="auto"/>
        </w:rPr>
      </w:pPr>
      <w:r>
        <w:rPr>
          <w:rFonts w:ascii="Arial" w:cs="Arial" w:eastAsia="Arial" w:hAnsi="Arial"/>
          <w:sz w:val="14"/>
          <w:szCs w:val="14"/>
          <w:color w:val="auto"/>
        </w:rPr>
        <w:t>We and Kemper each appointed two members to PSSL’s four-person board of directors and investment committee. All material decisions with respect to PSSL, including those involving its investment portfolio, require unanimous approval of a quorum of the board of directors or investment committee. Quorum is defined as (i) the presence of two members of the board of directors or investment committee, provided that at least one individual is present that was elected, designated or appointed by each member; (ii) the presence of three members of the board of directors or investment committee, provided that the individual that was elected, designated or appointed by the member with only one individual present shall be entitled to cast two votes on each matter; and (iii) the presence of four members of the board of directors or investment committee, provided that two individuals are present that were elected, designated or appointed by each member.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39" w:name="page40"/>
    <w:bookmarkEnd w:id="39"/>
    <w:p>
      <w:pPr>
        <w:ind w:right="300" w:firstLine="438"/>
        <w:spacing w:after="0" w:line="253" w:lineRule="auto"/>
        <w:rPr>
          <w:sz w:val="20"/>
          <w:szCs w:val="20"/>
          <w:color w:val="auto"/>
        </w:rPr>
      </w:pPr>
      <w:r>
        <w:rPr>
          <w:rFonts w:ascii="Arial" w:cs="Arial" w:eastAsia="Arial" w:hAnsi="Arial"/>
          <w:sz w:val="14"/>
          <w:szCs w:val="14"/>
          <w:color w:val="auto"/>
        </w:rPr>
        <w:t>Additionally, PSSL has entered into the PSSL Credit Facility, with Capital One, N.A. through its wholly-owned subsidiary, PSSL Subsidiary, which as of June 30, 2020 allowed PSSL Subsidiary to borrow up to $420.0 million at any one time outstanding, subject to leverage and borrowing base restrictions.</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Below is a summary of PSSL’s portfolio at fair value: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September 30, 2019</w:t>
            </w:r>
          </w:p>
        </w:tc>
        <w:tc>
          <w:tcPr>
            <w:tcW w:w="20" w:type="dxa"/>
            <w:vAlign w:val="bottom"/>
          </w:tcPr>
          <w:p>
            <w:pPr>
              <w:spacing w:after="0"/>
              <w:rPr>
                <w:sz w:val="14"/>
                <w:szCs w:val="14"/>
                <w:color w:val="auto"/>
              </w:rPr>
            </w:pPr>
          </w:p>
        </w:tc>
      </w:tr>
      <w:tr>
        <w:trPr>
          <w:trHeight w:val="156"/>
        </w:trPr>
        <w:tc>
          <w:tcPr>
            <w:tcW w:w="42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29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458,456,034</w:t>
            </w: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6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488,549,847</w:t>
            </w:r>
          </w:p>
        </w:tc>
        <w:tc>
          <w:tcPr>
            <w:tcW w:w="14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Weighted average yield on debt investments</w:t>
            </w:r>
          </w:p>
        </w:tc>
        <w:tc>
          <w:tcPr>
            <w:tcW w:w="2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Number of portfolio companies in PSSL</w:t>
            </w:r>
          </w:p>
        </w:tc>
        <w:tc>
          <w:tcPr>
            <w:tcW w:w="29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49</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Largest portfolio company investment</w:t>
            </w:r>
          </w:p>
        </w:tc>
        <w:tc>
          <w:tcPr>
            <w:tcW w:w="318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21,272,781</w:t>
            </w:r>
          </w:p>
        </w:tc>
        <w:tc>
          <w:tcPr>
            <w:tcW w:w="220" w:type="dxa"/>
            <w:vAlign w:val="bottom"/>
          </w:tcPr>
          <w:p>
            <w:pPr>
              <w:spacing w:after="0"/>
              <w:rPr>
                <w:sz w:val="14"/>
                <w:szCs w:val="14"/>
                <w:color w:val="auto"/>
              </w:rPr>
            </w:pPr>
          </w:p>
        </w:tc>
        <w:tc>
          <w:tcPr>
            <w:tcW w:w="3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22,026,186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Total of five largest portfolio company investments</w:t>
            </w:r>
          </w:p>
        </w:tc>
        <w:tc>
          <w:tcPr>
            <w:tcW w:w="3180" w:type="dxa"/>
            <w:vAlign w:val="bottom"/>
            <w:gridSpan w:val="2"/>
            <w:shd w:val="clear" w:color="auto" w:fill="CCECFF"/>
          </w:tcPr>
          <w:p>
            <w:pPr>
              <w:jc w:val="right"/>
              <w:ind w:right="14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93,722,506</w:t>
            </w:r>
          </w:p>
        </w:tc>
        <w:tc>
          <w:tcPr>
            <w:tcW w:w="220" w:type="dxa"/>
            <w:vAlign w:val="bottom"/>
            <w:shd w:val="clear" w:color="auto" w:fill="CCECFF"/>
          </w:tcPr>
          <w:p>
            <w:pPr>
              <w:spacing w:after="0"/>
              <w:rPr>
                <w:sz w:val="14"/>
                <w:szCs w:val="14"/>
                <w:color w:val="auto"/>
              </w:rPr>
            </w:pPr>
          </w:p>
        </w:tc>
        <w:tc>
          <w:tcPr>
            <w:tcW w:w="300" w:type="dxa"/>
            <w:vAlign w:val="bottom"/>
            <w:gridSpan w:val="2"/>
            <w:shd w:val="clear" w:color="auto" w:fill="CCEC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102,872,275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r>
      <w:tr>
        <w:trPr>
          <w:trHeight w:val="542"/>
        </w:trPr>
        <w:tc>
          <w:tcPr>
            <w:tcW w:w="4260" w:type="dxa"/>
            <w:vAlign w:val="bottom"/>
          </w:tcPr>
          <w:p>
            <w:pPr>
              <w:spacing w:after="0"/>
              <w:rPr>
                <w:sz w:val="24"/>
                <w:szCs w:val="24"/>
                <w:color w:val="auto"/>
              </w:rPr>
            </w:pPr>
          </w:p>
        </w:tc>
        <w:tc>
          <w:tcPr>
            <w:tcW w:w="2920" w:type="dxa"/>
            <w:vAlign w:val="bottom"/>
          </w:tcPr>
          <w:p>
            <w:pPr>
              <w:jc w:val="right"/>
              <w:ind w:right="1408"/>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418" w:right="319" w:bottom="1440" w:gutter="0" w:footer="0" w:header="0"/>
        </w:sectPr>
      </w:pPr>
    </w:p>
    <w:bookmarkStart w:id="40" w:name="page41"/>
    <w:bookmarkEnd w:id="40"/>
    <w:p>
      <w:pPr>
        <w:ind w:left="440"/>
        <w:spacing w:after="0"/>
        <w:rPr>
          <w:sz w:val="20"/>
          <w:szCs w:val="20"/>
          <w:color w:val="auto"/>
        </w:rPr>
      </w:pPr>
      <w:r>
        <w:rPr>
          <w:rFonts w:ascii="Arial" w:cs="Arial" w:eastAsia="Arial" w:hAnsi="Arial"/>
          <w:sz w:val="14"/>
          <w:szCs w:val="14"/>
          <w:color w:val="auto"/>
        </w:rPr>
        <w:t>Below is a listing of PSSL’s individual investments as of June 30, 2020:</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83"/>
              </w:rPr>
              <w:t>Basis Point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Current</w:t>
            </w:r>
          </w:p>
        </w:tc>
        <w:tc>
          <w:tcPr>
            <w:tcW w:w="18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Spread Above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Maturity</w:t>
            </w: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2"/>
              </w:rPr>
              <w:t>Industry</w:t>
            </w:r>
          </w:p>
        </w:tc>
        <w:tc>
          <w:tcPr>
            <w:tcW w:w="74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Coupon</w:t>
            </w:r>
          </w:p>
        </w:tc>
        <w:tc>
          <w:tcPr>
            <w:tcW w:w="1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9"/>
        </w:trPr>
        <w:tc>
          <w:tcPr>
            <w:tcW w:w="30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First Lien Secured Debt—1,089.5%</w:t>
            </w:r>
          </w:p>
        </w:tc>
        <w:tc>
          <w:tcPr>
            <w:tcW w:w="120" w:type="dxa"/>
            <w:vAlign w:val="bottom"/>
            <w:tcBorders>
              <w:top w:val="single" w:sz="8" w:color="CCECFF"/>
            </w:tcBorders>
            <w:shd w:val="clear" w:color="auto" w:fill="CCECFF"/>
          </w:tcPr>
          <w:p>
            <w:pPr>
              <w:spacing w:after="0"/>
              <w:rPr>
                <w:sz w:val="11"/>
                <w:szCs w:val="11"/>
                <w:color w:val="auto"/>
              </w:rPr>
            </w:pPr>
          </w:p>
        </w:tc>
        <w:tc>
          <w:tcPr>
            <w:tcW w:w="5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Altamira Technologies,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07/24/2025</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L+600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4,887,405</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4,823,367</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4,667,472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01/02/2024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Transportation: Consumer</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7,690,117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7,616,012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7,459,414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By Light Professional IT Services,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05/16/2022</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7.25%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L+625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13,480,941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13,306,023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13,076,513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11/14/2023</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7.50%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11,645,833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11,568,897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11,206,785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Cardenas Markets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11/29/2023</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7,292,191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7,259,477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7,219,269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02/12/2024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6.25%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10,344,346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10,336,692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10,137,459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Challenger Performance Optimization,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08/31/2023</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9,932,689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9,858,472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9,088,411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05/01/2023</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179,762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Country Fresh Holdings, LLC (Revolver)</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05/01/2023</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450,110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450,110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450,110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10/19/2022</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6.75%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8,859,341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8,770,499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8,682,155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Douglas Sewer Intermediate,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10/19/2022</w:t>
            </w:r>
          </w:p>
        </w:tc>
        <w:tc>
          <w:tcPr>
            <w:tcW w:w="2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7,422,020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7,385,533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7,273,580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DRS Holdings III,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11/03/2025</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6.75%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8,042,356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7,968,575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7,861,403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05/31/2024</w:t>
            </w:r>
          </w:p>
        </w:tc>
        <w:tc>
          <w:tcPr>
            <w:tcW w:w="220" w:type="dxa"/>
            <w:vAlign w:val="bottom"/>
          </w:tcPr>
          <w:p>
            <w:pPr>
              <w:spacing w:after="0"/>
              <w:rPr>
                <w:sz w:val="12"/>
                <w:szCs w:val="12"/>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7"/>
              </w:rPr>
              <w:t>Banking, Finance, Insurance and Real Estate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5.87%</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L+525</w:t>
            </w:r>
          </w:p>
        </w:tc>
        <w:tc>
          <w:tcPr>
            <w:tcW w:w="320" w:type="dxa"/>
            <w:vAlign w:val="bottom"/>
            <w:gridSpan w:val="2"/>
          </w:tcPr>
          <w:p>
            <w:pPr>
              <w:ind w:left="100"/>
              <w:spacing w:after="0"/>
              <w:rPr>
                <w:sz w:val="20"/>
                <w:szCs w:val="20"/>
                <w:color w:val="auto"/>
              </w:rPr>
            </w:pPr>
            <w:r>
              <w:rPr>
                <w:rFonts w:ascii="Arial" w:cs="Arial" w:eastAsia="Arial" w:hAnsi="Arial"/>
                <w:sz w:val="11"/>
                <w:szCs w:val="11"/>
                <w:color w:val="auto"/>
              </w:rPr>
              <w:t>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7,399,838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6,540,750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GCOM Software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11/14/2022</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High Tech Industries</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7.75%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16,792,056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16,699,226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16,590,551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Good2Grow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11/18/2024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5.32%</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L+425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11,329,248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11,241,281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11,204,627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GSM Holdings,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06/03/2024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5.56%</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19,569,810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19,444,957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19,080,565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IMIA Holdings,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10/28/2024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L+450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12,143,568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12,095,250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12,022,132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06/27/2023</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8.82%</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L+737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9,315,185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9,235,610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9,222,033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12/12/2023</w:t>
            </w:r>
          </w:p>
        </w:tc>
        <w:tc>
          <w:tcPr>
            <w:tcW w:w="220" w:type="dxa"/>
            <w:vAlign w:val="bottom"/>
          </w:tcPr>
          <w:p>
            <w:pPr>
              <w:spacing w:after="0"/>
              <w:rPr>
                <w:sz w:val="12"/>
                <w:szCs w:val="12"/>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Wholesale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5.75%</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L+475</w:t>
            </w:r>
          </w:p>
        </w:tc>
        <w:tc>
          <w:tcPr>
            <w:tcW w:w="320" w:type="dxa"/>
            <w:vAlign w:val="bottom"/>
            <w:gridSpan w:val="2"/>
          </w:tcPr>
          <w:p>
            <w:pPr>
              <w:ind w:left="100"/>
              <w:spacing w:after="0"/>
              <w:rPr>
                <w:sz w:val="20"/>
                <w:szCs w:val="20"/>
                <w:color w:val="auto"/>
              </w:rPr>
            </w:pPr>
            <w:r>
              <w:rPr>
                <w:rFonts w:ascii="Arial" w:cs="Arial" w:eastAsia="Arial" w:hAnsi="Arial"/>
                <w:sz w:val="11"/>
                <w:szCs w:val="11"/>
                <w:color w:val="auto"/>
              </w:rPr>
              <w:t>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11,004,260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9,988,758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09/29/2023</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Diversified Consumer Services</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5.75%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L+475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9,368,426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9,368,426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8,993,689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K2 Pure Solutions NoCal, L.P.</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12/20/2023</w:t>
            </w:r>
          </w:p>
        </w:tc>
        <w:tc>
          <w:tcPr>
            <w:tcW w:w="2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8.00%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L+700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19,700,000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19,472,751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19,256,750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Lash Opco, LLC - Term Loan</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12/12/2024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8.75%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L+725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7,312,500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7,109,812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7,041,937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LAV Gear Holdings,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10/31/2024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6.50%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9,850,000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9,773,279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9,393,945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LSF9 Atlantis Holdings,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05/01/2023</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2"/>
              </w:rPr>
              <w:t>Retail</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6,895,493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6,926,485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6,274,899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Manna Pro Products,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12/08/2023</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L+600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6,825,000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6,756,233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6,495,352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01/27/2023</w:t>
            </w:r>
          </w:p>
        </w:tc>
        <w:tc>
          <w:tcPr>
            <w:tcW w:w="220" w:type="dxa"/>
            <w:vAlign w:val="bottom"/>
            <w:shd w:val="clear" w:color="auto" w:fill="CCECFF"/>
          </w:tcPr>
          <w:p>
            <w:pPr>
              <w:spacing w:after="0"/>
              <w:rPr>
                <w:sz w:val="12"/>
                <w:szCs w:val="12"/>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Media: Diversified and Production</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0.00%</w:t>
            </w:r>
          </w:p>
        </w:tc>
        <w:tc>
          <w:tcPr>
            <w:tcW w:w="1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88"/>
              </w:rPr>
              <w:t>(5)</w:t>
            </w: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ECFF"/>
          </w:tcPr>
          <w:p>
            <w:pPr>
              <w:ind w:left="100"/>
              <w:spacing w:after="0"/>
              <w:rPr>
                <w:sz w:val="20"/>
                <w:szCs w:val="20"/>
                <w:color w:val="auto"/>
              </w:rPr>
            </w:pPr>
            <w:r>
              <w:rPr>
                <w:rFonts w:ascii="Arial" w:cs="Arial" w:eastAsia="Arial" w:hAnsi="Arial"/>
                <w:sz w:val="11"/>
                <w:szCs w:val="11"/>
                <w:color w:val="auto"/>
              </w:rPr>
              <w:t>C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5,730,254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4,448,922</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3,916,936</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MeritDirect,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05/23/2024</w:t>
            </w:r>
          </w:p>
        </w:tc>
        <w:tc>
          <w:tcPr>
            <w:tcW w:w="2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Media: Advertising, Printing &amp; Publishing</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6.50%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4,875,000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4,831,086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4,655,625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09/28/2022</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5,964,794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5,939,512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5,792,410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New Milani Group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06/06/2024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6.50%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14,700,000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14,598,264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12,980,101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05/14/2024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5.25%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10,768,333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10,660,650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10,660,650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Output Services Group,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03/27/2024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5.50%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L+450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7,823,419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7,845,853</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7,119,311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09/29/2025</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6.07%</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9,817,576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9,738,636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9,130,346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Plant Health Intermediate,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10/19/2022</w:t>
            </w:r>
          </w:p>
        </w:tc>
        <w:tc>
          <w:tcPr>
            <w:tcW w:w="220" w:type="dxa"/>
            <w:vAlign w:val="bottom"/>
          </w:tcPr>
          <w:p>
            <w:pPr>
              <w:spacing w:after="0"/>
              <w:rPr>
                <w:sz w:val="11"/>
                <w:szCs w:val="11"/>
                <w:color w:val="auto"/>
              </w:rPr>
            </w:pPr>
          </w:p>
        </w:tc>
        <w:tc>
          <w:tcPr>
            <w:tcW w:w="2740" w:type="dxa"/>
            <w:vAlign w:val="bottom"/>
            <w:gridSpan w:val="2"/>
          </w:tcPr>
          <w:p>
            <w:pPr>
              <w:jc w:val="center"/>
              <w:ind w:right="140"/>
              <w:spacing w:after="0"/>
              <w:rPr>
                <w:sz w:val="20"/>
                <w:szCs w:val="20"/>
                <w:color w:val="auto"/>
              </w:rPr>
            </w:pPr>
            <w:r>
              <w:rPr>
                <w:rFonts w:ascii="Arial" w:cs="Arial" w:eastAsia="Arial" w:hAnsi="Arial"/>
                <w:sz w:val="11"/>
                <w:szCs w:val="11"/>
                <w:color w:val="auto"/>
                <w:w w:val="87"/>
              </w:rPr>
              <w:t>Chemicals, Plastics and Rubber</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1,598,086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1,582,432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1,566,125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05/08/2026</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Consumer Goods: Durable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5.81%</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L+550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4,097,010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4,060,079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3,892,160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Sargent &amp; Greenleaf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12/20/2024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Wholesale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4,881,750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4,846,050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Schlesinger Global, Inc.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07/14/2025</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L+600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11,909,162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11,909,162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11,206,521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Smile Brands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10/14/2024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5.67%</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L+450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11,204,375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11,115,210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10,868,244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07/19/2021</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4,605,360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4,605,360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4,421,145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Solutionreach, Inc.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01/17/2024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6.75%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6,247,333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6,177,496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6,082,403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Sonny's Enterprises,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12/01/2022</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14,840,178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14,842,802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14,394,973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STV Group Incorporated</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12/11/2026</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90"/>
              </w:rPr>
              <w:t>Construction and Building</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5.43%</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7,960,000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7,885,652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7,800,800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TeleGuam Holdings,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11/20/2025</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Telecommunications</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5.50%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L+450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8,330,874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8,291,500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7,997,638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Teneo Holdings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07/18/2025</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6.25%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L+525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4,962,500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4,788,467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4,689,563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The Infosoft Group,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09/16/2024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Media: Broadcasting and Subscription</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6.59%</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6M L+525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8,656,913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8,634,140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8,423,176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TPC Canada Parent, Inc. and TPC US Parent,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11/24/2025</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Consumer Goods: Non-Durable</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6.68%</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L+475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8,946,566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8,859,896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8,678,169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01/18/2024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Diversified Consumer Services</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6.50%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L+550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9,899,497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9,899,497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9,661,909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TWS Acquisition Corporation</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06/16/2025</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Diversified Consumer Services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7.25%</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1M L+625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6,910,465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6,790,717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6,703,151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UBEO,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04/03/2024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91"/>
              </w:rPr>
              <w:t>Capital Equipment</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6.05%</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L+450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21,930,702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21,752,056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21,272,781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Urology Management Associates, LLC</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08/30/2024</w:t>
            </w:r>
          </w:p>
        </w:tc>
        <w:tc>
          <w:tcPr>
            <w:tcW w:w="2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Healthcare and Pharmaceuticals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6.00%</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3M L+500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11,492,606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11,332,048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10,894,991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09/26/2024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9"/>
              </w:rPr>
              <w:t>Wholesale</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7.70%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3M L+625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15,695,969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15,456,567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15,695,969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Whitney, Bradley &amp; Brown, Inc.</w:t>
            </w:r>
          </w:p>
        </w:tc>
        <w:tc>
          <w:tcPr>
            <w:tcW w:w="660" w:type="dxa"/>
            <w:vAlign w:val="bottom"/>
            <w:tcBorders>
              <w:bottom w:val="single" w:sz="8" w:color="CCECFF"/>
            </w:tcBorders>
            <w:gridSpan w:val="2"/>
          </w:tcPr>
          <w:p>
            <w:pPr>
              <w:jc w:val="center"/>
              <w:ind w:left="46"/>
              <w:spacing w:after="0"/>
              <w:rPr>
                <w:sz w:val="20"/>
                <w:szCs w:val="20"/>
                <w:color w:val="auto"/>
              </w:rPr>
            </w:pPr>
            <w:r>
              <w:rPr>
                <w:rFonts w:ascii="Arial" w:cs="Arial" w:eastAsia="Arial" w:hAnsi="Arial"/>
                <w:sz w:val="11"/>
                <w:szCs w:val="11"/>
                <w:color w:val="auto"/>
                <w:w w:val="87"/>
              </w:rPr>
              <w:t>10/18/2022</w:t>
            </w:r>
          </w:p>
        </w:tc>
        <w:tc>
          <w:tcPr>
            <w:tcW w:w="220" w:type="dxa"/>
            <w:vAlign w:val="bottom"/>
            <w:tcBorders>
              <w:bottom w:val="single" w:sz="8" w:color="CCECFF"/>
            </w:tcBorders>
          </w:tcPr>
          <w:p>
            <w:pPr>
              <w:spacing w:after="0"/>
              <w:rPr>
                <w:sz w:val="11"/>
                <w:szCs w:val="11"/>
                <w:color w:val="auto"/>
              </w:rPr>
            </w:pPr>
          </w:p>
        </w:tc>
        <w:tc>
          <w:tcPr>
            <w:tcW w:w="274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1"/>
                <w:szCs w:val="11"/>
                <w:color w:val="auto"/>
                <w:w w:val="86"/>
              </w:rPr>
              <w:t>Aerospace and Defense</w:t>
            </w:r>
          </w:p>
        </w:tc>
        <w:tc>
          <w:tcPr>
            <w:tcW w:w="740" w:type="dxa"/>
            <w:vAlign w:val="bottom"/>
            <w:tcBorders>
              <w:bottom w:val="single" w:sz="8" w:color="CCECFF"/>
            </w:tcBorders>
            <w:gridSpan w:val="2"/>
          </w:tcPr>
          <w:p>
            <w:pPr>
              <w:jc w:val="right"/>
              <w:ind w:right="60"/>
              <w:spacing w:after="0"/>
              <w:rPr>
                <w:sz w:val="20"/>
                <w:szCs w:val="20"/>
                <w:color w:val="auto"/>
              </w:rPr>
            </w:pPr>
            <w:r>
              <w:rPr>
                <w:rFonts w:ascii="Arial" w:cs="Arial" w:eastAsia="Arial" w:hAnsi="Arial"/>
                <w:sz w:val="11"/>
                <w:szCs w:val="11"/>
                <w:color w:val="auto"/>
              </w:rPr>
              <w:t>8.50%</w:t>
            </w:r>
          </w:p>
        </w:tc>
        <w:tc>
          <w:tcPr>
            <w:tcW w:w="1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1M L+750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5,257,486</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5,199,513</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5,204,910</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462,178,094</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447,967,019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Second Lien Secured Debt—21.3%</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04/29/2024</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9.50%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1M L+850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941,195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941,195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771,309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(PIK 9.50%)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040" w:type="dxa"/>
            <w:vAlign w:val="bottom"/>
            <w:gridSpan w:val="2"/>
          </w:tcPr>
          <w:p>
            <w:pPr>
              <w:spacing w:after="0"/>
              <w:rPr>
                <w:sz w:val="20"/>
                <w:szCs w:val="20"/>
                <w:color w:val="auto"/>
              </w:rPr>
            </w:pPr>
            <w:r>
              <w:rPr>
                <w:rFonts w:ascii="Arial" w:cs="Arial" w:eastAsia="Arial" w:hAnsi="Arial"/>
                <w:sz w:val="11"/>
                <w:szCs w:val="11"/>
                <w:color w:val="auto"/>
              </w:rPr>
              <w:t>DBI Holding, LLC, Term Loan B</w:t>
            </w:r>
          </w:p>
        </w:tc>
        <w:tc>
          <w:tcPr>
            <w:tcW w:w="660" w:type="dxa"/>
            <w:vAlign w:val="bottom"/>
            <w:gridSpan w:val="2"/>
          </w:tcPr>
          <w:p>
            <w:pPr>
              <w:jc w:val="center"/>
              <w:ind w:left="46"/>
              <w:spacing w:after="0"/>
              <w:rPr>
                <w:sz w:val="20"/>
                <w:szCs w:val="20"/>
                <w:color w:val="auto"/>
              </w:rPr>
            </w:pPr>
            <w:r>
              <w:rPr>
                <w:rFonts w:ascii="Arial" w:cs="Arial" w:eastAsia="Arial" w:hAnsi="Arial"/>
                <w:sz w:val="11"/>
                <w:szCs w:val="11"/>
                <w:color w:val="auto"/>
                <w:w w:val="87"/>
              </w:rPr>
              <w:t>03/26/2021</w:t>
            </w:r>
          </w:p>
        </w:tc>
        <w:tc>
          <w:tcPr>
            <w:tcW w:w="220" w:type="dxa"/>
            <w:vAlign w:val="bottom"/>
          </w:tcPr>
          <w:p>
            <w:pPr>
              <w:spacing w:after="0"/>
              <w:rPr>
                <w:sz w:val="12"/>
                <w:szCs w:val="12"/>
                <w:color w:val="auto"/>
              </w:rPr>
            </w:pP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9.00%</w:t>
            </w: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15,946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15,946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15,946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1"/>
                <w:szCs w:val="11"/>
                <w:color w:val="auto"/>
              </w:rPr>
              <w:t>(PIK 9.00%)</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Term Loan C</w:t>
            </w:r>
          </w:p>
        </w:tc>
        <w:tc>
          <w:tcPr>
            <w:tcW w:w="660" w:type="dxa"/>
            <w:vAlign w:val="bottom"/>
            <w:gridSpan w:val="2"/>
            <w:shd w:val="clear" w:color="auto" w:fill="CCECFF"/>
          </w:tcPr>
          <w:p>
            <w:pPr>
              <w:jc w:val="center"/>
              <w:ind w:left="46"/>
              <w:spacing w:after="0"/>
              <w:rPr>
                <w:sz w:val="20"/>
                <w:szCs w:val="20"/>
                <w:color w:val="auto"/>
              </w:rPr>
            </w:pPr>
            <w:r>
              <w:rPr>
                <w:rFonts w:ascii="Arial" w:cs="Arial" w:eastAsia="Arial" w:hAnsi="Arial"/>
                <w:sz w:val="11"/>
                <w:szCs w:val="11"/>
                <w:color w:val="auto"/>
                <w:w w:val="87"/>
              </w:rPr>
              <w:t>02/02/2026</w:t>
            </w:r>
          </w:p>
        </w:tc>
        <w:tc>
          <w:tcPr>
            <w:tcW w:w="220" w:type="dxa"/>
            <w:vAlign w:val="bottom"/>
            <w:shd w:val="clear" w:color="auto" w:fill="CCECFF"/>
          </w:tcPr>
          <w:p>
            <w:pPr>
              <w:spacing w:after="0"/>
              <w:rPr>
                <w:sz w:val="11"/>
                <w:szCs w:val="11"/>
                <w:color w:val="auto"/>
              </w:rPr>
            </w:pP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1"/>
                <w:szCs w:val="11"/>
                <w:color w:val="auto"/>
              </w:rPr>
              <w:t>9.00%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7,977,513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7,977,513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7,977,513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740" w:type="dxa"/>
            <w:vAlign w:val="bottom"/>
            <w:gridSpan w:val="2"/>
            <w:shd w:val="clear" w:color="auto" w:fill="CCECFF"/>
          </w:tcPr>
          <w:p>
            <w:pPr>
              <w:jc w:val="right"/>
              <w:ind w:right="20"/>
              <w:spacing w:after="0"/>
              <w:rPr>
                <w:sz w:val="20"/>
                <w:szCs w:val="20"/>
                <w:color w:val="auto"/>
              </w:rPr>
            </w:pPr>
            <w:r>
              <w:rPr>
                <w:rFonts w:ascii="Arial" w:cs="Arial" w:eastAsia="Arial" w:hAnsi="Arial"/>
                <w:sz w:val="11"/>
                <w:szCs w:val="11"/>
                <w:color w:val="auto"/>
              </w:rPr>
              <w:t>(PIK 9.00%)</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8,934,654</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8,764,768</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Equity Securities—4.2%</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Beverage, Food and Tobacco</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shd w:val="clear" w:color="auto" w:fill="CCECFF"/>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shd w:val="clear" w:color="auto" w:fill="CCECFF"/>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jc w:val="right"/>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1,724,247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40" w:type="dxa"/>
            <w:vAlign w:val="bottom"/>
            <w:gridSpan w:val="2"/>
          </w:tcPr>
          <w:p>
            <w:pPr>
              <w:jc w:val="center"/>
              <w:ind w:right="120"/>
              <w:spacing w:after="0"/>
              <w:rPr>
                <w:sz w:val="20"/>
                <w:szCs w:val="20"/>
                <w:color w:val="auto"/>
              </w:rPr>
            </w:pPr>
            <w:r>
              <w:rPr>
                <w:rFonts w:ascii="Arial" w:cs="Arial" w:eastAsia="Arial" w:hAnsi="Arial"/>
                <w:sz w:val="11"/>
                <w:szCs w:val="11"/>
                <w:color w:val="auto"/>
                <w:w w:val="86"/>
              </w:rPr>
              <w:t>Business Services</w:t>
            </w:r>
          </w:p>
        </w:tc>
        <w:tc>
          <w:tcPr>
            <w:tcW w:w="7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40" w:type="dxa"/>
            <w:vAlign w:val="bottom"/>
            <w:tcBorders>
              <w:top w:val="single" w:sz="8" w:color="CCECFF"/>
            </w:tcBorders>
            <w:gridSpan w:val="2"/>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top w:val="single" w:sz="8" w:color="CCECFF"/>
            </w:tcBorders>
            <w:shd w:val="clear" w:color="auto" w:fill="CCECFF"/>
          </w:tcPr>
          <w:p>
            <w:pPr>
              <w:spacing w:after="0"/>
              <w:rPr>
                <w:sz w:val="11"/>
                <w:szCs w:val="11"/>
                <w:color w:val="auto"/>
              </w:rPr>
            </w:pPr>
          </w:p>
        </w:tc>
        <w:tc>
          <w:tcPr>
            <w:tcW w:w="5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CCECFF"/>
            </w:tcBorders>
            <w:shd w:val="clear" w:color="auto" w:fill="CCECFF"/>
          </w:tcPr>
          <w:p>
            <w:pPr>
              <w:spacing w:after="0"/>
              <w:rPr>
                <w:sz w:val="11"/>
                <w:szCs w:val="11"/>
                <w:color w:val="auto"/>
              </w:rPr>
            </w:pPr>
          </w:p>
        </w:tc>
        <w:tc>
          <w:tcPr>
            <w:tcW w:w="76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1,724,247</w:t>
            </w: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Cash and Cash Equivalents—26.9%</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7,593,546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7,593,546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40" w:type="dxa"/>
            <w:vAlign w:val="bottom"/>
            <w:tcBorders>
              <w:bottom w:val="single" w:sz="8" w:color="CCECFF"/>
            </w:tcBorders>
            <w:gridSpan w:val="2"/>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4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180" w:type="dxa"/>
            <w:vAlign w:val="bottom"/>
            <w:tcBorders>
              <w:bottom w:val="single" w:sz="8" w:color="CCECFF"/>
            </w:tcBorders>
          </w:tcPr>
          <w:p>
            <w:pPr>
              <w:spacing w:after="0"/>
              <w:rPr>
                <w:sz w:val="11"/>
                <w:szCs w:val="11"/>
                <w:color w:val="auto"/>
              </w:rPr>
            </w:pPr>
          </w:p>
        </w:tc>
        <w:tc>
          <w:tcPr>
            <w:tcW w:w="760" w:type="dxa"/>
            <w:vAlign w:val="bottom"/>
            <w:tcBorders>
              <w:bottom w:val="single" w:sz="8" w:color="CCECFF"/>
            </w:tcBorders>
          </w:tcPr>
          <w:p>
            <w:pPr>
              <w:spacing w:after="0"/>
              <w:rPr>
                <w:sz w:val="11"/>
                <w:szCs w:val="11"/>
                <w:color w:val="auto"/>
              </w:rPr>
            </w:pP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3,464,633</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3,469,785</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40" w:type="dxa"/>
            <w:vAlign w:val="bottom"/>
            <w:gridSpan w:val="2"/>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4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180" w:type="dxa"/>
            <w:vAlign w:val="bottom"/>
            <w:shd w:val="clear" w:color="auto" w:fill="CCECFF"/>
          </w:tcPr>
          <w:p>
            <w:pPr>
              <w:spacing w:after="0"/>
              <w:rPr>
                <w:sz w:val="11"/>
                <w:szCs w:val="11"/>
                <w:color w:val="auto"/>
              </w:rPr>
            </w:pPr>
          </w:p>
        </w:tc>
        <w:tc>
          <w:tcPr>
            <w:tcW w:w="76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11,058,179</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11,063,331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Total Investments and Cash Equivalents—1,141.9%</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489,154,864</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469,519,365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tcBorders>
              <w:top w:val="single" w:sz="8" w:color="CCECFF"/>
            </w:tcBorders>
            <w:gridSpan w:val="2"/>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Assets—(1,041.9)%</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4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180" w:type="dxa"/>
            <w:vAlign w:val="bottom"/>
            <w:tcBorders>
              <w:top w:val="single" w:sz="8" w:color="CCECFF"/>
            </w:tcBorders>
            <w:shd w:val="clear" w:color="auto" w:fill="CCECFF"/>
          </w:tcPr>
          <w:p>
            <w:pPr>
              <w:spacing w:after="0" w:line="20" w:lineRule="exact"/>
              <w:rPr>
                <w:sz w:val="1"/>
                <w:szCs w:val="1"/>
                <w:color w:val="auto"/>
              </w:rPr>
            </w:pPr>
          </w:p>
        </w:tc>
        <w:tc>
          <w:tcPr>
            <w:tcW w:w="760" w:type="dxa"/>
            <w:vAlign w:val="bottom"/>
            <w:tcBorders>
              <w:top w:val="single" w:sz="8" w:color="CCECFF"/>
            </w:tcBorders>
            <w:shd w:val="clear" w:color="auto" w:fill="CCECFF"/>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40" w:type="dxa"/>
            <w:vAlign w:val="bottom"/>
            <w:gridSpan w:val="2"/>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180" w:type="dxa"/>
            <w:vAlign w:val="bottom"/>
            <w:shd w:val="clear" w:color="auto" w:fill="CCECFF"/>
          </w:tcPr>
          <w:p>
            <w:pPr>
              <w:spacing w:after="0"/>
              <w:rPr>
                <w:sz w:val="10"/>
                <w:szCs w:val="10"/>
                <w:color w:val="auto"/>
              </w:rPr>
            </w:pPr>
          </w:p>
        </w:tc>
        <w:tc>
          <w:tcPr>
            <w:tcW w:w="76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(428,402,035)</w:t>
            </w:r>
          </w:p>
        </w:tc>
        <w:tc>
          <w:tcPr>
            <w:tcW w:w="0" w:type="dxa"/>
            <w:vAlign w:val="bottom"/>
          </w:tcPr>
          <w:p>
            <w:pPr>
              <w:spacing w:after="0"/>
              <w:rPr>
                <w:sz w:val="1"/>
                <w:szCs w:val="1"/>
                <w:color w:val="auto"/>
              </w:rPr>
            </w:pPr>
          </w:p>
        </w:tc>
      </w:tr>
      <w:tr>
        <w:trPr>
          <w:trHeight w:val="129"/>
        </w:trPr>
        <w:tc>
          <w:tcPr>
            <w:tcW w:w="3040" w:type="dxa"/>
            <w:vAlign w:val="bottom"/>
            <w:gridSpan w:val="2"/>
          </w:tcPr>
          <w:p>
            <w:pPr>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41,117,330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9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380" w:right="40" w:hanging="363"/>
        <w:spacing w:after="0" w:line="239" w:lineRule="auto"/>
        <w:tabs>
          <w:tab w:leader="none" w:pos="360" w:val="left"/>
        </w:tabs>
        <w:rPr>
          <w:sz w:val="20"/>
          <w:szCs w:val="20"/>
          <w:color w:val="auto"/>
        </w:rPr>
      </w:pPr>
      <w:r>
        <w:rPr>
          <w:rFonts w:ascii="Arial" w:cs="Arial" w:eastAsia="Arial" w:hAnsi="Arial"/>
          <w:sz w:val="12"/>
          <w:szCs w:val="12"/>
          <w:color w:val="auto"/>
        </w:rPr>
        <w:t>(</w:t>
      </w:r>
      <w:r>
        <w:rPr>
          <w:rFonts w:ascii="Arial" w:cs="Arial" w:eastAsia="Arial" w:hAnsi="Arial"/>
          <w:sz w:val="10"/>
          <w:szCs w:val="10"/>
          <w:color w:val="auto"/>
        </w:rPr>
        <w:t>1)</w:t>
      </w:r>
      <w:r>
        <w:rPr>
          <w:sz w:val="20"/>
          <w:szCs w:val="20"/>
          <w:color w:val="auto"/>
        </w:rPr>
        <w:tab/>
      </w: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spacing w:after="0" w:line="27" w:lineRule="exact"/>
        <w:rPr>
          <w:sz w:val="20"/>
          <w:szCs w:val="20"/>
          <w:color w:val="auto"/>
        </w:rPr>
      </w:pPr>
    </w:p>
    <w:p>
      <w:pPr>
        <w:ind w:left="380" w:hanging="372"/>
        <w:spacing w:after="0"/>
        <w:tabs>
          <w:tab w:leader="none" w:pos="3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Valued based on PSSL’s accounting policy.</w:t>
      </w:r>
    </w:p>
    <w:p>
      <w:pPr>
        <w:spacing w:after="0" w:line="35" w:lineRule="exact"/>
        <w:rPr>
          <w:rFonts w:ascii="Arial" w:cs="Arial" w:eastAsia="Arial" w:hAnsi="Arial"/>
          <w:sz w:val="11"/>
          <w:szCs w:val="11"/>
          <w:color w:val="auto"/>
        </w:rPr>
      </w:pPr>
    </w:p>
    <w:p>
      <w:pPr>
        <w:ind w:left="380" w:hanging="372"/>
        <w:spacing w:after="0"/>
        <w:tabs>
          <w:tab w:leader="none" w:pos="3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Non-U.S. company or principal place of business outside the United States.</w:t>
      </w:r>
    </w:p>
    <w:p>
      <w:pPr>
        <w:spacing w:after="0" w:line="35" w:lineRule="exact"/>
        <w:rPr>
          <w:rFonts w:ascii="Arial" w:cs="Arial" w:eastAsia="Arial" w:hAnsi="Arial"/>
          <w:sz w:val="11"/>
          <w:szCs w:val="11"/>
          <w:color w:val="auto"/>
        </w:rPr>
      </w:pPr>
    </w:p>
    <w:p>
      <w:pPr>
        <w:ind w:left="380" w:hanging="372"/>
        <w:spacing w:after="0"/>
        <w:tabs>
          <w:tab w:leader="none" w:pos="3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Par amount is denominated in Australian Dollars (A$) or in Canadian Dollars (C$) as denoted.</w:t>
      </w:r>
    </w:p>
    <w:p>
      <w:pPr>
        <w:spacing w:after="0" w:line="3" w:lineRule="exact"/>
        <w:rPr>
          <w:rFonts w:ascii="Arial" w:cs="Arial" w:eastAsia="Arial" w:hAnsi="Arial"/>
          <w:sz w:val="11"/>
          <w:szCs w:val="11"/>
          <w:color w:val="auto"/>
        </w:rPr>
      </w:pPr>
    </w:p>
    <w:p>
      <w:pPr>
        <w:ind w:left="380" w:hanging="372"/>
        <w:spacing w:after="0"/>
        <w:tabs>
          <w:tab w:leader="none" w:pos="380" w:val="left"/>
        </w:tabs>
        <w:numPr>
          <w:ilvl w:val="0"/>
          <w:numId w:val="24"/>
        </w:numPr>
        <w:rPr>
          <w:rFonts w:ascii="Arial" w:cs="Arial" w:eastAsia="Arial" w:hAnsi="Arial"/>
          <w:sz w:val="11"/>
          <w:szCs w:val="11"/>
          <w:color w:val="auto"/>
        </w:rPr>
      </w:pPr>
      <w:r>
        <w:rPr>
          <w:rFonts w:ascii="Arial" w:cs="Arial" w:eastAsia="Arial" w:hAnsi="Arial"/>
          <w:sz w:val="11"/>
          <w:szCs w:val="11"/>
          <w:color w:val="auto"/>
        </w:rPr>
        <w:t>Non-income producing security.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1" w:name="page42"/>
    <w:bookmarkEnd w:id="41"/>
    <w:p>
      <w:pPr>
        <w:ind w:left="440"/>
        <w:spacing w:after="0"/>
        <w:rPr>
          <w:sz w:val="20"/>
          <w:szCs w:val="20"/>
          <w:color w:val="auto"/>
        </w:rPr>
      </w:pPr>
      <w:r>
        <w:rPr>
          <w:rFonts w:ascii="Arial" w:cs="Arial" w:eastAsia="Arial" w:hAnsi="Arial"/>
          <w:sz w:val="14"/>
          <w:szCs w:val="14"/>
          <w:color w:val="auto"/>
        </w:rPr>
        <w:t>Below is a listing of PSSL’s individual investments as of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86"/>
              </w:rPr>
              <w:t>Basis Point</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tcPr>
          <w:p>
            <w:pPr>
              <w:jc w:val="right"/>
              <w:ind w:right="380"/>
              <w:spacing w:after="0" w:line="122" w:lineRule="exact"/>
              <w:rPr>
                <w:sz w:val="20"/>
                <w:szCs w:val="20"/>
                <w:color w:val="auto"/>
              </w:rPr>
            </w:pPr>
            <w:r>
              <w:rPr>
                <w:rFonts w:ascii="Arial" w:cs="Arial" w:eastAsia="Arial" w:hAnsi="Arial"/>
                <w:sz w:val="11"/>
                <w:szCs w:val="11"/>
                <w:b w:val="1"/>
                <w:bCs w:val="1"/>
                <w:color w:val="auto"/>
              </w:rPr>
              <w:t>Current</w:t>
            </w:r>
          </w:p>
        </w:tc>
        <w:tc>
          <w:tcPr>
            <w:tcW w:w="1100" w:type="dxa"/>
            <w:vAlign w:val="bottom"/>
            <w:gridSpan w:val="4"/>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Spread Above</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b w:val="1"/>
                <w:bCs w:val="1"/>
                <w:color w:val="auto"/>
              </w:rPr>
              <w:t>Issuer Name</w:t>
            </w:r>
          </w:p>
        </w:tc>
        <w:tc>
          <w:tcPr>
            <w:tcW w:w="12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Maturity</w:t>
            </w:r>
          </w:p>
        </w:tc>
        <w:tc>
          <w:tcPr>
            <w:tcW w:w="2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2"/>
              </w:rPr>
              <w:t>Industry</w:t>
            </w:r>
          </w:p>
        </w:tc>
        <w:tc>
          <w:tcPr>
            <w:tcW w:w="86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Coupon</w:t>
            </w:r>
          </w:p>
        </w:tc>
        <w:tc>
          <w:tcPr>
            <w:tcW w:w="1100" w:type="dxa"/>
            <w:vAlign w:val="bottom"/>
            <w:gridSpan w:val="4"/>
          </w:tcPr>
          <w:p>
            <w:pPr>
              <w:jc w:val="center"/>
              <w:ind w:right="220"/>
              <w:spacing w:after="0"/>
              <w:rPr>
                <w:sz w:val="20"/>
                <w:szCs w:val="20"/>
                <w:color w:val="auto"/>
              </w:rPr>
            </w:pPr>
            <w:r>
              <w:rPr>
                <w:rFonts w:ascii="Arial" w:cs="Arial" w:eastAsia="Arial" w:hAnsi="Arial"/>
                <w:sz w:val="11"/>
                <w:szCs w:val="11"/>
                <w:b w:val="1"/>
                <w:bCs w:val="1"/>
                <w:color w:val="auto"/>
                <w:w w:val="93"/>
              </w:rPr>
              <w:t xml:space="preserve">Index </w:t>
            </w:r>
            <w:r>
              <w:rPr>
                <w:rFonts w:ascii="Arial" w:cs="Arial" w:eastAsia="Arial" w:hAnsi="Arial"/>
                <w:sz w:val="9"/>
                <w:szCs w:val="9"/>
                <w:b w:val="1"/>
                <w:bCs w:val="1"/>
                <w:color w:val="auto"/>
                <w:w w:val="93"/>
              </w:rPr>
              <w:t>(1)</w:t>
            </w:r>
          </w:p>
        </w:tc>
        <w:tc>
          <w:tcPr>
            <w:tcW w:w="580" w:type="dxa"/>
            <w:vAlign w:val="bottom"/>
          </w:tcPr>
          <w:p>
            <w:pPr>
              <w:jc w:val="right"/>
              <w:ind w:right="206"/>
              <w:spacing w:after="0"/>
              <w:rPr>
                <w:sz w:val="20"/>
                <w:szCs w:val="20"/>
                <w:color w:val="auto"/>
              </w:rPr>
            </w:pPr>
            <w:r>
              <w:rPr>
                <w:rFonts w:ascii="Arial" w:cs="Arial" w:eastAsia="Arial" w:hAnsi="Arial"/>
                <w:sz w:val="11"/>
                <w:szCs w:val="11"/>
                <w:b w:val="1"/>
                <w:bCs w:val="1"/>
                <w:color w:val="auto"/>
              </w:rPr>
              <w:t>Par</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b w:val="1"/>
                <w:bCs w:val="1"/>
                <w:color w:val="auto"/>
                <w:w w:val="98"/>
              </w:rPr>
              <w:t xml:space="preserve">Fair Value </w:t>
            </w:r>
            <w:r>
              <w:rPr>
                <w:rFonts w:ascii="Arial" w:cs="Arial" w:eastAsia="Arial" w:hAnsi="Arial"/>
                <w:sz w:val="9"/>
                <w:szCs w:val="9"/>
                <w:b w:val="1"/>
                <w:bCs w:val="1"/>
                <w:color w:val="auto"/>
                <w:w w:val="98"/>
              </w:rPr>
              <w:t>(2)</w:t>
            </w:r>
          </w:p>
        </w:tc>
        <w:tc>
          <w:tcPr>
            <w:tcW w:w="0" w:type="dxa"/>
            <w:vAlign w:val="bottom"/>
          </w:tcPr>
          <w:p>
            <w:pPr>
              <w:spacing w:after="0"/>
              <w:rPr>
                <w:sz w:val="1"/>
                <w:szCs w:val="1"/>
                <w:color w:val="auto"/>
              </w:rPr>
            </w:pPr>
          </w:p>
        </w:tc>
      </w:tr>
      <w:tr>
        <w:trPr>
          <w:trHeight w:val="128"/>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1"/>
                <w:szCs w:val="11"/>
                <w:b w:val="1"/>
                <w:bCs w:val="1"/>
                <w:color w:val="auto"/>
              </w:rPr>
              <w:t>First Lien Secured Debt—830.5%</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auto"/>
            </w:tcBorders>
            <w:shd w:val="clear" w:color="auto" w:fill="CCECFF"/>
          </w:tcPr>
          <w:p>
            <w:pPr>
              <w:spacing w:after="0"/>
              <w:rPr>
                <w:sz w:val="11"/>
                <w:szCs w:val="11"/>
                <w:color w:val="auto"/>
              </w:rPr>
            </w:pPr>
          </w:p>
        </w:tc>
        <w:tc>
          <w:tcPr>
            <w:tcW w:w="32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58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60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40" w:type="dxa"/>
            <w:vAlign w:val="bottom"/>
            <w:tcBorders>
              <w:top w:val="single" w:sz="8" w:color="auto"/>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Altamira Technologies,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07/24/2025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5,000,000</w:t>
            </w: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4,927,149</w:t>
            </w:r>
          </w:p>
        </w:tc>
        <w:tc>
          <w:tcPr>
            <w:tcW w:w="22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rPr>
              <w:t>5,000,000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American Auto Auction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01/02/2024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Transportation: Consumer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7,749,274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7,674,216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7,671,781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By Light Professional IT Services,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05/16/2022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8.52%</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L+725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13,772,261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13,531,751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13,772,261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Cadence Aerospace,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11/14/2023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8.54%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11,735,208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11,644,440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11,680,054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Cardenas Markets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7.79%</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7,348,866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7,311,507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7,128,400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Centauri Group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02/12/2024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7.36%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10,422,726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10,413,416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10,396,669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Challenger Performance Optimization,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10,127,447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10,040,432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9,874,261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179,170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182,403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Holdings, LLC (Revolver)</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126,031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126,031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126,031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Country Fresh Holdings, LLC - (Revolver) </w:t>
            </w:r>
            <w:r>
              <w:rPr>
                <w:rFonts w:ascii="Arial" w:cs="Arial" w:eastAsia="Arial" w:hAnsi="Arial"/>
                <w:sz w:val="9"/>
                <w:szCs w:val="9"/>
                <w:color w:val="auto"/>
              </w:rPr>
              <w:t>(5)</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324,080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820" w:type="dxa"/>
            <w:vAlign w:val="bottom"/>
            <w:gridSpan w:val="2"/>
            <w:shd w:val="clear" w:color="auto" w:fill="CCECFF"/>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F"/>
          </w:tcPr>
          <w:p>
            <w:pPr>
              <w:spacing w:after="0"/>
              <w:rPr>
                <w:sz w:val="11"/>
                <w:szCs w:val="11"/>
                <w:color w:val="auto"/>
              </w:rPr>
            </w:pPr>
          </w:p>
        </w:tc>
        <w:tc>
          <w:tcPr>
            <w:tcW w:w="7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Deva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10/31/2023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7.54%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19,748,744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19,748,744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19,748,744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Douglas Products and Packaging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12,312,500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12,157,345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12,189,375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Douglas Sewer Intermediate,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7.85%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8,166,594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8,116,022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8,084,928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 xml:space="preserve">Findex Group Limited </w:t>
            </w:r>
            <w:r>
              <w:rPr>
                <w:rFonts w:ascii="Arial" w:cs="Arial" w:eastAsia="Arial" w:hAnsi="Arial"/>
                <w:sz w:val="9"/>
                <w:szCs w:val="9"/>
                <w:color w:val="auto"/>
              </w:rPr>
              <w:t>(3), (4)</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05/31/2024</w:t>
            </w:r>
          </w:p>
        </w:tc>
        <w:tc>
          <w:tcPr>
            <w:tcW w:w="240" w:type="dxa"/>
            <w:vAlign w:val="bottom"/>
            <w:shd w:val="clear" w:color="auto" w:fill="CCECFF"/>
          </w:tcPr>
          <w:p>
            <w:pPr>
              <w:spacing w:after="0"/>
              <w:rPr>
                <w:sz w:val="12"/>
                <w:szCs w:val="12"/>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Banking, Finance, Insurance and Real Estate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6.26%</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40"/>
              <w:spacing w:after="0"/>
              <w:rPr>
                <w:sz w:val="20"/>
                <w:szCs w:val="20"/>
                <w:color w:val="auto"/>
              </w:rPr>
            </w:pPr>
            <w:r>
              <w:rPr>
                <w:rFonts w:ascii="Arial" w:cs="Arial" w:eastAsia="Arial" w:hAnsi="Arial"/>
                <w:sz w:val="11"/>
                <w:szCs w:val="11"/>
                <w:color w:val="auto"/>
              </w:rPr>
              <w:t>L+525A $</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7,376,173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6,542,165</w:t>
            </w: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GCOM Software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11/14/2022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8.37%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17,384,864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17,263,748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17,384,864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Good2Grow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7"/>
              </w:rPr>
              <w:t>Beverages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11,752,655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11,649,126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11,576,366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Good Source Solutions,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06/29/2023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6.37%</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14,357,813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14,241,579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14,135,267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GSM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60"/>
              <w:spacing w:after="0"/>
              <w:rPr>
                <w:sz w:val="20"/>
                <w:szCs w:val="20"/>
                <w:color w:val="auto"/>
              </w:rPr>
            </w:pPr>
            <w:r>
              <w:rPr>
                <w:rFonts w:ascii="Arial" w:cs="Arial" w:eastAsia="Arial" w:hAnsi="Arial"/>
                <w:sz w:val="11"/>
                <w:szCs w:val="11"/>
                <w:color w:val="auto"/>
                <w:w w:val="88"/>
              </w:rPr>
              <w:t>Consumer Goods: 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19,669,098</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19,524,460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19,472,406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IMIA Holdings,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10/28/2024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12,406,250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12,351,255</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12,344,219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Impact Group,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06/27/2023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9,390,185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9,296,753</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9,296,283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Infrastructure Supply Operations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12/12/2023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5.80%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L+425A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10,973,919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9,717,138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Integrative Nutrition,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6.85%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L+475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K2 Pure Solutions NoCal, L.P.</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12/20/2023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7.30%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19,850,000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19,586,294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19,609,815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LAV Gear Holdings,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10/31/2024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9,837,686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9,916,068</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Leap Legal Software Pty Ltd </w:t>
            </w:r>
            <w:r>
              <w:rPr>
                <w:rFonts w:ascii="Arial" w:cs="Arial" w:eastAsia="Arial" w:hAnsi="Arial"/>
                <w:sz w:val="9"/>
                <w:szCs w:val="9"/>
                <w:color w:val="auto"/>
              </w:rPr>
              <w:t>(3), (4)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09/12/2022</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High Tech Industries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6.80%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rPr>
              <w:t>L+575A $</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14,755,747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10,483,859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9,952,014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Long's Drugs Incorporated</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08/19/2022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17,820,000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17,688,160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17,641,800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LSF9 Atlantis Holdings,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05/01/2023</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2"/>
              </w:rPr>
              <w:t>Retail</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tcPr>
          <w:p>
            <w:pPr>
              <w:jc w:val="right"/>
              <w:spacing w:after="0"/>
              <w:rPr>
                <w:sz w:val="20"/>
                <w:szCs w:val="20"/>
                <w:color w:val="auto"/>
              </w:rPr>
            </w:pPr>
            <w:r>
              <w:rPr>
                <w:rFonts w:ascii="Arial" w:cs="Arial" w:eastAsia="Arial" w:hAnsi="Arial"/>
                <w:sz w:val="11"/>
                <w:szCs w:val="11"/>
                <w:color w:val="auto"/>
              </w:rPr>
              <w:t>7,078,125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7,118,977</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6,575,083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Manna Pro Products,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12/08/2023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6,877,500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6,797,207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6,688,369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 xml:space="preserve">Marketplace Events LLC </w:t>
            </w:r>
            <w:r>
              <w:rPr>
                <w:rFonts w:ascii="Arial" w:cs="Arial" w:eastAsia="Arial" w:hAnsi="Arial"/>
                <w:sz w:val="9"/>
                <w:szCs w:val="9"/>
                <w:color w:val="auto"/>
              </w:rPr>
              <w:t>(4)</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01/27/2021</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Media: Diversified and Production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7.20%</w:t>
            </w:r>
          </w:p>
        </w:tc>
        <w:tc>
          <w:tcPr>
            <w:tcW w:w="560" w:type="dxa"/>
            <w:vAlign w:val="bottom"/>
          </w:tcPr>
          <w:p>
            <w:pPr>
              <w:spacing w:after="0"/>
              <w:rPr>
                <w:sz w:val="12"/>
                <w:szCs w:val="12"/>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7"/>
              </w:rPr>
              <w:t>P+275C $</w:t>
            </w:r>
          </w:p>
        </w:tc>
        <w:tc>
          <w:tcPr>
            <w:tcW w:w="580" w:type="dxa"/>
            <w:vAlign w:val="bottom"/>
          </w:tcPr>
          <w:p>
            <w:pPr>
              <w:jc w:val="right"/>
              <w:spacing w:after="0"/>
              <w:rPr>
                <w:sz w:val="20"/>
                <w:szCs w:val="20"/>
                <w:color w:val="auto"/>
              </w:rPr>
            </w:pPr>
            <w:r>
              <w:rPr>
                <w:rFonts w:ascii="Arial" w:cs="Arial" w:eastAsia="Arial" w:hAnsi="Arial"/>
                <w:sz w:val="12"/>
                <w:szCs w:val="12"/>
                <w:color w:val="auto"/>
              </w:rPr>
              <w:t>5,760,254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4,461,926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4,350,645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Mission Critical Electronics,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09/28/2022</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6,009,982</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5,977,867</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6,009,982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New Milani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06/06/2024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Consumer Goods: Non-Durable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14,812,500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14,691,710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14,664,375</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Olde Thompson,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05/14/2024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6.54%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11,876,667</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11,757,900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11,876,667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Output Services Group,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03/27/2024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6.54%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rPr>
              <w:t>7,883,419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7,909,754</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6,779,740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Pestell Minerals and Ingredients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06/01/2023</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7.57%</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9,925,000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9,840,202</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9,825,750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color w:val="auto"/>
              </w:rPr>
              <w:t>Pestell Minerals and Ingredients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06/01/2023</w:t>
            </w:r>
          </w:p>
        </w:tc>
        <w:tc>
          <w:tcPr>
            <w:tcW w:w="240" w:type="dxa"/>
            <w:vAlign w:val="bottom"/>
          </w:tcPr>
          <w:p>
            <w:pPr>
              <w:spacing w:after="0"/>
              <w:rPr>
                <w:sz w:val="12"/>
                <w:szCs w:val="12"/>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7.23%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40"/>
              <w:spacing w:after="0"/>
              <w:rPr>
                <w:sz w:val="20"/>
                <w:szCs w:val="20"/>
                <w:color w:val="auto"/>
              </w:rPr>
            </w:pPr>
            <w:r>
              <w:rPr>
                <w:rFonts w:ascii="Arial" w:cs="Arial" w:eastAsia="Arial" w:hAnsi="Arial"/>
                <w:sz w:val="11"/>
                <w:szCs w:val="11"/>
                <w:color w:val="auto"/>
                <w:w w:val="99"/>
              </w:rPr>
              <w:t>L+525C $</w:t>
            </w:r>
          </w:p>
        </w:tc>
        <w:tc>
          <w:tcPr>
            <w:tcW w:w="580" w:type="dxa"/>
            <w:vAlign w:val="bottom"/>
          </w:tcPr>
          <w:p>
            <w:pPr>
              <w:jc w:val="right"/>
              <w:spacing w:after="0"/>
              <w:rPr>
                <w:sz w:val="20"/>
                <w:szCs w:val="20"/>
                <w:color w:val="auto"/>
              </w:rPr>
            </w:pPr>
            <w:r>
              <w:rPr>
                <w:rFonts w:ascii="Arial" w:cs="Arial" w:eastAsia="Arial" w:hAnsi="Arial"/>
                <w:sz w:val="12"/>
                <w:szCs w:val="12"/>
                <w:color w:val="auto"/>
              </w:rPr>
              <w:t>3,242,655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2,412,626</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2,424,644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PH Beauty Holdings III,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09/29/2025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7.04%</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9,892,519</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9,804,058</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9,397,893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Plant Health Intermediate,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10/19/2022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8"/>
              </w:rPr>
              <w:t>Chemicals, Plastics and Rubber</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L+575</w:t>
            </w:r>
          </w:p>
        </w:tc>
        <w:tc>
          <w:tcPr>
            <w:tcW w:w="580" w:type="dxa"/>
            <w:vAlign w:val="bottom"/>
          </w:tcPr>
          <w:p>
            <w:pPr>
              <w:jc w:val="right"/>
              <w:spacing w:after="0"/>
              <w:rPr>
                <w:sz w:val="20"/>
                <w:szCs w:val="20"/>
                <w:color w:val="auto"/>
              </w:rPr>
            </w:pPr>
            <w:r>
              <w:rPr>
                <w:rFonts w:ascii="Arial" w:cs="Arial" w:eastAsia="Arial" w:hAnsi="Arial"/>
                <w:sz w:val="11"/>
                <w:szCs w:val="11"/>
                <w:color w:val="auto"/>
              </w:rPr>
              <w:t>1,758,406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1,736,386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1,740,822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PlayPower, Inc.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9"/>
              </w:rPr>
              <w:t>05/8/2026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Leisure Products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4,189,500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4,148,451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4,184,263</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Smile Brands Inc.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10/14/2024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6.66%</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11,289,688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11,189,470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11,176,791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Snak Club,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07/19/2021</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8.10%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L+600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4,687,495</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4,359,370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Sonny's Enterprises,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12/01/2022</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6.35%</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L+425</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15,224,842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15,227,900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15,224,842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Teneo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07/18/2025</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7.29%</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5,000,000</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4,804,110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4,762,500</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The Infosoft Group,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12/02/2021</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Media: Broadcasting and Subscription</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7.43%</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L+500</w:t>
            </w:r>
          </w:p>
        </w:tc>
        <w:tc>
          <w:tcPr>
            <w:tcW w:w="580" w:type="dxa"/>
            <w:vAlign w:val="bottom"/>
          </w:tcPr>
          <w:p>
            <w:pPr>
              <w:jc w:val="right"/>
              <w:spacing w:after="0"/>
              <w:rPr>
                <w:sz w:val="20"/>
                <w:szCs w:val="20"/>
                <w:color w:val="auto"/>
              </w:rPr>
            </w:pPr>
            <w:r>
              <w:rPr>
                <w:rFonts w:ascii="Arial" w:cs="Arial" w:eastAsia="Arial" w:hAnsi="Arial"/>
                <w:sz w:val="11"/>
                <w:szCs w:val="11"/>
                <w:color w:val="auto"/>
              </w:rPr>
              <w:t>8,823,392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8,790,069</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8,735,157</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TVC Enterprises,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01/18/2024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7.55%</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L+550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9,974,874</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TWS Acquisition Corporation</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06/16/2025</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Diversified Consumer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8.28%</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L+625</w:t>
            </w:r>
          </w:p>
        </w:tc>
        <w:tc>
          <w:tcPr>
            <w:tcW w:w="580" w:type="dxa"/>
            <w:vAlign w:val="bottom"/>
          </w:tcPr>
          <w:p>
            <w:pPr>
              <w:jc w:val="right"/>
              <w:spacing w:after="0"/>
              <w:rPr>
                <w:sz w:val="20"/>
                <w:szCs w:val="20"/>
                <w:color w:val="auto"/>
              </w:rPr>
            </w:pPr>
            <w:r>
              <w:rPr>
                <w:rFonts w:ascii="Arial" w:cs="Arial" w:eastAsia="Arial" w:hAnsi="Arial"/>
                <w:sz w:val="11"/>
                <w:szCs w:val="11"/>
                <w:color w:val="auto"/>
              </w:rPr>
              <w:t>7,075,000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6,937,888</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6,933,500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UBEO,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04/03/2024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91"/>
              </w:rPr>
              <w:t>Capital Equipment</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6.78%</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22,248,673</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22,045,879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22,026,186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Urology Management Associates, LLC</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08/30/2024</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Healthcare and Pharmaceuticals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7.04%</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L+450</w:t>
            </w:r>
          </w:p>
        </w:tc>
        <w:tc>
          <w:tcPr>
            <w:tcW w:w="580" w:type="dxa"/>
            <w:vAlign w:val="bottom"/>
          </w:tcPr>
          <w:p>
            <w:pPr>
              <w:jc w:val="right"/>
              <w:spacing w:after="0"/>
              <w:rPr>
                <w:sz w:val="20"/>
                <w:szCs w:val="20"/>
                <w:color w:val="auto"/>
              </w:rPr>
            </w:pPr>
            <w:r>
              <w:rPr>
                <w:rFonts w:ascii="Arial" w:cs="Arial" w:eastAsia="Arial" w:hAnsi="Arial"/>
                <w:sz w:val="11"/>
                <w:szCs w:val="11"/>
                <w:color w:val="auto"/>
                <w:w w:val="98"/>
              </w:rPr>
              <w:t>11,572,122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11,388,612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11,572,122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Walker Edison Furniture Company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09/26/2024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9"/>
              </w:rPr>
              <w:t>Wholesale</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8.83%</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3M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L+650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w w:val="98"/>
              </w:rPr>
              <w:t>16,001,734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15,724,459</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16,121,747</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Whitney, Bradley &amp; Brown, Inc.</w:t>
            </w:r>
          </w:p>
        </w:tc>
        <w:tc>
          <w:tcPr>
            <w:tcW w:w="640" w:type="dxa"/>
            <w:vAlign w:val="bottom"/>
            <w:tcBorders>
              <w:bottom w:val="single" w:sz="8" w:color="CCECFF"/>
            </w:tcBorders>
            <w:gridSpan w:val="2"/>
          </w:tcPr>
          <w:p>
            <w:pPr>
              <w:jc w:val="center"/>
              <w:ind w:left="66"/>
              <w:spacing w:after="0"/>
              <w:rPr>
                <w:sz w:val="20"/>
                <w:szCs w:val="20"/>
                <w:color w:val="auto"/>
              </w:rPr>
            </w:pPr>
            <w:r>
              <w:rPr>
                <w:rFonts w:ascii="Arial" w:cs="Arial" w:eastAsia="Arial" w:hAnsi="Arial"/>
                <w:sz w:val="11"/>
                <w:szCs w:val="11"/>
                <w:color w:val="auto"/>
                <w:w w:val="87"/>
              </w:rPr>
              <w:t>10/18/2022</w:t>
            </w:r>
          </w:p>
        </w:tc>
        <w:tc>
          <w:tcPr>
            <w:tcW w:w="240" w:type="dxa"/>
            <w:vAlign w:val="bottom"/>
            <w:tcBorders>
              <w:bottom w:val="single" w:sz="8" w:color="CCECFF"/>
            </w:tcBorders>
          </w:tcPr>
          <w:p>
            <w:pPr>
              <w:spacing w:after="0"/>
              <w:rPr>
                <w:sz w:val="11"/>
                <w:szCs w:val="11"/>
                <w:color w:val="auto"/>
              </w:rPr>
            </w:pPr>
          </w:p>
        </w:tc>
        <w:tc>
          <w:tcPr>
            <w:tcW w:w="276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1"/>
                <w:szCs w:val="11"/>
                <w:color w:val="auto"/>
                <w:w w:val="86"/>
              </w:rPr>
              <w:t>Aerospace and Defense</w:t>
            </w:r>
          </w:p>
        </w:tc>
        <w:tc>
          <w:tcPr>
            <w:tcW w:w="86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1"/>
                <w:szCs w:val="11"/>
                <w:color w:val="auto"/>
              </w:rPr>
              <w:t>9.55%</w:t>
            </w:r>
          </w:p>
        </w:tc>
        <w:tc>
          <w:tcPr>
            <w:tcW w:w="560" w:type="dxa"/>
            <w:vAlign w:val="bottom"/>
            <w:tcBorders>
              <w:bottom w:val="single" w:sz="8" w:color="CCECFF"/>
            </w:tcBorders>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tcBorders>
              <w:bottom w:val="single" w:sz="8" w:color="CCECFF"/>
            </w:tcBorders>
            <w:gridSpan w:val="3"/>
          </w:tcPr>
          <w:p>
            <w:pPr>
              <w:jc w:val="right"/>
              <w:ind w:right="220"/>
              <w:spacing w:after="0"/>
              <w:rPr>
                <w:sz w:val="20"/>
                <w:szCs w:val="20"/>
                <w:color w:val="auto"/>
              </w:rPr>
            </w:pPr>
            <w:r>
              <w:rPr>
                <w:rFonts w:ascii="Arial" w:cs="Arial" w:eastAsia="Arial" w:hAnsi="Arial"/>
                <w:sz w:val="11"/>
                <w:szCs w:val="11"/>
                <w:color w:val="auto"/>
                <w:w w:val="96"/>
              </w:rPr>
              <w:t>L+750</w:t>
            </w: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1"/>
                <w:szCs w:val="11"/>
                <w:color w:val="auto"/>
              </w:rPr>
              <w:t>5,466,024</w:t>
            </w: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5,389,938</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5,466,024</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First Lien Secured Debt</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1"/>
              </w:rPr>
              <w:t>478,935,867</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w w:val="98"/>
              </w:rPr>
              <w:t>474,289,532</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tcPr>
          <w:p>
            <w:pPr>
              <w:spacing w:after="0"/>
              <w:rPr>
                <w:sz w:val="20"/>
                <w:szCs w:val="20"/>
                <w:color w:val="auto"/>
              </w:rPr>
            </w:pPr>
            <w:r>
              <w:rPr>
                <w:rFonts w:ascii="Arial" w:cs="Arial" w:eastAsia="Arial" w:hAnsi="Arial"/>
                <w:sz w:val="11"/>
                <w:szCs w:val="11"/>
                <w:b w:val="1"/>
                <w:bCs w:val="1"/>
                <w:color w:val="auto"/>
              </w:rPr>
              <w:t>Second Lien Secured Debt—14.8%</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Country Fresh Holdings, LLC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04/29/2024</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10.60%</w:t>
            </w:r>
          </w:p>
        </w:tc>
        <w:tc>
          <w:tcPr>
            <w:tcW w:w="560" w:type="dxa"/>
            <w:vAlign w:val="bottom"/>
            <w:shd w:val="clear" w:color="auto" w:fill="CCECFF"/>
          </w:tcPr>
          <w:p>
            <w:pPr>
              <w:ind w:left="400"/>
              <w:spacing w:after="0"/>
              <w:rPr>
                <w:sz w:val="20"/>
                <w:szCs w:val="20"/>
                <w:color w:val="auto"/>
              </w:rPr>
            </w:pPr>
            <w:r>
              <w:rPr>
                <w:rFonts w:ascii="Arial" w:cs="Arial" w:eastAsia="Arial" w:hAnsi="Arial"/>
                <w:sz w:val="11"/>
                <w:szCs w:val="11"/>
                <w:color w:val="auto"/>
                <w:w w:val="91"/>
              </w:rPr>
              <w:t>1M</w:t>
            </w: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w w:val="96"/>
              </w:rPr>
              <w:t>L+850</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870,886</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10.60%)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DBI Holding, LLC, Term Loan B</w:t>
            </w:r>
          </w:p>
        </w:tc>
        <w:tc>
          <w:tcPr>
            <w:tcW w:w="640" w:type="dxa"/>
            <w:vAlign w:val="bottom"/>
            <w:gridSpan w:val="2"/>
          </w:tcPr>
          <w:p>
            <w:pPr>
              <w:jc w:val="center"/>
              <w:ind w:left="66"/>
              <w:spacing w:after="0"/>
              <w:rPr>
                <w:sz w:val="20"/>
                <w:szCs w:val="20"/>
                <w:color w:val="auto"/>
              </w:rPr>
            </w:pPr>
            <w:r>
              <w:rPr>
                <w:rFonts w:ascii="Arial" w:cs="Arial" w:eastAsia="Arial" w:hAnsi="Arial"/>
                <w:sz w:val="11"/>
                <w:szCs w:val="11"/>
                <w:color w:val="auto"/>
                <w:w w:val="87"/>
              </w:rPr>
              <w:t>03/26/2021</w:t>
            </w:r>
          </w:p>
        </w:tc>
        <w:tc>
          <w:tcPr>
            <w:tcW w:w="240" w:type="dxa"/>
            <w:vAlign w:val="bottom"/>
          </w:tcPr>
          <w:p>
            <w:pPr>
              <w:spacing w:after="0"/>
              <w:rPr>
                <w:sz w:val="11"/>
                <w:szCs w:val="11"/>
                <w:color w:val="auto"/>
              </w:rPr>
            </w:pP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tcPr>
          <w:p>
            <w:pPr>
              <w:ind w:left="400"/>
              <w:spacing w:after="0"/>
              <w:rPr>
                <w:sz w:val="20"/>
                <w:szCs w:val="20"/>
                <w:color w:val="auto"/>
              </w:rPr>
            </w:pPr>
            <w:r>
              <w:rPr>
                <w:rFonts w:ascii="Arial" w:cs="Arial" w:eastAsia="Arial" w:hAnsi="Arial"/>
                <w:sz w:val="11"/>
                <w:szCs w:val="11"/>
                <w:color w:val="auto"/>
                <w:w w:val="91"/>
              </w:rPr>
              <w:t>6M</w:t>
            </w: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w w:val="96"/>
              </w:rPr>
              <w:t>L+525</w:t>
            </w:r>
          </w:p>
        </w:tc>
        <w:tc>
          <w:tcPr>
            <w:tcW w:w="580" w:type="dxa"/>
            <w:vAlign w:val="bottom"/>
          </w:tcPr>
          <w:p>
            <w:pPr>
              <w:jc w:val="right"/>
              <w:spacing w:after="0"/>
              <w:rPr>
                <w:sz w:val="20"/>
                <w:szCs w:val="20"/>
                <w:color w:val="auto"/>
              </w:rPr>
            </w:pPr>
            <w:r>
              <w:rPr>
                <w:rFonts w:ascii="Arial" w:cs="Arial" w:eastAsia="Arial" w:hAnsi="Arial"/>
                <w:sz w:val="11"/>
                <w:szCs w:val="11"/>
                <w:color w:val="auto"/>
              </w:rPr>
              <w:t>15,206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15,206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15,206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Term Loan C</w:t>
            </w:r>
          </w:p>
        </w:tc>
        <w:tc>
          <w:tcPr>
            <w:tcW w:w="640" w:type="dxa"/>
            <w:vAlign w:val="bottom"/>
            <w:gridSpan w:val="2"/>
            <w:shd w:val="clear" w:color="auto" w:fill="CCECFF"/>
          </w:tcPr>
          <w:p>
            <w:pPr>
              <w:jc w:val="center"/>
              <w:ind w:left="66"/>
              <w:spacing w:after="0"/>
              <w:rPr>
                <w:sz w:val="20"/>
                <w:szCs w:val="20"/>
                <w:color w:val="auto"/>
              </w:rPr>
            </w:pPr>
            <w:r>
              <w:rPr>
                <w:rFonts w:ascii="Arial" w:cs="Arial" w:eastAsia="Arial" w:hAnsi="Arial"/>
                <w:sz w:val="11"/>
                <w:szCs w:val="11"/>
                <w:color w:val="auto"/>
                <w:w w:val="87"/>
              </w:rPr>
              <w:t>02/02/2026</w:t>
            </w:r>
          </w:p>
        </w:tc>
        <w:tc>
          <w:tcPr>
            <w:tcW w:w="240" w:type="dxa"/>
            <w:vAlign w:val="bottom"/>
            <w:shd w:val="clear" w:color="auto" w:fill="CCECFF"/>
          </w:tcPr>
          <w:p>
            <w:pPr>
              <w:spacing w:after="0"/>
              <w:rPr>
                <w:sz w:val="11"/>
                <w:szCs w:val="11"/>
                <w:color w:val="auto"/>
              </w:rPr>
            </w:pP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180"/>
              <w:spacing w:after="0"/>
              <w:rPr>
                <w:sz w:val="20"/>
                <w:szCs w:val="20"/>
                <w:color w:val="auto"/>
              </w:rPr>
            </w:pPr>
            <w:r>
              <w:rPr>
                <w:rFonts w:ascii="Arial" w:cs="Arial" w:eastAsia="Arial" w:hAnsi="Arial"/>
                <w:sz w:val="11"/>
                <w:szCs w:val="11"/>
                <w:color w:val="auto"/>
              </w:rPr>
              <w:t>8.00%</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7,607,291</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7,607,291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7,569,255</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860" w:type="dxa"/>
            <w:vAlign w:val="bottom"/>
            <w:gridSpan w:val="2"/>
            <w:shd w:val="clear" w:color="auto" w:fill="CCECFF"/>
          </w:tcPr>
          <w:p>
            <w:pPr>
              <w:jc w:val="right"/>
              <w:ind w:right="140"/>
              <w:spacing w:after="0"/>
              <w:rPr>
                <w:sz w:val="20"/>
                <w:szCs w:val="20"/>
                <w:color w:val="auto"/>
              </w:rPr>
            </w:pPr>
            <w:r>
              <w:rPr>
                <w:rFonts w:ascii="Arial" w:cs="Arial" w:eastAsia="Arial" w:hAnsi="Arial"/>
                <w:sz w:val="11"/>
                <w:szCs w:val="11"/>
                <w:color w:val="auto"/>
              </w:rPr>
              <w:t>(PIK 8.00%)</w:t>
            </w: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b w:val="1"/>
                <w:bCs w:val="1"/>
                <w:color w:val="auto"/>
              </w:rPr>
              <w:t>Total Second Lien Secured Debt</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8,493,383</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8,455,347</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Equity Securities—10.2%</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Country Fresh Holding Company Inc.</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Beverage, Food and Tobacco</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1,317</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1,713,106</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1,124,929</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DBI Holding, LLC, Series A-1</w:t>
            </w:r>
          </w:p>
        </w:tc>
        <w:tc>
          <w:tcPr>
            <w:tcW w:w="120" w:type="dxa"/>
            <w:vAlign w:val="bottom"/>
            <w:shd w:val="clear" w:color="auto" w:fill="CCECFF"/>
          </w:tcPr>
          <w:p>
            <w:pPr>
              <w:spacing w:after="0"/>
              <w:rPr>
                <w:sz w:val="11"/>
                <w:szCs w:val="11"/>
                <w:color w:val="auto"/>
              </w:rPr>
            </w:pPr>
          </w:p>
        </w:tc>
        <w:tc>
          <w:tcPr>
            <w:tcW w:w="760" w:type="dxa"/>
            <w:vAlign w:val="bottom"/>
            <w:gridSpan w:val="2"/>
            <w:shd w:val="clear" w:color="auto" w:fill="CCECFF"/>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shd w:val="clear" w:color="auto" w:fill="CCECFF"/>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shd w:val="clear" w:color="auto" w:fill="CCECFF"/>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CFF"/>
          </w:tcPr>
          <w:p>
            <w:pPr>
              <w:spacing w:after="0"/>
              <w:rPr>
                <w:sz w:val="11"/>
                <w:szCs w:val="11"/>
                <w:color w:val="auto"/>
              </w:rPr>
            </w:pPr>
          </w:p>
        </w:tc>
        <w:tc>
          <w:tcPr>
            <w:tcW w:w="540" w:type="dxa"/>
            <w:vAlign w:val="bottom"/>
            <w:gridSpan w:val="3"/>
            <w:shd w:val="clear" w:color="auto" w:fill="CCECFF"/>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w:t>
            </w: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5,034,310</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4,680,039</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Pr>
          <w:p>
            <w:pPr>
              <w:spacing w:after="0"/>
              <w:rPr>
                <w:sz w:val="20"/>
                <w:szCs w:val="20"/>
                <w:color w:val="auto"/>
              </w:rPr>
            </w:pPr>
            <w:r>
              <w:rPr>
                <w:rFonts w:ascii="Arial" w:cs="Arial" w:eastAsia="Arial" w:hAnsi="Arial"/>
                <w:sz w:val="11"/>
                <w:szCs w:val="11"/>
                <w:color w:val="auto"/>
              </w:rPr>
              <w:t>DBI Holding, LLC, Series B</w:t>
            </w:r>
          </w:p>
        </w:tc>
        <w:tc>
          <w:tcPr>
            <w:tcW w:w="120" w:type="dxa"/>
            <w:vAlign w:val="bottom"/>
          </w:tcPr>
          <w:p>
            <w:pPr>
              <w:spacing w:after="0"/>
              <w:rPr>
                <w:sz w:val="11"/>
                <w:szCs w:val="11"/>
                <w:color w:val="auto"/>
              </w:rPr>
            </w:pPr>
          </w:p>
        </w:tc>
        <w:tc>
          <w:tcPr>
            <w:tcW w:w="76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2760" w:type="dxa"/>
            <w:vAlign w:val="bottom"/>
            <w:gridSpan w:val="2"/>
          </w:tcPr>
          <w:p>
            <w:pPr>
              <w:jc w:val="center"/>
              <w:ind w:right="140"/>
              <w:spacing w:after="0"/>
              <w:rPr>
                <w:sz w:val="20"/>
                <w:szCs w:val="20"/>
                <w:color w:val="auto"/>
              </w:rPr>
            </w:pPr>
            <w:r>
              <w:rPr>
                <w:rFonts w:ascii="Arial" w:cs="Arial" w:eastAsia="Arial" w:hAnsi="Arial"/>
                <w:sz w:val="11"/>
                <w:szCs w:val="11"/>
                <w:color w:val="auto"/>
                <w:w w:val="86"/>
              </w:rPr>
              <w:t>Business Services</w:t>
            </w:r>
          </w:p>
        </w:tc>
        <w:tc>
          <w:tcPr>
            <w:tcW w:w="86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1"/>
                <w:szCs w:val="11"/>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1"/>
                <w:szCs w:val="11"/>
                <w:color w:val="auto"/>
              </w:rPr>
              <w:t>1,065,021</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236,521</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8"/>
        </w:trPr>
        <w:tc>
          <w:tcPr>
            <w:tcW w:w="306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1"/>
                <w:szCs w:val="11"/>
                <w:b w:val="1"/>
                <w:bCs w:val="1"/>
                <w:color w:val="auto"/>
              </w:rPr>
              <w:t>Total Equity Securities</w:t>
            </w:r>
          </w:p>
        </w:tc>
        <w:tc>
          <w:tcPr>
            <w:tcW w:w="120" w:type="dxa"/>
            <w:vAlign w:val="bottom"/>
            <w:tcBorders>
              <w:top w:val="single" w:sz="8" w:color="CCECFF"/>
            </w:tcBorders>
            <w:shd w:val="clear" w:color="auto" w:fill="CCECFF"/>
          </w:tcPr>
          <w:p>
            <w:pPr>
              <w:spacing w:after="0"/>
              <w:rPr>
                <w:sz w:val="11"/>
                <w:szCs w:val="11"/>
                <w:color w:val="auto"/>
              </w:rPr>
            </w:pPr>
          </w:p>
        </w:tc>
        <w:tc>
          <w:tcPr>
            <w:tcW w:w="52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6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6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CCECFF"/>
            </w:tcBorders>
            <w:shd w:val="clear" w:color="auto" w:fill="CCECFF"/>
          </w:tcPr>
          <w:p>
            <w:pPr>
              <w:spacing w:after="0"/>
              <w:rPr>
                <w:sz w:val="11"/>
                <w:szCs w:val="11"/>
                <w:color w:val="auto"/>
              </w:rPr>
            </w:pPr>
          </w:p>
        </w:tc>
        <w:tc>
          <w:tcPr>
            <w:tcW w:w="560" w:type="dxa"/>
            <w:vAlign w:val="bottom"/>
            <w:tcBorders>
              <w:top w:val="single" w:sz="8" w:color="CCECFF"/>
            </w:tcBorders>
            <w:shd w:val="clear" w:color="auto" w:fill="CCECFF"/>
          </w:tcPr>
          <w:p>
            <w:pPr>
              <w:spacing w:after="0"/>
              <w:rPr>
                <w:sz w:val="11"/>
                <w:szCs w:val="11"/>
                <w:color w:val="auto"/>
              </w:rPr>
            </w:pPr>
          </w:p>
        </w:tc>
        <w:tc>
          <w:tcPr>
            <w:tcW w:w="3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58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bottom w:val="single" w:sz="8" w:color="auto"/>
            </w:tcBorders>
            <w:shd w:val="clear" w:color="auto" w:fill="CCECFF"/>
          </w:tcPr>
          <w:p>
            <w:pPr>
              <w:spacing w:after="0"/>
              <w:rPr>
                <w:sz w:val="11"/>
                <w:szCs w:val="11"/>
                <w:color w:val="auto"/>
              </w:rPr>
            </w:pPr>
          </w:p>
        </w:tc>
        <w:tc>
          <w:tcPr>
            <w:tcW w:w="6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6,983,937</w:t>
            </w: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bottom w:val="single" w:sz="8" w:color="auto"/>
            </w:tcBorders>
            <w:shd w:val="clear" w:color="auto" w:fill="CCECFF"/>
          </w:tcPr>
          <w:p>
            <w:pPr>
              <w:spacing w:after="0"/>
              <w:rPr>
                <w:sz w:val="11"/>
                <w:szCs w:val="11"/>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5,804,968</w:t>
            </w:r>
          </w:p>
        </w:tc>
        <w:tc>
          <w:tcPr>
            <w:tcW w:w="12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Cash and Cash Equivalents—26.8%</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shd w:val="clear" w:color="auto" w:fill="CCECFF"/>
          </w:tcPr>
          <w:p>
            <w:pPr>
              <w:spacing w:after="0"/>
              <w:rPr>
                <w:sz w:val="20"/>
                <w:szCs w:val="20"/>
                <w:color w:val="auto"/>
              </w:rPr>
            </w:pPr>
            <w:r>
              <w:rPr>
                <w:rFonts w:ascii="Arial" w:cs="Arial" w:eastAsia="Arial" w:hAnsi="Arial"/>
                <w:sz w:val="11"/>
                <w:szCs w:val="11"/>
                <w:color w:val="auto"/>
              </w:rPr>
              <w:t>BlackRock Federal FD Institutional 30</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shd w:val="clear" w:color="auto" w:fill="CCECFF"/>
          </w:tcPr>
          <w:p>
            <w:pPr>
              <w:spacing w:after="0"/>
              <w:rPr>
                <w:sz w:val="11"/>
                <w:szCs w:val="11"/>
                <w:color w:val="auto"/>
              </w:rPr>
            </w:pPr>
          </w:p>
        </w:tc>
        <w:tc>
          <w:tcPr>
            <w:tcW w:w="60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2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1"/>
                <w:szCs w:val="11"/>
                <w:color w:val="auto"/>
              </w:rPr>
              <w:t>12,166,301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60" w:type="dxa"/>
            <w:vAlign w:val="bottom"/>
            <w:tcBorders>
              <w:bottom w:val="single" w:sz="8" w:color="CCECFF"/>
            </w:tcBorders>
          </w:tcPr>
          <w:p>
            <w:pPr>
              <w:spacing w:after="0"/>
              <w:rPr>
                <w:sz w:val="20"/>
                <w:szCs w:val="20"/>
                <w:color w:val="auto"/>
              </w:rPr>
            </w:pPr>
            <w:r>
              <w:rPr>
                <w:rFonts w:ascii="Arial" w:cs="Arial" w:eastAsia="Arial" w:hAnsi="Arial"/>
                <w:sz w:val="11"/>
                <w:szCs w:val="11"/>
                <w:color w:val="auto"/>
              </w:rPr>
              <w:t>US Bank Cash</w:t>
            </w:r>
          </w:p>
        </w:tc>
        <w:tc>
          <w:tcPr>
            <w:tcW w:w="120" w:type="dxa"/>
            <w:vAlign w:val="bottom"/>
            <w:tcBorders>
              <w:bottom w:val="single" w:sz="8" w:color="CCECFF"/>
            </w:tcBorders>
          </w:tcPr>
          <w:p>
            <w:pPr>
              <w:spacing w:after="0"/>
              <w:rPr>
                <w:sz w:val="11"/>
                <w:szCs w:val="11"/>
                <w:color w:val="auto"/>
              </w:rPr>
            </w:pPr>
          </w:p>
        </w:tc>
        <w:tc>
          <w:tcPr>
            <w:tcW w:w="52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2620" w:type="dxa"/>
            <w:vAlign w:val="bottom"/>
            <w:tcBorders>
              <w:bottom w:val="single" w:sz="8" w:color="CCECFF"/>
            </w:tcBorders>
          </w:tcPr>
          <w:p>
            <w:pPr>
              <w:spacing w:after="0"/>
              <w:rPr>
                <w:sz w:val="11"/>
                <w:szCs w:val="11"/>
                <w:color w:val="auto"/>
              </w:rPr>
            </w:pPr>
          </w:p>
        </w:tc>
        <w:tc>
          <w:tcPr>
            <w:tcW w:w="140" w:type="dxa"/>
            <w:vAlign w:val="bottom"/>
            <w:tcBorders>
              <w:bottom w:val="single" w:sz="8" w:color="CCECFF"/>
            </w:tcBorders>
          </w:tcPr>
          <w:p>
            <w:pPr>
              <w:spacing w:after="0"/>
              <w:rPr>
                <w:sz w:val="11"/>
                <w:szCs w:val="11"/>
                <w:color w:val="auto"/>
              </w:rPr>
            </w:pPr>
          </w:p>
        </w:tc>
        <w:tc>
          <w:tcPr>
            <w:tcW w:w="600" w:type="dxa"/>
            <w:vAlign w:val="bottom"/>
            <w:tcBorders>
              <w:bottom w:val="single" w:sz="8" w:color="CCECFF"/>
            </w:tcBorders>
          </w:tcPr>
          <w:p>
            <w:pPr>
              <w:spacing w:after="0"/>
              <w:rPr>
                <w:sz w:val="11"/>
                <w:szCs w:val="11"/>
                <w:color w:val="auto"/>
              </w:rPr>
            </w:pPr>
          </w:p>
        </w:tc>
        <w:tc>
          <w:tcPr>
            <w:tcW w:w="260" w:type="dxa"/>
            <w:vAlign w:val="bottom"/>
            <w:tcBorders>
              <w:bottom w:val="single" w:sz="8" w:color="CCECFF"/>
            </w:tcBorders>
          </w:tcPr>
          <w:p>
            <w:pPr>
              <w:spacing w:after="0"/>
              <w:rPr>
                <w:sz w:val="11"/>
                <w:szCs w:val="11"/>
                <w:color w:val="auto"/>
              </w:rPr>
            </w:pPr>
          </w:p>
        </w:tc>
        <w:tc>
          <w:tcPr>
            <w:tcW w:w="560" w:type="dxa"/>
            <w:vAlign w:val="bottom"/>
            <w:tcBorders>
              <w:bottom w:val="single" w:sz="8" w:color="CCECFF"/>
            </w:tcBorders>
          </w:tcPr>
          <w:p>
            <w:pPr>
              <w:spacing w:after="0"/>
              <w:rPr>
                <w:sz w:val="11"/>
                <w:szCs w:val="11"/>
                <w:color w:val="auto"/>
              </w:rPr>
            </w:pPr>
          </w:p>
        </w:tc>
        <w:tc>
          <w:tcPr>
            <w:tcW w:w="320" w:type="dxa"/>
            <w:vAlign w:val="bottom"/>
            <w:tcBorders>
              <w:bottom w:val="single" w:sz="8" w:color="CCECFF"/>
            </w:tcBorders>
          </w:tcPr>
          <w:p>
            <w:pPr>
              <w:spacing w:after="0"/>
              <w:rPr>
                <w:sz w:val="11"/>
                <w:szCs w:val="11"/>
                <w:color w:val="auto"/>
              </w:rPr>
            </w:pPr>
          </w:p>
        </w:tc>
        <w:tc>
          <w:tcPr>
            <w:tcW w:w="120" w:type="dxa"/>
            <w:vAlign w:val="bottom"/>
            <w:tcBorders>
              <w:bottom w:val="single" w:sz="8" w:color="CCECFF"/>
            </w:tcBorders>
          </w:tcPr>
          <w:p>
            <w:pPr>
              <w:spacing w:after="0"/>
              <w:rPr>
                <w:sz w:val="11"/>
                <w:szCs w:val="11"/>
                <w:color w:val="auto"/>
              </w:rPr>
            </w:pPr>
          </w:p>
        </w:tc>
        <w:tc>
          <w:tcPr>
            <w:tcW w:w="100" w:type="dxa"/>
            <w:vAlign w:val="bottom"/>
            <w:tcBorders>
              <w:bottom w:val="single" w:sz="8" w:color="CCECFF"/>
            </w:tcBorders>
          </w:tcPr>
          <w:p>
            <w:pPr>
              <w:spacing w:after="0"/>
              <w:rPr>
                <w:sz w:val="11"/>
                <w:szCs w:val="11"/>
                <w:color w:val="auto"/>
              </w:rPr>
            </w:pPr>
          </w:p>
        </w:tc>
        <w:tc>
          <w:tcPr>
            <w:tcW w:w="580" w:type="dxa"/>
            <w:vAlign w:val="bottom"/>
            <w:tcBorders>
              <w:bottom w:val="single" w:sz="8" w:color="CCECFF"/>
            </w:tcBorders>
          </w:tcPr>
          <w:p>
            <w:pPr>
              <w:spacing w:after="0"/>
              <w:rPr>
                <w:sz w:val="11"/>
                <w:szCs w:val="11"/>
                <w:color w:val="auto"/>
              </w:rPr>
            </w:pPr>
          </w:p>
        </w:tc>
        <w:tc>
          <w:tcPr>
            <w:tcW w:w="240" w:type="dxa"/>
            <w:vAlign w:val="bottom"/>
            <w:tcBorders>
              <w:bottom w:val="single" w:sz="8" w:color="CCEC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3,156,230</w:t>
            </w:r>
          </w:p>
        </w:tc>
        <w:tc>
          <w:tcPr>
            <w:tcW w:w="220" w:type="dxa"/>
            <w:vAlign w:val="bottom"/>
            <w:tcBorders>
              <w:bottom w:val="single" w:sz="8" w:color="CCEC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3,128,580</w:t>
            </w:r>
          </w:p>
        </w:tc>
        <w:tc>
          <w:tcPr>
            <w:tcW w:w="120" w:type="dxa"/>
            <w:vAlign w:val="bottom"/>
            <w:tcBorders>
              <w:bottom w:val="single" w:sz="8" w:color="CCEC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060" w:type="dxa"/>
            <w:vAlign w:val="bottom"/>
            <w:shd w:val="clear" w:color="auto" w:fill="CCECFF"/>
          </w:tcPr>
          <w:p>
            <w:pPr>
              <w:spacing w:after="0"/>
              <w:rPr>
                <w:sz w:val="20"/>
                <w:szCs w:val="20"/>
                <w:color w:val="auto"/>
              </w:rPr>
            </w:pPr>
            <w:r>
              <w:rPr>
                <w:rFonts w:ascii="Arial" w:cs="Arial" w:eastAsia="Arial" w:hAnsi="Arial"/>
                <w:sz w:val="11"/>
                <w:szCs w:val="11"/>
                <w:b w:val="1"/>
                <w:bCs w:val="1"/>
                <w:color w:val="auto"/>
              </w:rPr>
              <w:t>Total Cash and Cash Equivalents</w:t>
            </w:r>
          </w:p>
        </w:tc>
        <w:tc>
          <w:tcPr>
            <w:tcW w:w="120" w:type="dxa"/>
            <w:vAlign w:val="bottom"/>
            <w:shd w:val="clear" w:color="auto" w:fill="CCECFF"/>
          </w:tcPr>
          <w:p>
            <w:pPr>
              <w:spacing w:after="0"/>
              <w:rPr>
                <w:sz w:val="11"/>
                <w:szCs w:val="11"/>
                <w:color w:val="auto"/>
              </w:rPr>
            </w:pPr>
          </w:p>
        </w:tc>
        <w:tc>
          <w:tcPr>
            <w:tcW w:w="52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2620" w:type="dxa"/>
            <w:vAlign w:val="bottom"/>
            <w:shd w:val="clear" w:color="auto" w:fill="CCECFF"/>
          </w:tcPr>
          <w:p>
            <w:pPr>
              <w:spacing w:after="0"/>
              <w:rPr>
                <w:sz w:val="11"/>
                <w:szCs w:val="11"/>
                <w:color w:val="auto"/>
              </w:rPr>
            </w:pPr>
          </w:p>
        </w:tc>
        <w:tc>
          <w:tcPr>
            <w:tcW w:w="140" w:type="dxa"/>
            <w:vAlign w:val="bottom"/>
            <w:shd w:val="clear" w:color="auto" w:fill="CCECFF"/>
          </w:tcPr>
          <w:p>
            <w:pPr>
              <w:spacing w:after="0"/>
              <w:rPr>
                <w:sz w:val="11"/>
                <w:szCs w:val="11"/>
                <w:color w:val="auto"/>
              </w:rPr>
            </w:pPr>
          </w:p>
        </w:tc>
        <w:tc>
          <w:tcPr>
            <w:tcW w:w="600" w:type="dxa"/>
            <w:vAlign w:val="bottom"/>
            <w:shd w:val="clear" w:color="auto" w:fill="CCECFF"/>
          </w:tcPr>
          <w:p>
            <w:pPr>
              <w:spacing w:after="0"/>
              <w:rPr>
                <w:sz w:val="11"/>
                <w:szCs w:val="11"/>
                <w:color w:val="auto"/>
              </w:rPr>
            </w:pPr>
          </w:p>
        </w:tc>
        <w:tc>
          <w:tcPr>
            <w:tcW w:w="260" w:type="dxa"/>
            <w:vAlign w:val="bottom"/>
            <w:shd w:val="clear" w:color="auto" w:fill="CCECFF"/>
          </w:tcPr>
          <w:p>
            <w:pPr>
              <w:spacing w:after="0"/>
              <w:rPr>
                <w:sz w:val="11"/>
                <w:szCs w:val="11"/>
                <w:color w:val="auto"/>
              </w:rPr>
            </w:pPr>
          </w:p>
        </w:tc>
        <w:tc>
          <w:tcPr>
            <w:tcW w:w="560" w:type="dxa"/>
            <w:vAlign w:val="bottom"/>
            <w:shd w:val="clear" w:color="auto" w:fill="CCECFF"/>
          </w:tcPr>
          <w:p>
            <w:pPr>
              <w:spacing w:after="0"/>
              <w:rPr>
                <w:sz w:val="11"/>
                <w:szCs w:val="11"/>
                <w:color w:val="auto"/>
              </w:rPr>
            </w:pPr>
          </w:p>
        </w:tc>
        <w:tc>
          <w:tcPr>
            <w:tcW w:w="320" w:type="dxa"/>
            <w:vAlign w:val="bottom"/>
            <w:shd w:val="clear" w:color="auto" w:fill="CCECFF"/>
          </w:tcPr>
          <w:p>
            <w:pPr>
              <w:spacing w:after="0"/>
              <w:rPr>
                <w:sz w:val="11"/>
                <w:szCs w:val="11"/>
                <w:color w:val="auto"/>
              </w:rPr>
            </w:pPr>
          </w:p>
        </w:tc>
        <w:tc>
          <w:tcPr>
            <w:tcW w:w="120" w:type="dxa"/>
            <w:vAlign w:val="bottom"/>
            <w:shd w:val="clear" w:color="auto" w:fill="CCECFF"/>
          </w:tcPr>
          <w:p>
            <w:pPr>
              <w:spacing w:after="0"/>
              <w:rPr>
                <w:sz w:val="11"/>
                <w:szCs w:val="11"/>
                <w:color w:val="auto"/>
              </w:rPr>
            </w:pPr>
          </w:p>
        </w:tc>
        <w:tc>
          <w:tcPr>
            <w:tcW w:w="100" w:type="dxa"/>
            <w:vAlign w:val="bottom"/>
            <w:shd w:val="clear" w:color="auto" w:fill="CCECFF"/>
          </w:tcPr>
          <w:p>
            <w:pPr>
              <w:spacing w:after="0"/>
              <w:rPr>
                <w:sz w:val="11"/>
                <w:szCs w:val="11"/>
                <w:color w:val="auto"/>
              </w:rPr>
            </w:pPr>
          </w:p>
        </w:tc>
        <w:tc>
          <w:tcPr>
            <w:tcW w:w="580" w:type="dxa"/>
            <w:vAlign w:val="bottom"/>
            <w:shd w:val="clear" w:color="auto" w:fill="CCECFF"/>
          </w:tcPr>
          <w:p>
            <w:pPr>
              <w:spacing w:after="0"/>
              <w:rPr>
                <w:sz w:val="11"/>
                <w:szCs w:val="11"/>
                <w:color w:val="auto"/>
              </w:rPr>
            </w:pPr>
          </w:p>
        </w:tc>
        <w:tc>
          <w:tcPr>
            <w:tcW w:w="240" w:type="dxa"/>
            <w:vAlign w:val="bottom"/>
            <w:shd w:val="clear" w:color="auto" w:fill="CCECFF"/>
          </w:tcPr>
          <w:p>
            <w:pPr>
              <w:spacing w:after="0"/>
              <w:rPr>
                <w:sz w:val="11"/>
                <w:szCs w:val="11"/>
                <w:color w:val="auto"/>
              </w:rPr>
            </w:pPr>
          </w:p>
        </w:tc>
        <w:tc>
          <w:tcPr>
            <w:tcW w:w="80" w:type="dxa"/>
            <w:vAlign w:val="bottom"/>
            <w:tcBorders>
              <w:bottom w:val="single" w:sz="8" w:color="auto"/>
            </w:tcBorders>
            <w:shd w:val="clear" w:color="auto" w:fill="CCECFF"/>
          </w:tcPr>
          <w:p>
            <w:pPr>
              <w:spacing w:after="0"/>
              <w:rPr>
                <w:sz w:val="11"/>
                <w:szCs w:val="11"/>
                <w:color w:val="auto"/>
              </w:rPr>
            </w:pPr>
          </w:p>
        </w:tc>
        <w:tc>
          <w:tcPr>
            <w:tcW w:w="6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15,322,531</w:t>
            </w:r>
          </w:p>
        </w:tc>
        <w:tc>
          <w:tcPr>
            <w:tcW w:w="220" w:type="dxa"/>
            <w:vAlign w:val="bottom"/>
            <w:shd w:val="clear" w:color="auto" w:fill="CCECFF"/>
          </w:tcPr>
          <w:p>
            <w:pPr>
              <w:spacing w:after="0"/>
              <w:rPr>
                <w:sz w:val="11"/>
                <w:szCs w:val="11"/>
                <w:color w:val="auto"/>
              </w:rPr>
            </w:pPr>
          </w:p>
        </w:tc>
        <w:tc>
          <w:tcPr>
            <w:tcW w:w="100" w:type="dxa"/>
            <w:vAlign w:val="bottom"/>
            <w:tcBorders>
              <w:bottom w:val="single" w:sz="8" w:color="auto"/>
            </w:tcBorders>
            <w:shd w:val="clear" w:color="auto" w:fill="CCECFF"/>
          </w:tcPr>
          <w:p>
            <w:pPr>
              <w:spacing w:after="0"/>
              <w:rPr>
                <w:sz w:val="11"/>
                <w:szCs w:val="11"/>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1"/>
                <w:szCs w:val="11"/>
                <w:color w:val="auto"/>
              </w:rPr>
              <w:t>15,294,881</w:t>
            </w:r>
          </w:p>
        </w:tc>
        <w:tc>
          <w:tcPr>
            <w:tcW w:w="120" w:type="dxa"/>
            <w:vAlign w:val="bottom"/>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1"/>
                <w:szCs w:val="11"/>
                <w:b w:val="1"/>
                <w:bCs w:val="1"/>
                <w:color w:val="auto"/>
              </w:rPr>
              <w:t>Total Investments and Cash Equivalents—882.3%</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w w:val="91"/>
              </w:rPr>
              <w:t>509,735,718</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1"/>
                <w:szCs w:val="11"/>
                <w:color w:val="auto"/>
                <w:w w:val="98"/>
              </w:rPr>
              <w:t>503,844,728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60" w:type="dxa"/>
            <w:vAlign w:val="bottom"/>
            <w:tcBorders>
              <w:top w:val="single" w:sz="8" w:color="CCECFF"/>
            </w:tcBorders>
            <w:vMerge w:val="restart"/>
            <w:shd w:val="clear" w:color="auto" w:fill="CCECFF"/>
          </w:tcPr>
          <w:p>
            <w:pPr>
              <w:spacing w:after="0"/>
              <w:rPr>
                <w:sz w:val="20"/>
                <w:szCs w:val="20"/>
                <w:color w:val="auto"/>
              </w:rPr>
            </w:pPr>
            <w:r>
              <w:rPr>
                <w:rFonts w:ascii="Arial" w:cs="Arial" w:eastAsia="Arial" w:hAnsi="Arial"/>
                <w:sz w:val="11"/>
                <w:szCs w:val="11"/>
                <w:b w:val="1"/>
                <w:bCs w:val="1"/>
                <w:color w:val="auto"/>
              </w:rPr>
              <w:t>Liabilities in Excess of Other Assets—(782.3)%</w:t>
            </w: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52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2620" w:type="dxa"/>
            <w:vAlign w:val="bottom"/>
            <w:tcBorders>
              <w:top w:val="single" w:sz="8" w:color="CCECFF"/>
            </w:tcBorders>
            <w:shd w:val="clear" w:color="auto" w:fill="CCECFF"/>
          </w:tcPr>
          <w:p>
            <w:pPr>
              <w:spacing w:after="0" w:line="20" w:lineRule="exact"/>
              <w:rPr>
                <w:sz w:val="1"/>
                <w:szCs w:val="1"/>
                <w:color w:val="auto"/>
              </w:rPr>
            </w:pPr>
          </w:p>
        </w:tc>
        <w:tc>
          <w:tcPr>
            <w:tcW w:w="140" w:type="dxa"/>
            <w:vAlign w:val="bottom"/>
            <w:tcBorders>
              <w:top w:val="single" w:sz="8" w:color="CCECFF"/>
            </w:tcBorders>
            <w:shd w:val="clear" w:color="auto" w:fill="CCECFF"/>
          </w:tcPr>
          <w:p>
            <w:pPr>
              <w:spacing w:after="0" w:line="20" w:lineRule="exact"/>
              <w:rPr>
                <w:sz w:val="1"/>
                <w:szCs w:val="1"/>
                <w:color w:val="auto"/>
              </w:rPr>
            </w:pPr>
          </w:p>
        </w:tc>
        <w:tc>
          <w:tcPr>
            <w:tcW w:w="600" w:type="dxa"/>
            <w:vAlign w:val="bottom"/>
            <w:tcBorders>
              <w:top w:val="single" w:sz="8" w:color="CCECFF"/>
            </w:tcBorders>
            <w:shd w:val="clear" w:color="auto" w:fill="CCECFF"/>
          </w:tcPr>
          <w:p>
            <w:pPr>
              <w:spacing w:after="0" w:line="20" w:lineRule="exact"/>
              <w:rPr>
                <w:sz w:val="1"/>
                <w:szCs w:val="1"/>
                <w:color w:val="auto"/>
              </w:rPr>
            </w:pPr>
          </w:p>
        </w:tc>
        <w:tc>
          <w:tcPr>
            <w:tcW w:w="260" w:type="dxa"/>
            <w:vAlign w:val="bottom"/>
            <w:tcBorders>
              <w:top w:val="single" w:sz="8" w:color="CCECFF"/>
            </w:tcBorders>
            <w:shd w:val="clear" w:color="auto" w:fill="CCECFF"/>
          </w:tcPr>
          <w:p>
            <w:pPr>
              <w:spacing w:after="0" w:line="20" w:lineRule="exact"/>
              <w:rPr>
                <w:sz w:val="1"/>
                <w:szCs w:val="1"/>
                <w:color w:val="auto"/>
              </w:rPr>
            </w:pPr>
          </w:p>
        </w:tc>
        <w:tc>
          <w:tcPr>
            <w:tcW w:w="560" w:type="dxa"/>
            <w:vAlign w:val="bottom"/>
            <w:tcBorders>
              <w:top w:val="single" w:sz="8" w:color="CCECFF"/>
            </w:tcBorders>
            <w:shd w:val="clear" w:color="auto" w:fill="CCECFF"/>
          </w:tcPr>
          <w:p>
            <w:pPr>
              <w:spacing w:after="0" w:line="20" w:lineRule="exact"/>
              <w:rPr>
                <w:sz w:val="1"/>
                <w:szCs w:val="1"/>
                <w:color w:val="auto"/>
              </w:rPr>
            </w:pPr>
          </w:p>
        </w:tc>
        <w:tc>
          <w:tcPr>
            <w:tcW w:w="320" w:type="dxa"/>
            <w:vAlign w:val="bottom"/>
            <w:tcBorders>
              <w:top w:val="single" w:sz="8" w:color="CCECFF"/>
            </w:tcBorders>
            <w:shd w:val="clear" w:color="auto" w:fill="CCECFF"/>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CCECFF"/>
            </w:tcBorders>
            <w:shd w:val="clear" w:color="auto" w:fill="CCECFF"/>
          </w:tcPr>
          <w:p>
            <w:pPr>
              <w:spacing w:after="0" w:line="20" w:lineRule="exact"/>
              <w:rPr>
                <w:sz w:val="1"/>
                <w:szCs w:val="1"/>
                <w:color w:val="auto"/>
              </w:rPr>
            </w:pPr>
          </w:p>
        </w:tc>
        <w:tc>
          <w:tcPr>
            <w:tcW w:w="580" w:type="dxa"/>
            <w:vAlign w:val="bottom"/>
            <w:tcBorders>
              <w:top w:val="single" w:sz="8" w:color="CCECFF"/>
            </w:tcBorders>
            <w:shd w:val="clear" w:color="auto" w:fill="CCECFF"/>
          </w:tcPr>
          <w:p>
            <w:pPr>
              <w:spacing w:after="0" w:line="20" w:lineRule="exact"/>
              <w:rPr>
                <w:sz w:val="1"/>
                <w:szCs w:val="1"/>
                <w:color w:val="auto"/>
              </w:rPr>
            </w:pPr>
          </w:p>
        </w:tc>
        <w:tc>
          <w:tcPr>
            <w:tcW w:w="240" w:type="dxa"/>
            <w:vAlign w:val="bottom"/>
            <w:tcBorders>
              <w:top w:val="single" w:sz="8" w:color="CCECFF"/>
            </w:tcBorders>
            <w:shd w:val="clear" w:color="auto" w:fill="CCEC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CFF"/>
            </w:tcBorders>
            <w:shd w:val="clear" w:color="auto" w:fill="CCEC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CFF"/>
            </w:tcBorders>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3060" w:type="dxa"/>
            <w:vAlign w:val="bottom"/>
            <w:vMerge w:val="continue"/>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52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620" w:type="dxa"/>
            <w:vAlign w:val="bottom"/>
            <w:shd w:val="clear" w:color="auto" w:fill="CCECFF"/>
          </w:tcPr>
          <w:p>
            <w:pPr>
              <w:spacing w:after="0"/>
              <w:rPr>
                <w:sz w:val="10"/>
                <w:szCs w:val="10"/>
                <w:color w:val="auto"/>
              </w:rPr>
            </w:pPr>
          </w:p>
        </w:tc>
        <w:tc>
          <w:tcPr>
            <w:tcW w:w="14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560" w:type="dxa"/>
            <w:vAlign w:val="bottom"/>
            <w:shd w:val="clear" w:color="auto" w:fill="CCECFF"/>
          </w:tcPr>
          <w:p>
            <w:pPr>
              <w:spacing w:after="0"/>
              <w:rPr>
                <w:sz w:val="10"/>
                <w:szCs w:val="10"/>
                <w:color w:val="auto"/>
              </w:rPr>
            </w:pPr>
          </w:p>
        </w:tc>
        <w:tc>
          <w:tcPr>
            <w:tcW w:w="320" w:type="dxa"/>
            <w:vAlign w:val="bottom"/>
            <w:shd w:val="clear" w:color="auto" w:fill="CCECFF"/>
          </w:tcPr>
          <w:p>
            <w:pPr>
              <w:spacing w:after="0"/>
              <w:rPr>
                <w:sz w:val="10"/>
                <w:szCs w:val="10"/>
                <w:color w:val="auto"/>
              </w:rPr>
            </w:pPr>
          </w:p>
        </w:tc>
        <w:tc>
          <w:tcPr>
            <w:tcW w:w="1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580" w:type="dxa"/>
            <w:vAlign w:val="bottom"/>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80" w:type="dxa"/>
            <w:vAlign w:val="bottom"/>
            <w:shd w:val="clear" w:color="auto" w:fill="CCECFF"/>
          </w:tcPr>
          <w:p>
            <w:pPr>
              <w:spacing w:after="0"/>
              <w:rPr>
                <w:sz w:val="10"/>
                <w:szCs w:val="10"/>
                <w:color w:val="auto"/>
              </w:rPr>
            </w:pPr>
          </w:p>
        </w:tc>
        <w:tc>
          <w:tcPr>
            <w:tcW w:w="6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760" w:type="dxa"/>
            <w:vAlign w:val="bottom"/>
            <w:gridSpan w:val="2"/>
            <w:shd w:val="clear" w:color="auto" w:fill="CCECFF"/>
          </w:tcPr>
          <w:p>
            <w:pPr>
              <w:jc w:val="right"/>
              <w:ind w:right="80"/>
              <w:spacing w:after="0" w:line="116" w:lineRule="exact"/>
              <w:rPr>
                <w:sz w:val="20"/>
                <w:szCs w:val="20"/>
                <w:color w:val="auto"/>
              </w:rPr>
            </w:pPr>
            <w:r>
              <w:rPr>
                <w:rFonts w:ascii="Arial" w:cs="Arial" w:eastAsia="Arial" w:hAnsi="Arial"/>
                <w:sz w:val="11"/>
                <w:szCs w:val="11"/>
                <w:color w:val="auto"/>
                <w:w w:val="96"/>
              </w:rPr>
              <w:t>(446,736,922)</w:t>
            </w:r>
          </w:p>
        </w:tc>
        <w:tc>
          <w:tcPr>
            <w:tcW w:w="0" w:type="dxa"/>
            <w:vAlign w:val="bottom"/>
          </w:tcPr>
          <w:p>
            <w:pPr>
              <w:spacing w:after="0"/>
              <w:rPr>
                <w:sz w:val="1"/>
                <w:szCs w:val="1"/>
                <w:color w:val="auto"/>
              </w:rPr>
            </w:pPr>
          </w:p>
        </w:tc>
      </w:tr>
      <w:tr>
        <w:trPr>
          <w:trHeight w:val="129"/>
        </w:trPr>
        <w:tc>
          <w:tcPr>
            <w:tcW w:w="3060" w:type="dxa"/>
            <w:vAlign w:val="bottom"/>
          </w:tcPr>
          <w:p>
            <w:pPr>
              <w:spacing w:after="0"/>
              <w:rPr>
                <w:sz w:val="20"/>
                <w:szCs w:val="20"/>
                <w:color w:val="auto"/>
              </w:rPr>
            </w:pPr>
            <w:r>
              <w:rPr>
                <w:rFonts w:ascii="Arial" w:cs="Arial" w:eastAsia="Arial" w:hAnsi="Arial"/>
                <w:sz w:val="11"/>
                <w:szCs w:val="11"/>
                <w:b w:val="1"/>
                <w:bCs w:val="1"/>
                <w:color w:val="auto"/>
              </w:rPr>
              <w:t>Members' Equity—100.0%</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57,107,806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8599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73" w:lineRule="exact"/>
        <w:rPr>
          <w:sz w:val="20"/>
          <w:szCs w:val="20"/>
          <w:color w:val="auto"/>
        </w:rPr>
      </w:pPr>
    </w:p>
    <w:p>
      <w:pPr>
        <w:ind w:left="380" w:right="40" w:hanging="372"/>
        <w:spacing w:after="0" w:line="235" w:lineRule="auto"/>
        <w:tabs>
          <w:tab w:leader="none" w:pos="3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LIBOR or “L” or Prime rate or “P”. The spread may change based on the type of rate used. The terms in the Schedule of Investments disclose the actual interest rate in effect as of the reporting period. LIBOR loans are typically indexed to a 30-day, 60-day, 90-day or 180-day LIBOR rate (1M L, 2M L, 3M L, or 6M L, respectively), at the borrower’s option. All securities are subject to a LIBOR or Prime rate floor where a spread is provided, unless noted. The spread provided includes PIK interest and other fee rates, if any.</w:t>
      </w:r>
    </w:p>
    <w:p>
      <w:pPr>
        <w:ind w:left="380" w:hanging="372"/>
        <w:spacing w:after="0" w:line="230" w:lineRule="auto"/>
        <w:tabs>
          <w:tab w:leader="none" w:pos="3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Valued based on PSSL’s accounting policy.</w:t>
      </w:r>
    </w:p>
    <w:p>
      <w:pPr>
        <w:ind w:left="380" w:hanging="372"/>
        <w:spacing w:after="0" w:line="230" w:lineRule="auto"/>
        <w:tabs>
          <w:tab w:leader="none" w:pos="3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Non-U.S. company or principal place of business outside the United States.</w:t>
      </w:r>
    </w:p>
    <w:p>
      <w:pPr>
        <w:ind w:left="380" w:hanging="372"/>
        <w:spacing w:after="0"/>
        <w:tabs>
          <w:tab w:leader="none" w:pos="3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Par amount is denominated in Australian Dollars (A$) or in Canadian Dollars (C$) as denoted.</w:t>
      </w:r>
    </w:p>
    <w:p>
      <w:pPr>
        <w:spacing w:after="0" w:line="27" w:lineRule="exact"/>
        <w:rPr>
          <w:rFonts w:ascii="Arial" w:cs="Arial" w:eastAsia="Arial" w:hAnsi="Arial"/>
          <w:sz w:val="11"/>
          <w:szCs w:val="11"/>
          <w:color w:val="auto"/>
        </w:rPr>
      </w:pPr>
    </w:p>
    <w:p>
      <w:pPr>
        <w:ind w:left="380" w:hanging="372"/>
        <w:spacing w:after="0"/>
        <w:tabs>
          <w:tab w:leader="none" w:pos="380" w:val="left"/>
        </w:tabs>
        <w:numPr>
          <w:ilvl w:val="0"/>
          <w:numId w:val="25"/>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82"/>
        </w:trPr>
        <w:tc>
          <w:tcPr>
            <w:tcW w:w="7040" w:type="dxa"/>
            <w:vAlign w:val="bottom"/>
          </w:tcPr>
          <w:p>
            <w:pPr>
              <w:ind w:left="440"/>
              <w:spacing w:after="0"/>
              <w:rPr>
                <w:sz w:val="20"/>
                <w:szCs w:val="20"/>
                <w:color w:val="auto"/>
              </w:rPr>
            </w:pPr>
            <w:r>
              <w:rPr>
                <w:rFonts w:ascii="Arial" w:cs="Arial" w:eastAsia="Arial" w:hAnsi="Arial"/>
                <w:sz w:val="14"/>
                <w:szCs w:val="14"/>
                <w:color w:val="auto"/>
              </w:rPr>
              <w:t>Below is the financial information for PSSL:</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7040" w:type="dxa"/>
            <w:vAlign w:val="bottom"/>
          </w:tcPr>
          <w:p>
            <w:pPr>
              <w:ind w:left="4480"/>
              <w:spacing w:after="0"/>
              <w:rPr>
                <w:sz w:val="20"/>
                <w:szCs w:val="20"/>
                <w:color w:val="auto"/>
              </w:rPr>
            </w:pPr>
            <w:r>
              <w:rPr>
                <w:rFonts w:ascii="Arial" w:cs="Arial" w:eastAsia="Arial" w:hAnsi="Arial"/>
                <w:sz w:val="14"/>
                <w:szCs w:val="14"/>
                <w:b w:val="1"/>
                <w:bCs w:val="1"/>
                <w:color w:val="auto"/>
              </w:rPr>
              <w:t>Statements of Assets and Liabilities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June 30, 2020</w:t>
            </w:r>
          </w:p>
        </w:tc>
        <w:tc>
          <w:tcPr>
            <w:tcW w:w="140" w:type="dxa"/>
            <w:vAlign w:val="bottom"/>
          </w:tcPr>
          <w:p>
            <w:pPr>
              <w:spacing w:after="0"/>
              <w:rPr>
                <w:sz w:val="24"/>
                <w:szCs w:val="2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171"/>
        </w:trPr>
        <w:tc>
          <w:tcPr>
            <w:tcW w:w="704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Investments at fair value (cost—$478,096,685 and $494,413,190, respectively)</w:t>
            </w:r>
          </w:p>
        </w:tc>
        <w:tc>
          <w:tcPr>
            <w:tcW w:w="660" w:type="dxa"/>
            <w:vAlign w:val="bottom"/>
            <w:gridSpan w:val="2"/>
            <w:shd w:val="clear" w:color="auto" w:fill="CCEC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458,456,034</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488,549,847</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Cash and cash equivalents (cost—$11,058,179 and $15,322,531, respectively)</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11,063,331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15,294,881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Interest receivable</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2,150,267</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1,855,545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Prepaid expenses and other assets</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996,333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040" w:type="dxa"/>
            <w:vAlign w:val="bottom"/>
            <w:tcBorders>
              <w:top w:val="single" w:sz="8" w:color="CCECFF"/>
            </w:tcBorders>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assets</w:t>
            </w:r>
          </w:p>
        </w:tc>
        <w:tc>
          <w:tcPr>
            <w:tcW w:w="40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spacing w:after="0"/>
              <w:rPr>
                <w:sz w:val="13"/>
                <w:szCs w:val="13"/>
                <w:color w:val="auto"/>
              </w:rPr>
            </w:pPr>
          </w:p>
        </w:tc>
        <w:tc>
          <w:tcPr>
            <w:tcW w:w="14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471,669,632</w:t>
            </w:r>
          </w:p>
        </w:tc>
        <w:tc>
          <w:tcPr>
            <w:tcW w:w="3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bottom w:val="single" w:sz="8" w:color="auto"/>
            </w:tcBorders>
            <w:shd w:val="clear" w:color="auto" w:fill="CCECFF"/>
          </w:tcPr>
          <w:p>
            <w:pPr>
              <w:spacing w:after="0"/>
              <w:rPr>
                <w:sz w:val="13"/>
                <w:szCs w:val="13"/>
                <w:color w:val="auto"/>
              </w:rPr>
            </w:pPr>
          </w:p>
        </w:tc>
        <w:tc>
          <w:tcPr>
            <w:tcW w:w="15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506,696,606</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Distribution payable</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1,400,000</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66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PSSL Credit Facility payable</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287,406,665</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308,724,305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Notes payable to members</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141,050,000</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139,650,000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Pr>
          <w:p>
            <w:pPr>
              <w:spacing w:after="0"/>
              <w:rPr>
                <w:sz w:val="20"/>
                <w:szCs w:val="20"/>
                <w:color w:val="auto"/>
              </w:rPr>
            </w:pPr>
            <w:r>
              <w:rPr>
                <w:rFonts w:ascii="Arial" w:cs="Arial" w:eastAsia="Arial" w:hAnsi="Arial"/>
                <w:sz w:val="14"/>
                <w:szCs w:val="14"/>
                <w:color w:val="auto"/>
              </w:rPr>
              <w:t>Interest payable on PSSL Credit Facility</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639,363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1,015,468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shd w:val="clear" w:color="auto" w:fill="CCECFF"/>
          </w:tcPr>
          <w:p>
            <w:pPr>
              <w:spacing w:after="0"/>
              <w:rPr>
                <w:sz w:val="20"/>
                <w:szCs w:val="20"/>
                <w:color w:val="auto"/>
              </w:rPr>
            </w:pPr>
            <w:r>
              <w:rPr>
                <w:rFonts w:ascii="Arial" w:cs="Arial" w:eastAsia="Arial" w:hAnsi="Arial"/>
                <w:sz w:val="14"/>
                <w:szCs w:val="14"/>
                <w:color w:val="auto"/>
              </w:rPr>
              <w:t>Interest payable on notes to members</w:t>
            </w:r>
          </w:p>
        </w:tc>
        <w:tc>
          <w:tcPr>
            <w:tcW w:w="4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4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32,551</w:t>
            </w:r>
          </w:p>
        </w:tc>
        <w:tc>
          <w:tcPr>
            <w:tcW w:w="3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15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176,273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4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Accrued other expenses</w:t>
            </w:r>
          </w:p>
        </w:tc>
        <w:tc>
          <w:tcPr>
            <w:tcW w:w="400" w:type="dxa"/>
            <w:vAlign w:val="bottom"/>
            <w:tcBorders>
              <w:bottom w:val="single" w:sz="8" w:color="CCEC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23,723</w:t>
            </w:r>
          </w:p>
        </w:tc>
        <w:tc>
          <w:tcPr>
            <w:tcW w:w="300" w:type="dxa"/>
            <w:vAlign w:val="bottom"/>
            <w:tcBorders>
              <w:bottom w:val="single" w:sz="8" w:color="CCEC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22,754</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04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Total liabilities</w:t>
            </w:r>
          </w:p>
        </w:tc>
        <w:tc>
          <w:tcPr>
            <w:tcW w:w="4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430,552,302</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449,588,800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4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Commitments and contingencies </w:t>
            </w:r>
            <w:r>
              <w:rPr>
                <w:rFonts w:ascii="Arial" w:cs="Arial" w:eastAsia="Arial" w:hAnsi="Arial"/>
                <w:sz w:val="12"/>
                <w:szCs w:val="12"/>
                <w:color w:val="auto"/>
              </w:rPr>
              <w:t>(1)</w:t>
            </w:r>
          </w:p>
        </w:tc>
        <w:tc>
          <w:tcPr>
            <w:tcW w:w="4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CCEC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shd w:val="clear" w:color="auto" w:fill="CCECFF"/>
          </w:tcPr>
          <w:p>
            <w:pPr>
              <w:ind w:left="740"/>
              <w:spacing w:after="0" w:line="155" w:lineRule="exact"/>
              <w:rPr>
                <w:sz w:val="20"/>
                <w:szCs w:val="20"/>
                <w:color w:val="auto"/>
              </w:rPr>
            </w:pPr>
            <w:r>
              <w:rPr>
                <w:rFonts w:ascii="Arial" w:cs="Arial" w:eastAsia="Arial" w:hAnsi="Arial"/>
                <w:sz w:val="14"/>
                <w:szCs w:val="14"/>
                <w:b w:val="1"/>
                <w:bCs w:val="1"/>
                <w:color w:val="auto"/>
              </w:rPr>
              <w:t>Members' equity</w:t>
            </w:r>
          </w:p>
        </w:tc>
        <w:tc>
          <w:tcPr>
            <w:tcW w:w="4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14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41,117,330</w:t>
            </w:r>
          </w:p>
        </w:tc>
        <w:tc>
          <w:tcPr>
            <w:tcW w:w="300" w:type="dxa"/>
            <w:vAlign w:val="bottom"/>
            <w:shd w:val="clear" w:color="auto" w:fill="CCECFF"/>
          </w:tcPr>
          <w:p>
            <w:pPr>
              <w:spacing w:after="0"/>
              <w:rPr>
                <w:sz w:val="13"/>
                <w:szCs w:val="13"/>
                <w:color w:val="auto"/>
              </w:rPr>
            </w:pPr>
          </w:p>
        </w:tc>
        <w:tc>
          <w:tcPr>
            <w:tcW w:w="140" w:type="dxa"/>
            <w:vAlign w:val="bottom"/>
            <w:tcBorders>
              <w:bottom w:val="single" w:sz="8" w:color="auto"/>
            </w:tcBorders>
            <w:shd w:val="clear" w:color="auto" w:fill="CCECFF"/>
          </w:tcPr>
          <w:p>
            <w:pPr>
              <w:spacing w:after="0"/>
              <w:rPr>
                <w:sz w:val="13"/>
                <w:szCs w:val="13"/>
                <w:color w:val="auto"/>
              </w:rPr>
            </w:pPr>
          </w:p>
        </w:tc>
        <w:tc>
          <w:tcPr>
            <w:tcW w:w="15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57,107,806</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040" w:type="dxa"/>
            <w:vAlign w:val="bottom"/>
          </w:tcPr>
          <w:p>
            <w:pPr>
              <w:ind w:left="740"/>
              <w:spacing w:after="0" w:line="155" w:lineRule="exact"/>
              <w:rPr>
                <w:sz w:val="20"/>
                <w:szCs w:val="20"/>
                <w:color w:val="auto"/>
              </w:rPr>
            </w:pPr>
            <w:r>
              <w:rPr>
                <w:rFonts w:ascii="Arial" w:cs="Arial" w:eastAsia="Arial" w:hAnsi="Arial"/>
                <w:sz w:val="14"/>
                <w:szCs w:val="14"/>
                <w:b w:val="1"/>
                <w:bCs w:val="1"/>
                <w:color w:val="auto"/>
              </w:rPr>
              <w:t>Total liabilities and members' equity</w:t>
            </w:r>
          </w:p>
        </w:tc>
        <w:tc>
          <w:tcPr>
            <w:tcW w:w="40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471,669,632</w:t>
            </w:r>
          </w:p>
        </w:tc>
        <w:tc>
          <w:tcPr>
            <w:tcW w:w="300" w:type="dxa"/>
            <w:vAlign w:val="bottom"/>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506,696,606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26"/>
        </w:numPr>
        <w:rPr>
          <w:rFonts w:ascii="Arial" w:cs="Arial" w:eastAsia="Arial" w:hAnsi="Arial"/>
          <w:sz w:val="12"/>
          <w:szCs w:val="12"/>
          <w:color w:val="auto"/>
        </w:rPr>
      </w:pPr>
      <w:r>
        <w:rPr>
          <w:rFonts w:ascii="Arial" w:cs="Arial" w:eastAsia="Arial" w:hAnsi="Arial"/>
          <w:sz w:val="14"/>
          <w:szCs w:val="14"/>
          <w:color w:val="auto"/>
        </w:rPr>
        <w:t>As of June 30, 2020 and September 30, 2019, PSSL had unfunded commitments to fund investments of zero and $0.3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8599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59915" cy="8890"/>
                    </a:xfrm>
                    <a:prstGeom prst="rect">
                      <a:avLst/>
                    </a:prstGeom>
                    <a:noFill/>
                  </pic:spPr>
                </pic:pic>
              </a:graphicData>
            </a:graphic>
          </wp:anchor>
        </w:drawing>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22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2"/>
              </w:rPr>
              <w:t>Statements of Operations</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4"/>
                <w:szCs w:val="14"/>
                <w:color w:val="auto"/>
              </w:rPr>
            </w:pPr>
          </w:p>
        </w:tc>
        <w:tc>
          <w:tcPr>
            <w:tcW w:w="24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Nine Months Ended June 30,</w:t>
            </w:r>
          </w:p>
        </w:tc>
      </w:tr>
      <w:tr>
        <w:trPr>
          <w:trHeight w:val="155"/>
        </w:trPr>
        <w:tc>
          <w:tcPr>
            <w:tcW w:w="4740" w:type="dxa"/>
            <w:vAlign w:val="bottom"/>
            <w:tcBorders>
              <w:bottom w:val="single" w:sz="8" w:color="CCECFF"/>
            </w:tcBorders>
          </w:tcPr>
          <w:p>
            <w:pPr>
              <w:spacing w:after="0"/>
              <w:rPr>
                <w:sz w:val="13"/>
                <w:szCs w:val="13"/>
                <w:color w:val="auto"/>
              </w:rPr>
            </w:pPr>
          </w:p>
        </w:tc>
        <w:tc>
          <w:tcPr>
            <w:tcW w:w="94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C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CFF"/>
            </w:tcBorders>
          </w:tcPr>
          <w:p>
            <w:pPr>
              <w:spacing w:after="0"/>
              <w:rPr>
                <w:sz w:val="13"/>
                <w:szCs w:val="13"/>
                <w:color w:val="auto"/>
              </w:rPr>
            </w:pPr>
          </w:p>
        </w:tc>
        <w:tc>
          <w:tcPr>
            <w:tcW w:w="100" w:type="dxa"/>
            <w:vAlign w:val="bottom"/>
            <w:tcBorders>
              <w:top w:val="single" w:sz="8" w:color="auto"/>
              <w:bottom w:val="single" w:sz="8" w:color="CCEC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CFF"/>
            </w:tcBorders>
          </w:tcPr>
          <w:p>
            <w:pPr>
              <w:spacing w:after="0"/>
              <w:rPr>
                <w:sz w:val="13"/>
                <w:szCs w:val="13"/>
                <w:color w:val="auto"/>
              </w:rPr>
            </w:pPr>
          </w:p>
        </w:tc>
      </w:tr>
      <w:tr>
        <w:trPr>
          <w:trHeight w:val="156"/>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9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w:t>
            </w:r>
          </w:p>
        </w:tc>
        <w:tc>
          <w:tcPr>
            <w:tcW w:w="11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8,396,474</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9,870,920</w:t>
            </w:r>
          </w:p>
        </w:tc>
        <w:tc>
          <w:tcPr>
            <w:tcW w:w="240" w:type="dxa"/>
            <w:vAlign w:val="bottom"/>
          </w:tcPr>
          <w:p>
            <w:pPr>
              <w:spacing w:after="0"/>
              <w:rPr>
                <w:sz w:val="14"/>
                <w:szCs w:val="14"/>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25,795,723</w:t>
            </w:r>
          </w:p>
        </w:tc>
        <w:tc>
          <w:tcPr>
            <w:tcW w:w="140" w:type="dxa"/>
            <w:vAlign w:val="bottom"/>
          </w:tcPr>
          <w:p>
            <w:pPr>
              <w:spacing w:after="0"/>
              <w:rPr>
                <w:sz w:val="14"/>
                <w:szCs w:val="14"/>
                <w:color w:val="auto"/>
              </w:rPr>
            </w:pPr>
          </w:p>
        </w:tc>
        <w:tc>
          <w:tcPr>
            <w:tcW w:w="36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29,791,971</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9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57,814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220,500</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54,177</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519,443</w:t>
            </w:r>
          </w:p>
        </w:tc>
        <w:tc>
          <w:tcPr>
            <w:tcW w:w="100" w:type="dxa"/>
            <w:vAlign w:val="bottom"/>
            <w:shd w:val="clear" w:color="auto" w:fill="CCECFF"/>
          </w:tcPr>
          <w:p>
            <w:pPr>
              <w:spacing w:after="0"/>
              <w:rPr>
                <w:sz w:val="14"/>
                <w:szCs w:val="14"/>
                <w:color w:val="auto"/>
              </w:rPr>
            </w:pPr>
          </w:p>
        </w:tc>
      </w:tr>
      <w:tr>
        <w:trPr>
          <w:trHeight w:val="155"/>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9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8,454,288</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10,091,420</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25,849,900</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30,311,414</w:t>
            </w:r>
          </w:p>
        </w:tc>
        <w:tc>
          <w:tcPr>
            <w:tcW w:w="100" w:type="dxa"/>
            <w:vAlign w:val="bottom"/>
            <w:tcBorders>
              <w:bottom w:val="single" w:sz="8" w:color="CCECFF"/>
            </w:tcBorders>
          </w:tcPr>
          <w:p>
            <w:pPr>
              <w:spacing w:after="0"/>
              <w:rPr>
                <w:sz w:val="13"/>
                <w:szCs w:val="13"/>
                <w:color w:val="auto"/>
              </w:rPr>
            </w:pPr>
          </w:p>
        </w:tc>
      </w:tr>
      <w:tr>
        <w:trPr>
          <w:trHeight w:val="156"/>
        </w:trPr>
        <w:tc>
          <w:tcPr>
            <w:tcW w:w="474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94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9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2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9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Interest and expenses on PSSL Credit Facility</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3,025,882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4,145,313</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9,772,633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12,568,962</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expense on notes to members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3,377,323</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3,701,558</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10,516,894</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10,595,874</w:t>
            </w:r>
          </w:p>
        </w:tc>
        <w:tc>
          <w:tcPr>
            <w:tcW w:w="100" w:type="dxa"/>
            <w:vAlign w:val="bottom"/>
            <w:shd w:val="clear" w:color="auto" w:fill="CCECFF"/>
          </w:tcPr>
          <w:p>
            <w:pPr>
              <w:spacing w:after="0"/>
              <w:rPr>
                <w:sz w:val="14"/>
                <w:szCs w:val="14"/>
                <w:color w:val="auto"/>
              </w:rPr>
            </w:pP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Administrative services expenses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300,000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900,000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850,000</w:t>
            </w: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 xml:space="preserve">Other general and administrative expenses </w:t>
            </w:r>
            <w:r>
              <w:rPr>
                <w:rFonts w:ascii="Arial" w:cs="Arial" w:eastAsia="Arial" w:hAnsi="Arial"/>
                <w:sz w:val="12"/>
                <w:szCs w:val="12"/>
                <w:color w:val="auto"/>
              </w:rPr>
              <w:t>(1)</w:t>
            </w:r>
          </w:p>
        </w:tc>
        <w:tc>
          <w:tcPr>
            <w:tcW w:w="94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144,650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113,650</w:t>
            </w:r>
          </w:p>
        </w:tc>
        <w:tc>
          <w:tcPr>
            <w:tcW w:w="24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372,010</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tcBorders>
              <w:bottom w:val="single" w:sz="8" w:color="auto"/>
            </w:tcBorders>
            <w:shd w:val="clear" w:color="auto" w:fill="CCECFF"/>
          </w:tcPr>
          <w:p>
            <w:pPr>
              <w:spacing w:after="0"/>
              <w:rPr>
                <w:sz w:val="14"/>
                <w:szCs w:val="14"/>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340,950</w:t>
            </w:r>
          </w:p>
        </w:tc>
        <w:tc>
          <w:tcPr>
            <w:tcW w:w="100" w:type="dxa"/>
            <w:vAlign w:val="bottom"/>
            <w:shd w:val="clear" w:color="auto" w:fill="CCECFF"/>
          </w:tcPr>
          <w:p>
            <w:pPr>
              <w:spacing w:after="0"/>
              <w:rPr>
                <w:sz w:val="14"/>
                <w:szCs w:val="14"/>
                <w:color w:val="auto"/>
              </w:rPr>
            </w:pPr>
          </w:p>
        </w:tc>
      </w:tr>
      <w:tr>
        <w:trPr>
          <w:trHeight w:val="155"/>
        </w:trPr>
        <w:tc>
          <w:tcPr>
            <w:tcW w:w="474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Total expenses</w:t>
            </w:r>
          </w:p>
        </w:tc>
        <w:tc>
          <w:tcPr>
            <w:tcW w:w="94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6,847,855</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8,260,521</w:t>
            </w:r>
          </w:p>
        </w:tc>
        <w:tc>
          <w:tcPr>
            <w:tcW w:w="24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21,561,537</w:t>
            </w:r>
          </w:p>
        </w:tc>
        <w:tc>
          <w:tcPr>
            <w:tcW w:w="140" w:type="dxa"/>
            <w:vAlign w:val="bottom"/>
            <w:tcBorders>
              <w:bottom w:val="single" w:sz="8" w:color="CCECFF"/>
            </w:tcBorders>
          </w:tcPr>
          <w:p>
            <w:pPr>
              <w:spacing w:after="0"/>
              <w:rPr>
                <w:sz w:val="13"/>
                <w:szCs w:val="13"/>
                <w:color w:val="auto"/>
              </w:rPr>
            </w:pPr>
          </w:p>
        </w:tc>
        <w:tc>
          <w:tcPr>
            <w:tcW w:w="10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24,355,786</w:t>
            </w:r>
          </w:p>
        </w:tc>
        <w:tc>
          <w:tcPr>
            <w:tcW w:w="100" w:type="dxa"/>
            <w:vAlign w:val="bottom"/>
            <w:tcBorders>
              <w:bottom w:val="single" w:sz="8" w:color="CCECFF"/>
            </w:tcBorders>
          </w:tcPr>
          <w:p>
            <w:pPr>
              <w:spacing w:after="0"/>
              <w:rPr>
                <w:sz w:val="13"/>
                <w:szCs w:val="13"/>
                <w:color w:val="auto"/>
              </w:rPr>
            </w:pPr>
          </w:p>
        </w:tc>
      </w:tr>
      <w:tr>
        <w:trPr>
          <w:trHeight w:val="155"/>
        </w:trPr>
        <w:tc>
          <w:tcPr>
            <w:tcW w:w="474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94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1,606,433</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2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1,830,899</w:t>
            </w:r>
          </w:p>
        </w:tc>
        <w:tc>
          <w:tcPr>
            <w:tcW w:w="24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4,288,363</w:t>
            </w:r>
          </w:p>
        </w:tc>
        <w:tc>
          <w:tcPr>
            <w:tcW w:w="1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260" w:type="dxa"/>
            <w:vAlign w:val="bottom"/>
            <w:tcBorders>
              <w:bottom w:val="single" w:sz="8" w:color="auto"/>
            </w:tcBorders>
            <w:shd w:val="clear" w:color="auto" w:fill="CCECFF"/>
          </w:tcPr>
          <w:p>
            <w:pPr>
              <w:spacing w:after="0"/>
              <w:rPr>
                <w:sz w:val="13"/>
                <w:szCs w:val="13"/>
                <w:color w:val="auto"/>
              </w:rPr>
            </w:pP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5,955,628</w:t>
            </w:r>
          </w:p>
        </w:tc>
        <w:tc>
          <w:tcPr>
            <w:tcW w:w="100" w:type="dxa"/>
            <w:vAlign w:val="bottom"/>
            <w:shd w:val="clear" w:color="auto" w:fill="CCECFF"/>
          </w:tcPr>
          <w:p>
            <w:pPr>
              <w:spacing w:after="0"/>
              <w:rPr>
                <w:sz w:val="13"/>
                <w:szCs w:val="13"/>
                <w:color w:val="auto"/>
              </w:rPr>
            </w:pP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2"/>
              </w:rPr>
              <w:t>Realized and unrealized gain (loss) on investments and credit facility foreign</w:t>
            </w: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currency translations: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spacing w:after="0"/>
              <w:rPr>
                <w:sz w:val="20"/>
                <w:szCs w:val="20"/>
                <w:color w:val="auto"/>
              </w:rPr>
            </w:pPr>
            <w:r>
              <w:rPr>
                <w:rFonts w:ascii="Arial" w:cs="Arial" w:eastAsia="Arial" w:hAnsi="Arial"/>
                <w:sz w:val="14"/>
                <w:szCs w:val="14"/>
                <w:color w:val="auto"/>
              </w:rPr>
              <w:t>Net realized loss on investments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(1,673,907)</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(1,604,539)</w:t>
            </w: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(1,255,546)</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(1,025,488)</w:t>
            </w:r>
          </w:p>
        </w:tc>
      </w:tr>
      <w:tr>
        <w:trPr>
          <w:trHeight w:val="162"/>
        </w:trPr>
        <w:tc>
          <w:tcPr>
            <w:tcW w:w="4740" w:type="dxa"/>
            <w:vAlign w:val="bottom"/>
          </w:tcPr>
          <w:p>
            <w:pPr>
              <w:spacing w:after="0"/>
              <w:rPr>
                <w:sz w:val="20"/>
                <w:szCs w:val="20"/>
                <w:color w:val="auto"/>
              </w:rPr>
            </w:pPr>
            <w:r>
              <w:rPr>
                <w:rFonts w:ascii="Arial" w:cs="Arial" w:eastAsia="Arial" w:hAnsi="Arial"/>
                <w:sz w:val="14"/>
                <w:szCs w:val="14"/>
                <w:color w:val="auto"/>
              </w:rPr>
              <w:t>Net change in unrealized appreciation (depreciation) 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74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Investments</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6,012,106</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404,262</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(13,744,548)</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(3,243,343)</w:t>
            </w:r>
          </w:p>
        </w:tc>
      </w:tr>
      <w:tr>
        <w:trPr>
          <w:trHeight w:val="162"/>
        </w:trPr>
        <w:tc>
          <w:tcPr>
            <w:tcW w:w="4740" w:type="dxa"/>
            <w:vAlign w:val="bottom"/>
          </w:tcPr>
          <w:p>
            <w:pPr>
              <w:ind w:left="260"/>
              <w:spacing w:after="0"/>
              <w:rPr>
                <w:sz w:val="20"/>
                <w:szCs w:val="20"/>
                <w:color w:val="auto"/>
              </w:rPr>
            </w:pPr>
            <w:r>
              <w:rPr>
                <w:rFonts w:ascii="Arial" w:cs="Arial" w:eastAsia="Arial" w:hAnsi="Arial"/>
                <w:sz w:val="14"/>
                <w:szCs w:val="14"/>
                <w:color w:val="auto"/>
              </w:rPr>
              <w:t>Credit facility foreign currency translation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(3,566,638)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241,025</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(878,744)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738,432</w:t>
            </w:r>
          </w:p>
        </w:tc>
        <w:tc>
          <w:tcPr>
            <w:tcW w:w="100" w:type="dxa"/>
            <w:vAlign w:val="bottom"/>
          </w:tcPr>
          <w:p>
            <w:pPr>
              <w:spacing w:after="0"/>
              <w:rPr>
                <w:sz w:val="14"/>
                <w:szCs w:val="14"/>
                <w:color w:val="auto"/>
              </w:rPr>
            </w:pPr>
          </w:p>
        </w:tc>
      </w:tr>
      <w:tr>
        <w:trPr>
          <w:trHeight w:val="133"/>
        </w:trPr>
        <w:tc>
          <w:tcPr>
            <w:tcW w:w="4740" w:type="dxa"/>
            <w:vAlign w:val="bottom"/>
            <w:tcBorders>
              <w:top w:val="single" w:sz="8" w:color="CCECFF"/>
            </w:tcBorders>
            <w:shd w:val="clear" w:color="auto" w:fill="CCECFF"/>
          </w:tcPr>
          <w:p>
            <w:pPr>
              <w:ind w:left="260"/>
              <w:spacing w:after="0" w:line="133" w:lineRule="exact"/>
              <w:rPr>
                <w:sz w:val="20"/>
                <w:szCs w:val="20"/>
                <w:color w:val="auto"/>
              </w:rPr>
            </w:pPr>
            <w:r>
              <w:rPr>
                <w:rFonts w:ascii="Arial" w:cs="Arial" w:eastAsia="Arial" w:hAnsi="Arial"/>
                <w:sz w:val="14"/>
                <w:szCs w:val="14"/>
                <w:b w:val="1"/>
                <w:bCs w:val="1"/>
                <w:color w:val="auto"/>
                <w:w w:val="92"/>
              </w:rPr>
              <w:t>Net change in unrealized appreciation (depreciation) on investments and</w:t>
            </w:r>
          </w:p>
        </w:tc>
        <w:tc>
          <w:tcPr>
            <w:tcW w:w="940" w:type="dxa"/>
            <w:vAlign w:val="bottom"/>
            <w:tcBorders>
              <w:top w:val="single" w:sz="8" w:color="CCECFF"/>
            </w:tcBorders>
            <w:shd w:val="clear" w:color="auto" w:fill="CCECFF"/>
          </w:tcPr>
          <w:p>
            <w:pPr>
              <w:spacing w:after="0"/>
              <w:rPr>
                <w:sz w:val="11"/>
                <w:szCs w:val="11"/>
                <w:color w:val="auto"/>
              </w:rPr>
            </w:pPr>
          </w:p>
        </w:tc>
        <w:tc>
          <w:tcPr>
            <w:tcW w:w="220" w:type="dxa"/>
            <w:vAlign w:val="bottom"/>
            <w:tcBorders>
              <w:top w:val="single" w:sz="8" w:color="auto"/>
            </w:tcBorders>
            <w:shd w:val="clear" w:color="auto" w:fill="CCECFF"/>
          </w:tcPr>
          <w:p>
            <w:pPr>
              <w:spacing w:after="0"/>
              <w:rPr>
                <w:sz w:val="11"/>
                <w:szCs w:val="11"/>
                <w:color w:val="auto"/>
              </w:rPr>
            </w:pPr>
          </w:p>
        </w:tc>
        <w:tc>
          <w:tcPr>
            <w:tcW w:w="96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20" w:type="dxa"/>
            <w:vAlign w:val="bottom"/>
            <w:tcBorders>
              <w:top w:val="single" w:sz="8" w:color="auto"/>
            </w:tcBorders>
            <w:shd w:val="clear" w:color="auto" w:fill="CCECFF"/>
          </w:tcPr>
          <w:p>
            <w:pPr>
              <w:spacing w:after="0"/>
              <w:rPr>
                <w:sz w:val="11"/>
                <w:szCs w:val="11"/>
                <w:color w:val="auto"/>
              </w:rPr>
            </w:pPr>
          </w:p>
        </w:tc>
        <w:tc>
          <w:tcPr>
            <w:tcW w:w="240" w:type="dxa"/>
            <w:vAlign w:val="bottom"/>
            <w:tcBorders>
              <w:top w:val="single" w:sz="8" w:color="CCECFF"/>
            </w:tcBorders>
            <w:shd w:val="clear" w:color="auto" w:fill="CCECFF"/>
          </w:tcPr>
          <w:p>
            <w:pPr>
              <w:spacing w:after="0"/>
              <w:rPr>
                <w:sz w:val="11"/>
                <w:szCs w:val="11"/>
                <w:color w:val="auto"/>
              </w:rPr>
            </w:pPr>
          </w:p>
        </w:tc>
        <w:tc>
          <w:tcPr>
            <w:tcW w:w="24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260" w:type="dxa"/>
            <w:vAlign w:val="bottom"/>
            <w:tcBorders>
              <w:top w:val="single" w:sz="8" w:color="auto"/>
            </w:tcBorders>
            <w:shd w:val="clear" w:color="auto" w:fill="CCECFF"/>
          </w:tcPr>
          <w:p>
            <w:pPr>
              <w:spacing w:after="0"/>
              <w:rPr>
                <w:sz w:val="11"/>
                <w:szCs w:val="11"/>
                <w:color w:val="auto"/>
              </w:rPr>
            </w:pPr>
          </w:p>
        </w:tc>
        <w:tc>
          <w:tcPr>
            <w:tcW w:w="94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r>
      <w:tr>
        <w:trPr>
          <w:trHeight w:val="171"/>
        </w:trPr>
        <w:tc>
          <w:tcPr>
            <w:tcW w:w="4740" w:type="dxa"/>
            <w:vAlign w:val="bottom"/>
            <w:shd w:val="clear" w:color="auto" w:fill="CCECFF"/>
          </w:tcPr>
          <w:p>
            <w:pPr>
              <w:ind w:left="360"/>
              <w:spacing w:after="0"/>
              <w:rPr>
                <w:sz w:val="20"/>
                <w:szCs w:val="20"/>
                <w:color w:val="auto"/>
              </w:rPr>
            </w:pPr>
            <w:r>
              <w:rPr>
                <w:rFonts w:ascii="Arial" w:cs="Arial" w:eastAsia="Arial" w:hAnsi="Arial"/>
                <w:sz w:val="14"/>
                <w:szCs w:val="14"/>
                <w:b w:val="1"/>
                <w:bCs w:val="1"/>
                <w:color w:val="auto"/>
              </w:rPr>
              <w:t>credit facility foreign currency translation</w:t>
            </w:r>
          </w:p>
        </w:tc>
        <w:tc>
          <w:tcPr>
            <w:tcW w:w="94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2,445,468</w:t>
            </w:r>
          </w:p>
        </w:tc>
        <w:tc>
          <w:tcPr>
            <w:tcW w:w="1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645,287</w:t>
            </w:r>
          </w:p>
        </w:tc>
        <w:tc>
          <w:tcPr>
            <w:tcW w:w="24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4"/>
                <w:szCs w:val="14"/>
                <w:color w:val="auto"/>
              </w:rPr>
              <w:t>(14,623,292)</w:t>
            </w:r>
          </w:p>
        </w:tc>
        <w:tc>
          <w:tcPr>
            <w:tcW w:w="10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0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(2,504,911)</w:t>
            </w:r>
          </w:p>
        </w:tc>
      </w:tr>
      <w:tr>
        <w:trPr>
          <w:trHeight w:val="133"/>
        </w:trPr>
        <w:tc>
          <w:tcPr>
            <w:tcW w:w="4740" w:type="dxa"/>
            <w:vAlign w:val="bottom"/>
          </w:tcPr>
          <w:p>
            <w:pPr>
              <w:spacing w:after="0" w:line="133" w:lineRule="exact"/>
              <w:rPr>
                <w:sz w:val="20"/>
                <w:szCs w:val="20"/>
                <w:color w:val="auto"/>
              </w:rPr>
            </w:pPr>
            <w:r>
              <w:rPr>
                <w:rFonts w:ascii="Arial" w:cs="Arial" w:eastAsia="Arial" w:hAnsi="Arial"/>
                <w:sz w:val="14"/>
                <w:szCs w:val="14"/>
                <w:b w:val="1"/>
                <w:bCs w:val="1"/>
                <w:color w:val="auto"/>
                <w:w w:val="95"/>
              </w:rPr>
              <w:t>Net realized and unrealized gain (loss) from investments and credit facility</w:t>
            </w:r>
          </w:p>
        </w:tc>
        <w:tc>
          <w:tcPr>
            <w:tcW w:w="9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4740" w:type="dxa"/>
            <w:vAlign w:val="bottom"/>
          </w:tcPr>
          <w:p>
            <w:pPr>
              <w:ind w:left="120"/>
              <w:spacing w:after="0"/>
              <w:rPr>
                <w:sz w:val="20"/>
                <w:szCs w:val="20"/>
                <w:color w:val="auto"/>
              </w:rPr>
            </w:pPr>
            <w:r>
              <w:rPr>
                <w:rFonts w:ascii="Arial" w:cs="Arial" w:eastAsia="Arial" w:hAnsi="Arial"/>
                <w:sz w:val="14"/>
                <w:szCs w:val="14"/>
                <w:b w:val="1"/>
                <w:bCs w:val="1"/>
                <w:color w:val="auto"/>
              </w:rPr>
              <w:t>foreign currency translation</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771,561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(959,252)</w:t>
            </w:r>
          </w:p>
        </w:tc>
        <w:tc>
          <w:tcPr>
            <w:tcW w:w="240" w:type="dxa"/>
            <w:vAlign w:val="bottom"/>
          </w:tcPr>
          <w:p>
            <w:pPr>
              <w:spacing w:after="0"/>
              <w:rPr>
                <w:sz w:val="14"/>
                <w:szCs w:val="1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4"/>
                <w:szCs w:val="14"/>
                <w:color w:val="auto"/>
              </w:rPr>
              <w:t>(15,878,838)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(3,530,399)</w:t>
            </w:r>
          </w:p>
        </w:tc>
      </w:tr>
      <w:tr>
        <w:trPr>
          <w:trHeight w:val="155"/>
        </w:trPr>
        <w:tc>
          <w:tcPr>
            <w:tcW w:w="47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(decrease) in members' equity resulting from operations</w:t>
            </w:r>
          </w:p>
        </w:tc>
        <w:tc>
          <w:tcPr>
            <w:tcW w:w="940" w:type="dxa"/>
            <w:vAlign w:val="bottom"/>
            <w:tcBorders>
              <w:top w:val="single" w:sz="8" w:color="CCECFF"/>
              <w:bottom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2,377,994</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871,647</w:t>
            </w:r>
          </w:p>
        </w:tc>
        <w:tc>
          <w:tcPr>
            <w:tcW w:w="24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(11,590,475)</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auto"/>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2,425,229</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r>
      <w:tr>
        <w:trPr>
          <w:trHeight w:val="20"/>
        </w:trPr>
        <w:tc>
          <w:tcPr>
            <w:tcW w:w="4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ind w:left="5560" w:right="1340" w:hanging="5552"/>
        <w:spacing w:after="0" w:line="575" w:lineRule="auto"/>
        <w:tabs>
          <w:tab w:leader="none" w:pos="380" w:val="left"/>
        </w:tabs>
        <w:numPr>
          <w:ilvl w:val="0"/>
          <w:numId w:val="27"/>
        </w:numPr>
        <w:rPr>
          <w:rFonts w:ascii="Arial" w:cs="Arial" w:eastAsia="Arial" w:hAnsi="Arial"/>
          <w:sz w:val="12"/>
          <w:szCs w:val="12"/>
          <w:color w:val="auto"/>
        </w:rPr>
      </w:pPr>
      <w:r>
        <w:rPr>
          <w:rFonts w:ascii="Arial" w:cs="Arial" w:eastAsia="Arial" w:hAnsi="Arial"/>
          <w:sz w:val="14"/>
          <w:szCs w:val="14"/>
          <w:color w:val="auto"/>
        </w:rPr>
        <w:t>Currently, no management or incentive fees are payable by PSSL. If any fees were to be charged, they would be separately disclosed in the Statements of Operations.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18599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80" w:firstLine="438"/>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June 30, 2020, including borrowings under our Credit Facility, 2023 Notes, 2031 Asset-Backed Debt and other contractual obligations,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 (millions)</w:t>
            </w: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60" w:type="dxa"/>
            <w:vAlign w:val="bottom"/>
          </w:tcPr>
          <w:p>
            <w:pPr>
              <w:spacing w:after="0"/>
              <w:rPr>
                <w:sz w:val="11"/>
                <w:szCs w:val="11"/>
                <w:color w:val="auto"/>
              </w:rPr>
            </w:pPr>
          </w:p>
        </w:tc>
        <w:tc>
          <w:tcPr>
            <w:tcW w:w="8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rPr>
              <w:t>Less than</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jc w:val="center"/>
              <w:ind w:right="208"/>
              <w:spacing w:after="0" w:line="133" w:lineRule="exact"/>
              <w:rPr>
                <w:sz w:val="20"/>
                <w:szCs w:val="20"/>
                <w:color w:val="auto"/>
              </w:rPr>
            </w:pPr>
            <w:r>
              <w:rPr>
                <w:rFonts w:ascii="Arial" w:cs="Arial" w:eastAsia="Arial" w:hAnsi="Arial"/>
                <w:sz w:val="14"/>
                <w:szCs w:val="14"/>
                <w:b w:val="1"/>
                <w:bCs w:val="1"/>
                <w:color w:val="auto"/>
                <w:w w:val="88"/>
              </w:rPr>
              <w:t>1-3</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tcPr>
          <w:p>
            <w:pPr>
              <w:jc w:val="right"/>
              <w:ind w:right="468"/>
              <w:spacing w:after="0" w:line="13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jc w:val="center"/>
              <w:ind w:right="148"/>
              <w:spacing w:after="0" w:line="133" w:lineRule="exact"/>
              <w:rPr>
                <w:sz w:val="20"/>
                <w:szCs w:val="20"/>
                <w:color w:val="auto"/>
              </w:rPr>
            </w:pPr>
            <w:r>
              <w:rPr>
                <w:rFonts w:ascii="Arial" w:cs="Arial" w:eastAsia="Arial" w:hAnsi="Arial"/>
                <w:sz w:val="14"/>
                <w:szCs w:val="14"/>
                <w:b w:val="1"/>
                <w:bCs w:val="1"/>
                <w:color w:val="auto"/>
                <w:w w:val="98"/>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1 year</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right="208"/>
              <w:spacing w:after="0"/>
              <w:rPr>
                <w:sz w:val="20"/>
                <w:szCs w:val="20"/>
                <w:color w:val="auto"/>
              </w:rPr>
            </w:pPr>
            <w:r>
              <w:rPr>
                <w:rFonts w:ascii="Arial" w:cs="Arial" w:eastAsia="Arial" w:hAnsi="Arial"/>
                <w:sz w:val="14"/>
                <w:szCs w:val="14"/>
                <w:b w:val="1"/>
                <w:bCs w:val="1"/>
                <w:color w:val="auto"/>
                <w:w w:val="92"/>
              </w:rPr>
              <w:t>years</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155"/>
        </w:trPr>
        <w:tc>
          <w:tcPr>
            <w:tcW w:w="386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351.6</w:t>
            </w:r>
          </w:p>
        </w:tc>
        <w:tc>
          <w:tcPr>
            <w:tcW w:w="240" w:type="dxa"/>
            <w:vAlign w:val="bottom"/>
            <w:tcBorders>
              <w:top w:val="single" w:sz="8" w:color="CCECFF"/>
            </w:tcBorders>
            <w:shd w:val="clear" w:color="auto" w:fill="CCECFF"/>
          </w:tcPr>
          <w:p>
            <w:pPr>
              <w:spacing w:after="0"/>
              <w:rPr>
                <w:sz w:val="13"/>
                <w:szCs w:val="13"/>
                <w:color w:val="auto"/>
              </w:rPr>
            </w:pPr>
          </w:p>
        </w:tc>
        <w:tc>
          <w:tcPr>
            <w:tcW w:w="960" w:type="dxa"/>
            <w:vAlign w:val="bottom"/>
            <w:tcBorders>
              <w:top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CFF"/>
            </w:tcBorders>
            <w:shd w:val="clear" w:color="auto" w:fill="CCECFF"/>
          </w:tcPr>
          <w:p>
            <w:pPr>
              <w:spacing w:after="0"/>
              <w:rPr>
                <w:sz w:val="13"/>
                <w:szCs w:val="13"/>
                <w:color w:val="auto"/>
              </w:rPr>
            </w:pPr>
          </w:p>
        </w:tc>
        <w:tc>
          <w:tcPr>
            <w:tcW w:w="320" w:type="dxa"/>
            <w:vAlign w:val="bottom"/>
            <w:tcBorders>
              <w:top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351.6</w:t>
            </w:r>
          </w:p>
        </w:tc>
        <w:tc>
          <w:tcPr>
            <w:tcW w:w="24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20"/>
                <w:szCs w:val="20"/>
                <w:color w:val="auto"/>
              </w:rPr>
            </w:pPr>
            <w:r>
              <w:rPr>
                <w:rFonts w:ascii="Arial" w:cs="Arial" w:eastAsia="Arial" w:hAnsi="Arial"/>
                <w:sz w:val="14"/>
                <w:szCs w:val="14"/>
                <w:color w:val="auto"/>
              </w:rPr>
              <w:t>2023 Notes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138.6</w:t>
            </w: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w w:val="95"/>
              </w:rPr>
              <w:t>20.8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41.6</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76.2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2031 Asset-Backed Debt</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228.0</w:t>
            </w:r>
          </w:p>
        </w:tc>
        <w:tc>
          <w:tcPr>
            <w:tcW w:w="24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5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228.0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718.2</w:t>
            </w:r>
          </w:p>
        </w:tc>
        <w:tc>
          <w:tcPr>
            <w:tcW w:w="240" w:type="dxa"/>
            <w:vAlign w:val="bottom"/>
          </w:tcPr>
          <w:p>
            <w:pPr>
              <w:spacing w:after="0"/>
              <w:rPr>
                <w:sz w:val="13"/>
                <w:szCs w:val="13"/>
                <w:color w:val="auto"/>
              </w:rPr>
            </w:pPr>
          </w:p>
        </w:tc>
        <w:tc>
          <w:tcPr>
            <w:tcW w:w="960" w:type="dxa"/>
            <w:vAlign w:val="bottom"/>
            <w:tcBorders>
              <w:top w:val="single" w:sz="8" w:color="auto"/>
            </w:tcBorders>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20.8</w:t>
            </w:r>
          </w:p>
        </w:tc>
        <w:tc>
          <w:tcPr>
            <w:tcW w:w="240" w:type="dxa"/>
            <w:vAlign w:val="bottom"/>
          </w:tcPr>
          <w:p>
            <w:pPr>
              <w:spacing w:after="0"/>
              <w:rPr>
                <w:sz w:val="13"/>
                <w:szCs w:val="13"/>
                <w:color w:val="auto"/>
              </w:rPr>
            </w:pPr>
          </w:p>
        </w:tc>
        <w:tc>
          <w:tcPr>
            <w:tcW w:w="280" w:type="dxa"/>
            <w:vAlign w:val="bottom"/>
            <w:tcBorders>
              <w:top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41.6</w:t>
            </w:r>
          </w:p>
        </w:tc>
        <w:tc>
          <w:tcPr>
            <w:tcW w:w="240" w:type="dxa"/>
            <w:vAlign w:val="bottom"/>
          </w:tcPr>
          <w:p>
            <w:pPr>
              <w:spacing w:after="0"/>
              <w:rPr>
                <w:sz w:val="13"/>
                <w:szCs w:val="13"/>
                <w:color w:val="auto"/>
              </w:rPr>
            </w:pPr>
          </w:p>
        </w:tc>
        <w:tc>
          <w:tcPr>
            <w:tcW w:w="320" w:type="dxa"/>
            <w:vAlign w:val="bottom"/>
            <w:tcBorders>
              <w:top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427.8</w:t>
            </w:r>
          </w:p>
        </w:tc>
        <w:tc>
          <w:tcPr>
            <w:tcW w:w="240" w:type="dxa"/>
            <w:vAlign w:val="bottom"/>
          </w:tcPr>
          <w:p>
            <w:pPr>
              <w:spacing w:after="0"/>
              <w:rPr>
                <w:sz w:val="13"/>
                <w:szCs w:val="13"/>
                <w:color w:val="auto"/>
              </w:rPr>
            </w:pPr>
          </w:p>
        </w:tc>
        <w:tc>
          <w:tcPr>
            <w:tcW w:w="200" w:type="dxa"/>
            <w:vAlign w:val="bottom"/>
            <w:tcBorders>
              <w:top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228.0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60" w:type="dxa"/>
            <w:vAlign w:val="bottom"/>
            <w:shd w:val="clear" w:color="auto" w:fill="CCECFF"/>
          </w:tcPr>
          <w:p>
            <w:pPr>
              <w:spacing w:after="0"/>
              <w:rPr>
                <w:sz w:val="20"/>
                <w:szCs w:val="20"/>
                <w:color w:val="auto"/>
              </w:rPr>
            </w:pPr>
            <w:r>
              <w:rPr>
                <w:rFonts w:ascii="Arial" w:cs="Arial" w:eastAsia="Arial" w:hAnsi="Arial"/>
                <w:sz w:val="14"/>
                <w:szCs w:val="14"/>
                <w:color w:val="auto"/>
              </w:rPr>
              <w:t>Unfunded commitments to PSSL</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24.9</w:t>
            </w:r>
          </w:p>
        </w:tc>
        <w:tc>
          <w:tcPr>
            <w:tcW w:w="240" w:type="dxa"/>
            <w:vAlign w:val="bottom"/>
            <w:shd w:val="clear" w:color="auto" w:fill="CCECFF"/>
          </w:tcPr>
          <w:p>
            <w:pPr>
              <w:spacing w:after="0"/>
              <w:rPr>
                <w:sz w:val="14"/>
                <w:szCs w:val="14"/>
                <w:color w:val="auto"/>
              </w:rPr>
            </w:pPr>
          </w:p>
        </w:tc>
        <w:tc>
          <w:tcPr>
            <w:tcW w:w="960" w:type="dxa"/>
            <w:vAlign w:val="bottom"/>
            <w:shd w:val="clear" w:color="auto" w:fill="CCECFF"/>
          </w:tcPr>
          <w:p>
            <w:pPr>
              <w:spacing w:after="0"/>
              <w:rPr>
                <w:sz w:val="14"/>
                <w:szCs w:val="14"/>
                <w:color w:val="auto"/>
              </w:rPr>
            </w:pPr>
          </w:p>
        </w:tc>
        <w:tc>
          <w:tcPr>
            <w:tcW w:w="5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CFF"/>
          </w:tcPr>
          <w:p>
            <w:pPr>
              <w:spacing w:after="0"/>
              <w:rPr>
                <w:sz w:val="14"/>
                <w:szCs w:val="14"/>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CFF"/>
          </w:tcPr>
          <w:p>
            <w:pPr>
              <w:spacing w:after="0"/>
              <w:rPr>
                <w:sz w:val="14"/>
                <w:szCs w:val="14"/>
                <w:color w:val="auto"/>
              </w:rPr>
            </w:pPr>
          </w:p>
        </w:tc>
        <w:tc>
          <w:tcPr>
            <w:tcW w:w="320" w:type="dxa"/>
            <w:vAlign w:val="bottom"/>
            <w:shd w:val="clear" w:color="auto" w:fill="CCECFF"/>
          </w:tcPr>
          <w:p>
            <w:pPr>
              <w:spacing w:after="0"/>
              <w:rPr>
                <w:sz w:val="14"/>
                <w:szCs w:val="14"/>
                <w:color w:val="auto"/>
              </w:rPr>
            </w:pPr>
          </w:p>
        </w:tc>
        <w:tc>
          <w:tcPr>
            <w:tcW w:w="118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10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24.9</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62.0</w:t>
            </w:r>
          </w:p>
        </w:tc>
        <w:tc>
          <w:tcPr>
            <w:tcW w:w="240" w:type="dxa"/>
            <w:vAlign w:val="bottom"/>
            <w:tcBorders>
              <w:bottom w:val="single" w:sz="8" w:color="CCEC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240" w:type="dxa"/>
            <w:vAlign w:val="bottom"/>
            <w:tcBorders>
              <w:bottom w:val="single" w:sz="8" w:color="CCEC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w:t>
            </w:r>
          </w:p>
        </w:tc>
        <w:tc>
          <w:tcPr>
            <w:tcW w:w="240" w:type="dxa"/>
            <w:vAlign w:val="bottom"/>
            <w:tcBorders>
              <w:bottom w:val="single" w:sz="8" w:color="CCEC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24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805.1</w:t>
            </w:r>
          </w:p>
        </w:tc>
        <w:tc>
          <w:tcPr>
            <w:tcW w:w="240" w:type="dxa"/>
            <w:vAlign w:val="bottom"/>
            <w:tcBorders>
              <w:bottom w:val="single" w:sz="8" w:color="CCECFF"/>
            </w:tcBorders>
            <w:shd w:val="clear" w:color="auto" w:fill="CCECFF"/>
          </w:tcPr>
          <w:p>
            <w:pPr>
              <w:spacing w:after="0"/>
              <w:rPr>
                <w:sz w:val="13"/>
                <w:szCs w:val="13"/>
                <w:color w:val="auto"/>
              </w:rPr>
            </w:pPr>
          </w:p>
        </w:tc>
        <w:tc>
          <w:tcPr>
            <w:tcW w:w="960" w:type="dxa"/>
            <w:vAlign w:val="bottom"/>
            <w:tcBorders>
              <w:bottom w:val="single" w:sz="8" w:color="auto"/>
            </w:tcBorders>
            <w:shd w:val="clear" w:color="auto" w:fill="CCECFF"/>
          </w:tcPr>
          <w:p>
            <w:pPr>
              <w:jc w:val="right"/>
              <w:ind w:right="808"/>
              <w:spacing w:after="0" w:line="155" w:lineRule="exact"/>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95"/>
              </w:rPr>
              <w:t>27.1</w:t>
            </w:r>
          </w:p>
        </w:tc>
        <w:tc>
          <w:tcPr>
            <w:tcW w:w="24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65.5</w:t>
            </w:r>
          </w:p>
        </w:tc>
        <w:tc>
          <w:tcPr>
            <w:tcW w:w="240" w:type="dxa"/>
            <w:vAlign w:val="bottom"/>
            <w:tcBorders>
              <w:bottom w:val="single" w:sz="8" w:color="CCECFF"/>
            </w:tcBorders>
            <w:shd w:val="clear" w:color="auto" w:fill="CCECFF"/>
          </w:tcPr>
          <w:p>
            <w:pPr>
              <w:spacing w:after="0"/>
              <w:rPr>
                <w:sz w:val="13"/>
                <w:szCs w:val="13"/>
                <w:color w:val="auto"/>
              </w:rPr>
            </w:pPr>
          </w:p>
        </w:tc>
        <w:tc>
          <w:tcPr>
            <w:tcW w:w="320" w:type="dxa"/>
            <w:vAlign w:val="bottom"/>
            <w:tcBorders>
              <w:bottom w:val="single" w:sz="8" w:color="auto"/>
            </w:tcBorders>
            <w:shd w:val="clear" w:color="auto" w:fill="CCECFF"/>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454.8</w:t>
            </w:r>
          </w:p>
        </w:tc>
        <w:tc>
          <w:tcPr>
            <w:tcW w:w="24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257.7</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8599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0" w:lineRule="exact"/>
        <w:rPr>
          <w:sz w:val="20"/>
          <w:szCs w:val="20"/>
          <w:color w:val="auto"/>
        </w:rPr>
      </w:pPr>
    </w:p>
    <w:p>
      <w:pPr>
        <w:ind w:left="380" w:right="160" w:hanging="372"/>
        <w:spacing w:after="0" w:line="230" w:lineRule="auto"/>
        <w:tabs>
          <w:tab w:leader="none" w:pos="380" w:val="left"/>
        </w:tabs>
        <w:numPr>
          <w:ilvl w:val="0"/>
          <w:numId w:val="28"/>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June 30, 2020, excluding amendment costs and debt issuance costs, was 3.0% exclusive of the fee on the undrawn commitment on the Credit Facility.</w:t>
      </w:r>
    </w:p>
    <w:p>
      <w:pPr>
        <w:ind w:left="380" w:hanging="372"/>
        <w:spacing w:after="0"/>
        <w:tabs>
          <w:tab w:leader="none" w:pos="380" w:val="left"/>
        </w:tabs>
        <w:numPr>
          <w:ilvl w:val="0"/>
          <w:numId w:val="28"/>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24" w:lineRule="exact"/>
        <w:rPr>
          <w:sz w:val="20"/>
          <w:szCs w:val="20"/>
          <w:color w:val="auto"/>
        </w:rPr>
      </w:pPr>
    </w:p>
    <w:p>
      <w:pPr>
        <w:ind w:right="40" w:firstLine="438"/>
        <w:spacing w:after="0" w:line="233"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2020, PennantPark Investment Advisers serves as our investment adviser. Payments under our Investment Management Agreement in each reporting period are equal to (1) a management fee equal to a percentage of the value of our average adjusted gross assets and (2) an incentive fee based on our performance.</w:t>
      </w:r>
    </w:p>
    <w:p>
      <w:pPr>
        <w:spacing w:after="0" w:line="117"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2020, the Administrator furnishes us with office facilities and administrative services necessary to conduct our day-to-day operations. If requested to provide significant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116" w:lineRule="exact"/>
        <w:rPr>
          <w:sz w:val="20"/>
          <w:szCs w:val="20"/>
          <w:color w:val="auto"/>
        </w:rPr>
      </w:pPr>
    </w:p>
    <w:p>
      <w:pPr>
        <w:ind w:right="80" w:firstLine="438"/>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 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 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8"/>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investment company taxable income, determined without regard to any deduction for dividends paid.</w:t>
      </w:r>
    </w:p>
    <w:p>
      <w:pPr>
        <w:spacing w:after="0" w:line="115" w:lineRule="exact"/>
        <w:rPr>
          <w:sz w:val="20"/>
          <w:szCs w:val="20"/>
          <w:color w:val="auto"/>
        </w:rPr>
      </w:pPr>
    </w:p>
    <w:p>
      <w:pPr>
        <w:ind w:right="100" w:firstLine="438"/>
        <w:spacing w:after="0" w:line="231"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Excise Tax Avoidance Requirement.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6" w:lineRule="exact"/>
        <w:rPr>
          <w:sz w:val="20"/>
          <w:szCs w:val="20"/>
          <w:color w:val="auto"/>
        </w:rPr>
      </w:pPr>
    </w:p>
    <w:p>
      <w:pPr>
        <w:ind w:right="100" w:firstLine="438"/>
        <w:spacing w:after="0" w:line="255" w:lineRule="auto"/>
        <w:rPr>
          <w:sz w:val="20"/>
          <w:szCs w:val="20"/>
          <w:color w:val="auto"/>
        </w:rPr>
      </w:pPr>
      <w:r>
        <w:rPr>
          <w:rFonts w:ascii="Arial" w:cs="Arial" w:eastAsia="Arial" w:hAnsi="Arial"/>
          <w:sz w:val="13"/>
          <w:szCs w:val="13"/>
          <w:color w:val="auto"/>
        </w:rPr>
        <w:t>During the three and nine months ended June 30, 2020 and 2019, we declared distributions of $0.285 and $0.855 per share, respectively, for total distributions of $11.1 and $33.2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monthly distributions to our stockholders. Our monthly distributions, if any, are determined by our board of directors quarterly.</w:t>
      </w:r>
    </w:p>
    <w:p>
      <w:pPr>
        <w:spacing w:after="0" w:line="136" w:lineRule="exact"/>
        <w:rPr>
          <w:sz w:val="20"/>
          <w:szCs w:val="20"/>
          <w:color w:val="auto"/>
        </w:rPr>
      </w:pPr>
    </w:p>
    <w:p>
      <w:pPr>
        <w:ind w:firstLine="438"/>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Developments</w:t>
      </w:r>
    </w:p>
    <w:p>
      <w:pPr>
        <w:spacing w:after="0" w:line="136" w:lineRule="exact"/>
        <w:rPr>
          <w:sz w:val="20"/>
          <w:szCs w:val="20"/>
          <w:color w:val="auto"/>
        </w:rPr>
      </w:pPr>
    </w:p>
    <w:p>
      <w:pPr>
        <w:ind w:right="280" w:firstLine="438"/>
        <w:spacing w:after="0" w:line="231" w:lineRule="auto"/>
        <w:rPr>
          <w:sz w:val="20"/>
          <w:szCs w:val="20"/>
          <w:color w:val="auto"/>
        </w:rPr>
      </w:pPr>
      <w:r>
        <w:rPr>
          <w:rFonts w:ascii="Arial" w:cs="Arial" w:eastAsia="Arial" w:hAnsi="Arial"/>
          <w:sz w:val="14"/>
          <w:szCs w:val="14"/>
          <w:color w:val="auto"/>
        </w:rPr>
        <w:t>Subsequent to June 30, 2020, the market disruptions caused by the COVID-19 pandemic have continued to adversely affect the business operations of some, if not all, of our portfolio companies and have adversely affected, and may continue to adversely affect, our operations and the operations of our Investment Adviser. While we are closely monitoring this situation, we cannot predict the impact of COVID-19 on our future financial condition, results of operations or cash flows with any level of certainty. The COVID-19 pandemic, however, has had and is expected to continue to have a material adverse impact on our net investment income, the fair value of our portfolio investments, and the results of operations and financial condition of our portfolio companies. For more information, see “COVID-19 Developments” above.</w:t>
      </w:r>
    </w:p>
    <w:p>
      <w:pPr>
        <w:spacing w:after="0" w:line="112"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jc w:val="both"/>
        <w:ind w:right="60" w:firstLine="438"/>
        <w:spacing w:after="0" w:line="238" w:lineRule="auto"/>
        <w:rPr>
          <w:sz w:val="20"/>
          <w:szCs w:val="20"/>
          <w:color w:val="auto"/>
        </w:rPr>
      </w:pPr>
      <w:r>
        <w:rPr>
          <w:rFonts w:ascii="Arial" w:cs="Arial" w:eastAsia="Arial" w:hAnsi="Arial"/>
          <w:sz w:val="14"/>
          <w:szCs w:val="14"/>
          <w:color w:val="auto"/>
        </w:rPr>
        <w:t>We are subject to financial market risks, including changes in interest rates. As of June 30, 2020, our debt portfolio consisted of 99% variable-rate investments. The variable-rate loans are usually based on a floating interest rate index such as LIBOR and typically have durations of three months, after which they reset to current market interest rates. Variable-rate investments subject to a floor generally reset by reference to the current market index after one to nine months only if the index exceeds the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4" w:name="page45"/>
    <w:bookmarkEnd w:id="44"/>
    <w:p>
      <w:pPr>
        <w:spacing w:after="0" w:line="253" w:lineRule="auto"/>
        <w:rPr>
          <w:sz w:val="20"/>
          <w:szCs w:val="20"/>
          <w:color w:val="auto"/>
        </w:rPr>
      </w:pPr>
      <w:r>
        <w:rPr>
          <w:rFonts w:ascii="Arial" w:cs="Arial" w:eastAsia="Arial" w:hAnsi="Arial"/>
          <w:sz w:val="14"/>
          <w:szCs w:val="14"/>
          <w:color w:val="auto"/>
        </w:rPr>
        <w:t>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06" w:lineRule="exact"/>
        <w:rPr>
          <w:sz w:val="20"/>
          <w:szCs w:val="20"/>
          <w:color w:val="auto"/>
        </w:rPr>
      </w:pPr>
    </w:p>
    <w:p>
      <w:pPr>
        <w:ind w:right="500" w:firstLine="438"/>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3"/>
              </w:rPr>
              <w:t>Change In Interest Income,</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282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3"/>
              </w:rPr>
              <w:t>Net Of Interest Expense</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20" w:type="dxa"/>
            <w:vAlign w:val="bottom"/>
          </w:tcPr>
          <w:p>
            <w:pPr>
              <w:jc w:val="center"/>
              <w:ind w:left="588"/>
              <w:spacing w:after="0"/>
              <w:rPr>
                <w:sz w:val="20"/>
                <w:szCs w:val="20"/>
                <w:color w:val="auto"/>
              </w:rPr>
            </w:pPr>
            <w:r>
              <w:rPr>
                <w:rFonts w:ascii="Arial" w:cs="Arial" w:eastAsia="Arial" w:hAnsi="Arial"/>
                <w:sz w:val="14"/>
                <w:szCs w:val="14"/>
                <w:b w:val="1"/>
                <w:bCs w:val="1"/>
                <w:color w:val="auto"/>
                <w:w w:val="91"/>
              </w:rPr>
              <w:t>(in thousands)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5"/>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2820" w:type="dxa"/>
            <w:vAlign w:val="bottom"/>
            <w:tcBorders>
              <w:top w:val="single" w:sz="8" w:color="auto"/>
            </w:tcBorders>
            <w:shd w:val="clear" w:color="auto" w:fill="CCECFF"/>
          </w:tcPr>
          <w:p>
            <w:pPr>
              <w:jc w:val="right"/>
              <w:ind w:right="2668"/>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1,656</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0.04</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(1,492)</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right"/>
              <w:ind w:right="80"/>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220" w:type="dxa"/>
            <w:vAlign w:val="bottom"/>
            <w:shd w:val="clear" w:color="auto" w:fill="CCECFF"/>
          </w:tcPr>
          <w:p>
            <w:pPr>
              <w:spacing w:after="0"/>
              <w:rPr>
                <w:sz w:val="14"/>
                <w:szCs w:val="14"/>
                <w:color w:val="auto"/>
              </w:rPr>
            </w:pPr>
          </w:p>
        </w:tc>
        <w:tc>
          <w:tcPr>
            <w:tcW w:w="282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3,389</w:t>
            </w:r>
          </w:p>
        </w:tc>
        <w:tc>
          <w:tcPr>
            <w:tcW w:w="20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480" w:type="dxa"/>
            <w:vAlign w:val="bottom"/>
            <w:shd w:val="clear" w:color="auto" w:fill="CCECFF"/>
          </w:tcPr>
          <w:p>
            <w:pPr>
              <w:spacing w:after="0"/>
              <w:rPr>
                <w:sz w:val="14"/>
                <w:szCs w:val="14"/>
                <w:color w:val="auto"/>
              </w:rPr>
            </w:pP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2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8,270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0" w:type="dxa"/>
            <w:vAlign w:val="bottom"/>
          </w:tcPr>
          <w:p>
            <w:pPr>
              <w:jc w:val="right"/>
              <w:spacing w:after="0"/>
              <w:rPr>
                <w:sz w:val="20"/>
                <w:szCs w:val="20"/>
                <w:color w:val="auto"/>
              </w:rPr>
            </w:pPr>
            <w:r>
              <w:rPr>
                <w:rFonts w:ascii="Arial" w:cs="Arial" w:eastAsia="Arial" w:hAnsi="Arial"/>
                <w:sz w:val="14"/>
                <w:szCs w:val="14"/>
                <w:color w:val="auto"/>
              </w:rPr>
              <w:t>0.21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3040" w:type="dxa"/>
            <w:vAlign w:val="bottom"/>
            <w:gridSpan w:val="2"/>
            <w:shd w:val="clear" w:color="auto" w:fill="CCECFF"/>
          </w:tcPr>
          <w:p>
            <w:pPr>
              <w:jc w:val="right"/>
              <w:ind w:right="266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13,151</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0.34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 w:firstLine="438"/>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15" w:lineRule="exact"/>
        <w:rPr>
          <w:sz w:val="20"/>
          <w:szCs w:val="20"/>
          <w:color w:val="auto"/>
        </w:rPr>
      </w:pPr>
    </w:p>
    <w:p>
      <w:pPr>
        <w:jc w:val="both"/>
        <w:ind w:right="160" w:firstLine="438"/>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80" w:firstLine="438"/>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160" w:firstLine="438"/>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2020 that have materially affected, or are reasonably likely to materially affect, our internal control over financial reporting.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1.Legal Proceedings</w:t>
      </w:r>
    </w:p>
    <w:p>
      <w:pPr>
        <w:spacing w:after="0" w:line="140" w:lineRule="exact"/>
        <w:rPr>
          <w:sz w:val="20"/>
          <w:szCs w:val="20"/>
          <w:color w:val="auto"/>
        </w:rPr>
      </w:pPr>
    </w:p>
    <w:p>
      <w:pPr>
        <w:ind w:right="80" w:firstLine="438"/>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and any future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1A.Risk Factors</w:t>
      </w:r>
    </w:p>
    <w:p>
      <w:pPr>
        <w:spacing w:after="0" w:line="140" w:lineRule="exact"/>
        <w:rPr>
          <w:sz w:val="20"/>
          <w:szCs w:val="20"/>
          <w:color w:val="auto"/>
        </w:rPr>
      </w:pPr>
    </w:p>
    <w:p>
      <w:pPr>
        <w:jc w:val="both"/>
        <w:ind w:right="40" w:firstLine="438"/>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2019 filed on November 20, 2019, which could materially affect our business, financial condition and/or operating results. The risks described below, as well as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117" w:lineRule="exact"/>
        <w:rPr>
          <w:sz w:val="20"/>
          <w:szCs w:val="20"/>
          <w:color w:val="auto"/>
        </w:rPr>
      </w:pPr>
    </w:p>
    <w:p>
      <w:pPr>
        <w:ind w:right="140" w:firstLine="438"/>
        <w:spacing w:after="0" w:line="238" w:lineRule="auto"/>
        <w:rPr>
          <w:sz w:val="20"/>
          <w:szCs w:val="20"/>
          <w:color w:val="auto"/>
        </w:rPr>
      </w:pPr>
      <w:r>
        <w:rPr>
          <w:rFonts w:ascii="Arial" w:cs="Arial" w:eastAsia="Arial" w:hAnsi="Arial"/>
          <w:sz w:val="14"/>
          <w:szCs w:val="14"/>
          <w:b w:val="1"/>
          <w:bCs w:val="1"/>
          <w:i w:val="1"/>
          <w:iCs w:val="1"/>
          <w:color w:val="auto"/>
        </w:rPr>
        <w:t>Global capital markets could enter a period of severe disruption and instability due to future recessions, political instability, geopolitical turmoil and foreign hostilities, and disease pandemics and other serious health events. These market conditions have historically had and could again have a materially adverse effect on debt and equity capital markets in the United States, which could have a materially negative impact on our business, financial condition and results of operations.</w:t>
      </w:r>
    </w:p>
    <w:p>
      <w:pPr>
        <w:spacing w:after="0" w:line="115"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The U.S. and global capital markets have, from time to time, experienced periods of disruption characterized by the freezing of available credit, a lack of liquidity in the debt capital markets, significant losses in the principal value of investments, the re-pricing of credit risk in the broadly syndicated credit market, the failure of major financial institutions and general volatility in the financial markets. During these periods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In addition, uncertainty between the United States and other countries with respect to trade policies, treaties and tariffs, among other factors, have caused disruptions in the global markets, including markets in which we participate, and we cannot assure you that these market conditions will not continue or worsen in the future. We may in the future have difficulty accessing debt and equity capital markets, and a severe disruption in the global financial markets, deterioration in credit and financing conditions or uncertainty regarding U.S. government spending and deficit levels or other global economic and political conditions, including future recessions, political instability, geopolitical turmoil and foreign hostilities, and disease, pandemics and other serious health events, could have a material adverse effect on our business, financial condition and results of operations.</w:t>
      </w:r>
    </w:p>
    <w:p>
      <w:pPr>
        <w:spacing w:after="0" w:line="117"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In December 2019, COVID-19 was first detected in the city of Wuhan in the Hubei province of China. The spread of COVID-19 has resulted in governmental orders imposing travel restrictions and prolonged closures of many corporate offices, retail stores, manufacturing facilities, factories and other common places of public congregation around the world, which has materially disrupted the demand for our portfolio companies’ products and services and is making it more difficult for our portfolio companies to conduct their businesses. In addition, supply chains worldwide have been interrupted, slowed, or rendered inoperable as a result of the COVID-19 pandemic, and an increasing number of individuals are becoming ill, quarantined, or otherwise unable to work and/or travel due to health reasons or governmental restrictions. Governmental mandates to control the outbreak have resulted in forced shutdowns of our portfolio companies’ facilities for extended periods. While many states have begun to ease such governmental restrictions, these prolonged disruptions in the business of our portfolio companies, including disruptions in their supply chains, have adversely affected their ability to obtain the necessary raw materials or components to make their products and caused a decline in the demand for their products or services. This may require, or in some cases already has required, our portfolio companies to furlough or lay off employees, terminate relationships with service providers or otherwise significantly curtail their standard business operations, which would likely cause, or already has caused, a negative impact on their operating results.</w:t>
      </w:r>
    </w:p>
    <w:p>
      <w:pPr>
        <w:spacing w:after="0" w:line="117" w:lineRule="exact"/>
        <w:rPr>
          <w:sz w:val="20"/>
          <w:szCs w:val="20"/>
          <w:color w:val="auto"/>
        </w:rPr>
      </w:pPr>
    </w:p>
    <w:p>
      <w:pPr>
        <w:ind w:right="60" w:firstLine="438"/>
        <w:spacing w:after="0" w:line="227" w:lineRule="auto"/>
        <w:rPr>
          <w:sz w:val="20"/>
          <w:szCs w:val="20"/>
          <w:color w:val="auto"/>
        </w:rPr>
      </w:pPr>
      <w:r>
        <w:rPr>
          <w:rFonts w:ascii="Arial" w:cs="Arial" w:eastAsia="Arial" w:hAnsi="Arial"/>
          <w:sz w:val="14"/>
          <w:szCs w:val="14"/>
          <w:color w:val="auto"/>
        </w:rPr>
        <w:t>The global impact of the COVID-19 outbreak continues to evolve and is adversely affecting our operations and the operations of our portfolio companies. The COVID-19 pandemic has resulted in, and will continue to result in, among other things, the following: (i) increased draws by borrowers on revolving lines of credit; (ii) increased requests by borrowers for amendments and waivers of their credit agreements to avoid default, increased defaults by such borrowers and/or increased difficulty in obtaining refinancing at the maturity dates of their loans; (iii) volatility and disruption of markets including greater volatility in pricing and spreads, difficulty in valuing loans during periods of increased volatility, and liquidity issues; (iv) reduction in certain interest rates by the U.S. Federal Reserve and other central banks and decreased LIBOR; and (v) unfavorable economic conditions that would be expected to increase borrowers’ funding costs, limit borrowers’ access to the capital markets or result in a decision by lenders not to extend credit to borrowers. These factors are limiting our portfolio companies’ access to capital in a time of great economic distress. While government authorities have introduced creative proposals to address the needs of businesses, such actions may not be sufficient to address the problems facing our portfolio companies.</w:t>
      </w:r>
    </w:p>
    <w:p>
      <w:pPr>
        <w:spacing w:after="0" w:line="118" w:lineRule="exact"/>
        <w:rPr>
          <w:sz w:val="20"/>
          <w:szCs w:val="20"/>
          <w:color w:val="auto"/>
        </w:rPr>
      </w:pPr>
    </w:p>
    <w:p>
      <w:pPr>
        <w:ind w:right="220" w:firstLine="438"/>
        <w:spacing w:after="0" w:line="251" w:lineRule="auto"/>
        <w:rPr>
          <w:sz w:val="20"/>
          <w:szCs w:val="20"/>
          <w:color w:val="auto"/>
        </w:rPr>
      </w:pPr>
      <w:r>
        <w:rPr>
          <w:rFonts w:ascii="Arial" w:cs="Arial" w:eastAsia="Arial" w:hAnsi="Arial"/>
          <w:sz w:val="13"/>
          <w:szCs w:val="13"/>
          <w:color w:val="auto"/>
        </w:rPr>
        <w:t>The outbreak has led to a continued adverse impact on economic and market conditions and may trigger a prolonged period of global economic slowdown. The full impact on global markets from COVID-19 is difficult to predict, and the degree to which COVID-19 will continue to negatively affect our operating results or the duration of any potential business disruption remains uncertain. The full negative impact of COVID-19 on our business and results of operations will depend to a large extent on future developments and new information that may emerge regarding the duration and severity of COVID-19, the possibility of a resurgence and the actions taken by authorities and other entities to lift restrictions on business operations and open the economy, all of which are beyond our control. These future events, while unpredictable, will likely adversely affect our operating results and the operating results of our portfolio companies.</w:t>
      </w:r>
    </w:p>
    <w:p>
      <w:pPr>
        <w:spacing w:after="0" w:line="109" w:lineRule="exact"/>
        <w:rPr>
          <w:sz w:val="20"/>
          <w:szCs w:val="20"/>
          <w:color w:val="auto"/>
        </w:rPr>
      </w:pPr>
    </w:p>
    <w:p>
      <w:pPr>
        <w:ind w:right="40" w:firstLine="438"/>
        <w:spacing w:after="0" w:line="242" w:lineRule="auto"/>
        <w:rPr>
          <w:sz w:val="20"/>
          <w:szCs w:val="20"/>
          <w:color w:val="auto"/>
        </w:rPr>
      </w:pPr>
      <w:r>
        <w:rPr>
          <w:rFonts w:ascii="Arial" w:cs="Arial" w:eastAsia="Arial" w:hAnsi="Arial"/>
          <w:sz w:val="13"/>
          <w:szCs w:val="13"/>
          <w:color w:val="auto"/>
        </w:rPr>
        <w:t>In addition, on January 31, 2020, the United Kingdom technically withdrew from the European Union, triggering a negotiated transition period during which the United Kingdom remains in the European Union single market and customs union and remains subject to European Union laws and regulations. The transition period is scheduled to end on December 31, 2020. While the deadline can be extended by one or two years, the U.K. government has limited the flexibility for it to seek an extension and is on record as saying it will not seek an extension. During the transition period, the parties are to negotiate agreements addressing a range of aspects of the future relationship, foremost among them a free trade agreement. It remains unclear which aspects of the future relationship between the United Kingdom and the European Union will, in fact, be agreed by the deadline, or whether certain aspects (for example, trade in goods, but not services) will be addressed and others deferred, or alternatively whether the parties will fail to reach agreement in time on fundamental trade matters, causing the United Kingdom to default to World Trade Organization rules. The United Kingdom and the European Union are therefore in a period of legal, regulatory and political uncertainty. As a consequence of continued uncertainty surrounding Brexit, the financial markets have experienced high levels of volatility. While such uncertainty most directly affects the United Kingdom and the European Union, global markets have suffered immediate and significant disruption. It is likely that, in the near term, uncertainty over Brexit will continue to bring about higher levels of uncertainty and volatility. During this period of uncertainty, the negative impact on not only the U.K. and European economies, but also the broader global economy, could be significant. This would potentially result in increased market and currency volatility (including volatility of the value of the British pound sterling relative to the U.S. dollar and other currencies and volatility in global currency markets generally), and illiquidity and lower economic growth for companies that rely significantly on Europe for their business activities and revenues. Once there is clarity, however, the outcomes following the transition period are likely to affect, among others, trade in goods and services (including the regime that will replace the existing passporting regimes for financial and other services); immigration rules and the ability to move employees across borders; legal and regulatory regimes; and market access rules.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Additional risks associated with the outcome of Brexit include macroeconomic risk to the U.K. and European economies, impetus for further disintegration of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6" w:name="page47"/>
    <w:bookmarkEnd w:id="46"/>
    <w:p>
      <w:pPr>
        <w:ind w:right="100"/>
        <w:spacing w:after="0" w:line="229" w:lineRule="auto"/>
        <w:rPr>
          <w:sz w:val="20"/>
          <w:szCs w:val="20"/>
          <w:color w:val="auto"/>
        </w:rPr>
      </w:pPr>
      <w:r>
        <w:rPr>
          <w:rFonts w:ascii="Arial" w:cs="Arial" w:eastAsia="Arial" w:hAnsi="Arial"/>
          <w:sz w:val="14"/>
          <w:szCs w:val="14"/>
          <w:color w:val="auto"/>
        </w:rPr>
        <w:t>European Union and related political stresses (including those related to sentiment against cross border capital movements and activities of investors like us), prejudice to financial services business that are conducting business in the European Union and which are based in the United Kingdom, legal uncertainty regarding achievement of compliance with applicable financial and commercial laws and regulations in view of the expected steps to be taken pursuant to or in contemplation of Article 50 of the Treaty on European Union and negotiations undertaken under Article 218 of the Treaty on the Functioning of the European Union, and the unavailability of timely information as to expected legal, tax and other regimes. Any further exits from the European Union, or the possibility of such exits, would likely cause additional market disruption globally and introduce new legal and regulatory uncertainties. We will continue to monitor the potential impact of Brexit on our results of operations and financial condition.</w:t>
      </w:r>
    </w:p>
    <w:p>
      <w:pPr>
        <w:spacing w:after="0" w:line="118"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We are currently operating in a period of capital markets disruption and economic uncertainty.</w:t>
      </w:r>
    </w:p>
    <w:p>
      <w:pPr>
        <w:spacing w:after="0" w:line="136" w:lineRule="exact"/>
        <w:rPr>
          <w:sz w:val="20"/>
          <w:szCs w:val="20"/>
          <w:color w:val="auto"/>
        </w:rPr>
      </w:pPr>
    </w:p>
    <w:p>
      <w:pPr>
        <w:ind w:right="40" w:firstLine="438"/>
        <w:spacing w:after="0" w:line="247" w:lineRule="auto"/>
        <w:rPr>
          <w:sz w:val="20"/>
          <w:szCs w:val="20"/>
          <w:color w:val="auto"/>
        </w:rPr>
      </w:pPr>
      <w:r>
        <w:rPr>
          <w:rFonts w:ascii="Arial" w:cs="Arial" w:eastAsia="Arial" w:hAnsi="Arial"/>
          <w:sz w:val="13"/>
          <w:szCs w:val="13"/>
          <w:color w:val="auto"/>
        </w:rPr>
        <w:t>The U.S. capital markets have experienced extreme volatility and disruption following the global outbreak of COVID-19. Some economists and major investment banks have expressed concern that the continued spread of the virus globally could lead to a prolonged period of world-wide economic downturn. Disruptions in the capital markets have increased the spread between the yields realized on risk-free and higher risk securities, resulting in illiquidity in parts of the capital markets. Such disruptions are adversely affecting our business, financial condition, results of operations and cash flows, and future market disruptions and/or illiquidity will continue to negatively impact us. These unfavorable economic conditions are also increasing our funding costs and limiting our access to the capital markets, and may result in a decision by lenders not to extend credit to us in the future. These events have limited and will continue to limit our investment originations, limit our ability to grow and negatively impact our operating results and the fair values of our debt and equity investments. We also face an increased risk of investor, creditor or portfolio company disputes, litigation and governmental and regulatory scrutiny as a result of the effects of COVID-19 on economic and market conditions.</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Legislation enacted in 2018 allows us to incur additional leverage.</w:t>
      </w:r>
    </w:p>
    <w:p>
      <w:pPr>
        <w:spacing w:after="0" w:line="136" w:lineRule="exact"/>
        <w:rPr>
          <w:sz w:val="20"/>
          <w:szCs w:val="20"/>
          <w:color w:val="auto"/>
        </w:rPr>
      </w:pPr>
    </w:p>
    <w:p>
      <w:pPr>
        <w:ind w:firstLine="438"/>
        <w:spacing w:after="0" w:line="244"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enacted which amended the 1940 Act to decrease this percentage from 200% (i.e., $1 of debt outstanding for each $1 of equity) to 150% (i.e., $2 of debt outstanding for each $1 of equity) for a BDC that has received either stockholder approval or approval of a “required majority” (as defined in Section 57(o) of the 1940 Act) of its board of directors of the application of such lower asset coverage ratio to the BDC. On April 5, 2018, our board of directors approved such reduction. As of April 5, 2019, we are able to incur additional indebtedness so long as we comply with the applicable disclosure requirement, which may increase the risk of investing in us. Under the 200% minimum asset coverage ratio, the Company was permitted to borrow up to one dollar for investment purposes for every one dollar of investor equity and, under the 150% minimum asset coverage ratio, the Company is permitted to borrow up to two dollars for investment purposes for every one dollar of investor equity. In other words, Section 61(a)(2) of the 1940 Act permits BDCs to potentially increase their debt-to-equity ratio from a maximum of 1-to-1 to a maximum of 2-to-1.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14" w:lineRule="exact"/>
        <w:rPr>
          <w:sz w:val="20"/>
          <w:szCs w:val="20"/>
          <w:color w:val="auto"/>
        </w:rPr>
      </w:pPr>
    </w:p>
    <w:p>
      <w:pPr>
        <w:ind w:right="360" w:firstLine="438"/>
        <w:spacing w:after="0" w:line="253" w:lineRule="auto"/>
        <w:rPr>
          <w:sz w:val="20"/>
          <w:szCs w:val="20"/>
          <w:color w:val="auto"/>
        </w:rPr>
      </w:pPr>
      <w:r>
        <w:rPr>
          <w:rFonts w:ascii="Arial" w:cs="Arial" w:eastAsia="Arial" w:hAnsi="Arial"/>
          <w:sz w:val="14"/>
          <w:szCs w:val="14"/>
          <w:b w:val="1"/>
          <w:bCs w:val="1"/>
          <w:i w:val="1"/>
          <w:iCs w:val="1"/>
          <w:color w:val="auto"/>
        </w:rPr>
        <w:t>Because we intend to distribute substantially all of our income to our stockholders to maintain our ability to be subject to tax as a RIC, we may need to raise additional capital to finance our growth. If funds are not available to us, we may need to curtail new investments, and our common stock value could decline.</w:t>
      </w:r>
    </w:p>
    <w:p>
      <w:pPr>
        <w:spacing w:after="0" w:line="106" w:lineRule="exact"/>
        <w:rPr>
          <w:sz w:val="20"/>
          <w:szCs w:val="20"/>
          <w:color w:val="auto"/>
        </w:rPr>
      </w:pPr>
    </w:p>
    <w:p>
      <w:pPr>
        <w:jc w:val="both"/>
        <w:ind w:right="120" w:firstLine="438"/>
        <w:spacing w:after="0" w:line="238" w:lineRule="auto"/>
        <w:rPr>
          <w:sz w:val="20"/>
          <w:szCs w:val="20"/>
          <w:color w:val="auto"/>
        </w:rPr>
      </w:pPr>
      <w:r>
        <w:rPr>
          <w:rFonts w:ascii="Arial" w:cs="Arial" w:eastAsia="Arial" w:hAnsi="Arial"/>
          <w:sz w:val="14"/>
          <w:szCs w:val="14"/>
          <w:color w:val="auto"/>
        </w:rPr>
        <w:t>In connection with satisfying the requirements to be subject to tax as a RIC for federal income tax purposes, we intend to distribute to our stockholders substantially all of our investment company taxable income and net capital gains each taxable year. However, we may retain all or a portion of our net capital gains and incur applicable income taxes with respect thereto and elect to treat such retained net capital gains as deemed dividend distributions to our stockholders.</w:t>
      </w:r>
    </w:p>
    <w:p>
      <w:pPr>
        <w:spacing w:after="0" w:line="115" w:lineRule="exact"/>
        <w:rPr>
          <w:sz w:val="20"/>
          <w:szCs w:val="20"/>
          <w:color w:val="auto"/>
        </w:rPr>
      </w:pPr>
    </w:p>
    <w:p>
      <w:pPr>
        <w:ind w:right="80" w:firstLine="438"/>
        <w:spacing w:after="0" w:line="229" w:lineRule="auto"/>
        <w:rPr>
          <w:sz w:val="20"/>
          <w:szCs w:val="20"/>
          <w:color w:val="auto"/>
        </w:rPr>
      </w:pPr>
      <w:r>
        <w:rPr>
          <w:rFonts w:ascii="Arial" w:cs="Arial" w:eastAsia="Arial" w:hAnsi="Arial"/>
          <w:sz w:val="14"/>
          <w:szCs w:val="14"/>
          <w:color w:val="auto"/>
        </w:rPr>
        <w:t>As noted above, on April 5, 2018, our board of directors, including a “required majority” (as such term is defined in Section 57(o) of the 1940 Act), approved a reduction of our asset coverage ratio from 200% to 150%. As a result, as of April 5, 2019, the asset coverage requirement applicable to us for senior securities was reduced from 200% (i.e., $1 of debt outstanding for each $1 of equity) to 150% (i.e., $2 of debt outstanding for each $1 of equity). If we incur additional indebtedness under this provision, the risk of investing in us will increase. If the value of our assets declines, we may be unable to satisfy this asset coverage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ind w:right="60" w:firstLine="438"/>
        <w:spacing w:after="0" w:line="233" w:lineRule="auto"/>
        <w:rPr>
          <w:sz w:val="20"/>
          <w:szCs w:val="20"/>
          <w:color w:val="auto"/>
        </w:rPr>
      </w:pPr>
      <w:r>
        <w:rPr>
          <w:rFonts w:ascii="Arial" w:cs="Arial" w:eastAsia="Arial" w:hAnsi="Arial"/>
          <w:sz w:val="14"/>
          <w:szCs w:val="14"/>
          <w:color w:val="auto"/>
        </w:rPr>
        <w:t>We are partially dependent on our subsidiary Funding I for cash distributions to enable us to meet the distribution requirements in order to permit us to be subject to tax as a RIC. In this regard, Funding I is limited by its covenants from making certain distributions to us that may be necessary to fulfill our requirements to be subject to tax as a RIC. In such case, we would need to request a waiver of these covenants’ restrictions for Funding I to make certain distributions to enable us to be subject to tax as a RIC. We cannot assure you that Funding I will be granted such a waiver, and if Funding I is unable to obtain a waiver, compliance with the covenants may cause us to incur a corporate-level income tax.</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If we incur additional debt, it could increase the risk of investing in our shares.</w:t>
      </w:r>
    </w:p>
    <w:p>
      <w:pPr>
        <w:spacing w:after="0" w:line="136" w:lineRule="exact"/>
        <w:rPr>
          <w:sz w:val="20"/>
          <w:szCs w:val="20"/>
          <w:color w:val="auto"/>
        </w:rPr>
      </w:pPr>
    </w:p>
    <w:p>
      <w:pPr>
        <w:ind w:right="20" w:firstLine="438"/>
        <w:spacing w:after="0" w:line="244" w:lineRule="auto"/>
        <w:rPr>
          <w:sz w:val="20"/>
          <w:szCs w:val="20"/>
          <w:color w:val="auto"/>
        </w:rPr>
      </w:pPr>
      <w:r>
        <w:rPr>
          <w:rFonts w:ascii="Arial" w:cs="Arial" w:eastAsia="Arial" w:hAnsi="Arial"/>
          <w:sz w:val="13"/>
          <w:szCs w:val="13"/>
          <w:color w:val="auto"/>
        </w:rPr>
        <w:t>We have indebtedness outstanding pursuant to our Credit Facility, 2023 Notes and the 2031 Asset-Backed Debt and expect in the future to borrow additional amounts under our Credit Facility or other debt securities, subject to market availability, and may increase the size of our Credit Facility. We cannot assure you that our leverage will remain at current levels. The amount of leverage that we employ will depend upon our assessment of the market and other factors at the time of any proposed borrowing. Lenders have fixed dollar claims on our assets that are superior to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loss or gain on amounts invested and, therefore, increase the risks associated with investing in our securities. Leverage is generally considered a speculative investment technique. If the value of our assets decreases, then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14" w:lineRule="exact"/>
        <w:rPr>
          <w:sz w:val="20"/>
          <w:szCs w:val="20"/>
          <w:color w:val="auto"/>
        </w:rPr>
      </w:pPr>
    </w:p>
    <w:p>
      <w:pPr>
        <w:ind w:right="20" w:firstLine="438"/>
        <w:spacing w:after="0" w:line="264" w:lineRule="auto"/>
        <w:rPr>
          <w:sz w:val="20"/>
          <w:szCs w:val="20"/>
          <w:color w:val="auto"/>
        </w:rPr>
      </w:pPr>
      <w:r>
        <w:rPr>
          <w:rFonts w:ascii="Arial" w:cs="Arial" w:eastAsia="Arial" w:hAnsi="Arial"/>
          <w:sz w:val="13"/>
          <w:szCs w:val="13"/>
          <w:color w:val="auto"/>
        </w:rPr>
        <w:t>As noted above, on April 5, 2018, our board of directors, including a “required majority” (as such term is defined in Section 57(o) of the 1940 Act), and our stockholders, respectively, approved a reduction of our asset coverage ratio. As a result, as of April 5, 2019, the asset coverage requirement applicable to us for senior securities was reduced from 200% to 150%. As of such date, we are able to incur additional indebtedness so long as we comply with the applicable disclosure requirements, which may increase the risk of investing in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69"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b w:val="1"/>
          <w:bCs w:val="1"/>
          <w:color w:val="auto"/>
        </w:rPr>
        <w:t>Item 2.Unregistered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265" w:right="1440" w:bottom="1440" w:gutter="0" w:footer="0" w:header="0"/>
        </w:sectPr>
      </w:pPr>
    </w:p>
    <w:bookmarkStart w:id="48" w:name="page49"/>
    <w:bookmarkEnd w:id="48"/>
    <w:p>
      <w:pPr>
        <w:spacing w:after="0"/>
        <w:tabs>
          <w:tab w:leader="none" w:pos="80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136" w:lineRule="exact"/>
        <w:rPr>
          <w:sz w:val="20"/>
          <w:szCs w:val="20"/>
          <w:color w:val="auto"/>
        </w:rPr>
      </w:pPr>
    </w:p>
    <w:p>
      <w:pPr>
        <w:ind w:left="580" w:hanging="507"/>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3.1</w:t>
      </w:r>
      <w:r>
        <w:rPr>
          <w:sz w:val="20"/>
          <w:szCs w:val="20"/>
          <w:color w:val="auto"/>
        </w:rPr>
        <w:tab/>
      </w:r>
      <w:hyperlink r:id="rId79">
        <w:r>
          <w:rPr>
            <w:rFonts w:ascii="Arial" w:cs="Arial" w:eastAsia="Arial" w:hAnsi="Arial"/>
            <w:sz w:val="14"/>
            <w:szCs w:val="14"/>
            <w:u w:val="single" w:color="auto"/>
            <w:color w:val="0000EE"/>
          </w:rPr>
          <w:t>Articles of Amendment and Restatement of the Registrant (Incorporated by reference to Exhibit 99(A) to the Registrant's Pre-Effective Amendment No. 3 to the Registration Statement</w:t>
        </w:r>
      </w:hyperlink>
      <w:r>
        <w:rPr>
          <w:rFonts w:ascii="Arial" w:cs="Arial" w:eastAsia="Arial" w:hAnsi="Arial"/>
          <w:sz w:val="14"/>
          <w:szCs w:val="14"/>
          <w:u w:val="single" w:color="auto"/>
          <w:color w:val="0000EE"/>
        </w:rPr>
        <w:t xml:space="preserve"> </w:t>
      </w:r>
      <w:hyperlink r:id="rId79">
        <w:r>
          <w:rPr>
            <w:rFonts w:ascii="Arial" w:cs="Arial" w:eastAsia="Arial" w:hAnsi="Arial"/>
            <w:sz w:val="14"/>
            <w:szCs w:val="14"/>
            <w:u w:val="single" w:color="auto"/>
            <w:color w:val="0000EE"/>
          </w:rPr>
          <w:t>on Form N-2 (File No. 333-170243), filed on March 29, 2011).</w:t>
        </w:r>
      </w:hyperlink>
    </w:p>
    <w:p>
      <w:pPr>
        <w:spacing w:after="0" w:line="79" w:lineRule="exact"/>
        <w:rPr>
          <w:sz w:val="20"/>
          <w:szCs w:val="20"/>
          <w:color w:val="auto"/>
        </w:rPr>
      </w:pPr>
    </w:p>
    <w:p>
      <w:pPr>
        <w:ind w:left="580" w:right="220" w:hanging="507"/>
        <w:spacing w:after="0" w:line="253" w:lineRule="auto"/>
        <w:tabs>
          <w:tab w:leader="none" w:pos="560" w:val="left"/>
        </w:tabs>
        <w:rPr>
          <w:rFonts w:ascii="Arial" w:cs="Arial" w:eastAsia="Arial" w:hAnsi="Arial"/>
          <w:sz w:val="14"/>
          <w:szCs w:val="14"/>
          <w:u w:val="single" w:color="auto"/>
          <w:color w:val="0000EE"/>
        </w:rPr>
      </w:pPr>
      <w:r>
        <w:rPr>
          <w:rFonts w:ascii="Arial" w:cs="Arial" w:eastAsia="Arial" w:hAnsi="Arial"/>
          <w:sz w:val="14"/>
          <w:szCs w:val="14"/>
          <w:color w:val="auto"/>
        </w:rPr>
        <w:t>3.2</w:t>
      </w:r>
      <w:r>
        <w:rPr>
          <w:sz w:val="20"/>
          <w:szCs w:val="20"/>
          <w:color w:val="auto"/>
        </w:rPr>
        <w:tab/>
      </w:r>
      <w:hyperlink r:id="rId80">
        <w:r>
          <w:rPr>
            <w:rFonts w:ascii="Arial" w:cs="Arial" w:eastAsia="Arial" w:hAnsi="Arial"/>
            <w:sz w:val="14"/>
            <w:szCs w:val="14"/>
            <w:u w:val="single" w:color="auto"/>
            <w:color w:val="0000EE"/>
          </w:rPr>
          <w:t>Second Amended and Restated Bylaws of the Registrant (Incorporated by reference to Exhibit 3.2 to the Registrant's Quarterly Report on Form 10-Q (File No. 814-00891), filed on</w:t>
        </w:r>
      </w:hyperlink>
      <w:r>
        <w:rPr>
          <w:rFonts w:ascii="Arial" w:cs="Arial" w:eastAsia="Arial" w:hAnsi="Arial"/>
          <w:sz w:val="14"/>
          <w:szCs w:val="14"/>
          <w:u w:val="single" w:color="auto"/>
          <w:color w:val="0000EE"/>
        </w:rPr>
        <w:t xml:space="preserve"> </w:t>
      </w:r>
      <w:hyperlink r:id="rId80">
        <w:r>
          <w:rPr>
            <w:rFonts w:ascii="Arial" w:cs="Arial" w:eastAsia="Arial" w:hAnsi="Arial"/>
            <w:sz w:val="14"/>
            <w:szCs w:val="14"/>
            <w:u w:val="single" w:color="auto"/>
            <w:color w:val="0000EE"/>
          </w:rPr>
          <w:t>May 11, 2020).</w:t>
        </w:r>
      </w:hyperlink>
    </w:p>
    <w:p>
      <w:pPr>
        <w:spacing w:after="0" w:line="79" w:lineRule="exact"/>
        <w:rPr>
          <w:sz w:val="20"/>
          <w:szCs w:val="20"/>
          <w:color w:val="auto"/>
        </w:rPr>
      </w:pPr>
    </w:p>
    <w:p>
      <w:pPr>
        <w:ind w:left="80"/>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81">
        <w:r>
          <w:rPr>
            <w:rFonts w:ascii="Arial" w:cs="Arial" w:eastAsia="Arial" w:hAnsi="Arial"/>
            <w:sz w:val="13"/>
            <w:szCs w:val="13"/>
            <w:u w:val="single" w:color="auto"/>
            <w:color w:val="0000EE"/>
          </w:rPr>
          <w:t>Form of Share Certificate (Incorporated by reference to Exhibit 99(D) to the Registrant's Pre-Effective Amendment No. 5 to the Registration Statement on Form N-2 (File No. 333-</w:t>
        </w:r>
      </w:hyperlink>
    </w:p>
    <w:p>
      <w:pPr>
        <w:ind w:left="580"/>
        <w:spacing w:after="0"/>
        <w:rPr>
          <w:rFonts w:ascii="Arial" w:cs="Arial" w:eastAsia="Arial" w:hAnsi="Arial"/>
          <w:sz w:val="14"/>
          <w:szCs w:val="14"/>
          <w:u w:val="single" w:color="auto"/>
          <w:color w:val="0000EE"/>
        </w:rPr>
      </w:pPr>
      <w:hyperlink r:id="rId81">
        <w:r>
          <w:rPr>
            <w:rFonts w:ascii="Arial" w:cs="Arial" w:eastAsia="Arial" w:hAnsi="Arial"/>
            <w:sz w:val="14"/>
            <w:szCs w:val="14"/>
            <w:u w:val="single" w:color="auto"/>
            <w:color w:val="0000EE"/>
          </w:rPr>
          <w:t>170243), filed on April 5, 2011).</w:t>
        </w:r>
      </w:hyperlink>
    </w:p>
    <w:p>
      <w:pPr>
        <w:spacing w:after="0" w:line="97"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31.1*</w:t>
      </w:r>
      <w:r>
        <w:rPr>
          <w:sz w:val="20"/>
          <w:szCs w:val="20"/>
          <w:color w:val="auto"/>
        </w:rPr>
        <w:tab/>
      </w:r>
      <w:hyperlink w:anchor="page51">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31.2*</w:t>
      </w:r>
      <w:r>
        <w:rPr>
          <w:sz w:val="20"/>
          <w:szCs w:val="20"/>
          <w:color w:val="auto"/>
        </w:rPr>
        <w:tab/>
      </w:r>
      <w:hyperlink w:anchor="page52">
        <w:r>
          <w:rPr>
            <w:rFonts w:ascii="Arial" w:cs="Arial" w:eastAsia="Arial" w:hAnsi="Arial"/>
            <w:sz w:val="13"/>
            <w:szCs w:val="13"/>
            <w:u w:val="single" w:color="auto"/>
            <w:color w:val="0000EE"/>
          </w:rPr>
          <w:t>Certification of Chief Financial Officer pursuant to Rule 13a-14 of the Securities Exchange Act of 1934, as amended.</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32.1*</w:t>
      </w:r>
      <w:r>
        <w:rPr>
          <w:sz w:val="20"/>
          <w:szCs w:val="20"/>
          <w:color w:val="auto"/>
        </w:rPr>
        <w:tab/>
      </w:r>
      <w:hyperlink w:anchor="page53">
        <w:r>
          <w:rPr>
            <w:rFonts w:ascii="Arial" w:cs="Arial" w:eastAsia="Arial" w:hAnsi="Arial"/>
            <w:sz w:val="13"/>
            <w:szCs w:val="13"/>
            <w:u w:val="single" w:color="auto"/>
            <w:color w:val="0000EE"/>
          </w:rPr>
          <w:t>Certification of Chief Executive Officer pursuant to section 906 of The Sarbanes-Oxley Act of 2002.</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32.2*</w:t>
      </w:r>
      <w:r>
        <w:rPr>
          <w:sz w:val="20"/>
          <w:szCs w:val="20"/>
          <w:color w:val="auto"/>
        </w:rPr>
        <w:tab/>
      </w:r>
      <w:hyperlink w:anchor="page54">
        <w:r>
          <w:rPr>
            <w:rFonts w:ascii="Arial" w:cs="Arial" w:eastAsia="Arial" w:hAnsi="Arial"/>
            <w:sz w:val="13"/>
            <w:szCs w:val="13"/>
            <w:u w:val="single" w:color="auto"/>
            <w:color w:val="0000EE"/>
          </w:rPr>
          <w:t>Certification of Chief Financial Officer pursuant to section 906 of The Sarbanes-Oxley Act of 2002.</w:t>
        </w:r>
      </w:hyperlink>
    </w:p>
    <w:p>
      <w:pPr>
        <w:spacing w:after="0" w:line="109" w:lineRule="exact"/>
        <w:rPr>
          <w:sz w:val="20"/>
          <w:szCs w:val="20"/>
          <w:color w:val="auto"/>
        </w:rPr>
      </w:pPr>
    </w:p>
    <w:p>
      <w:pPr>
        <w:spacing w:after="0"/>
        <w:tabs>
          <w:tab w:leader="none" w:pos="560" w:val="left"/>
        </w:tabs>
        <w:rPr>
          <w:rFonts w:ascii="Arial" w:cs="Arial" w:eastAsia="Arial" w:hAnsi="Arial"/>
          <w:sz w:val="13"/>
          <w:szCs w:val="13"/>
          <w:u w:val="single" w:color="auto"/>
          <w:color w:val="0000EE"/>
        </w:rPr>
      </w:pPr>
      <w:r>
        <w:rPr>
          <w:rFonts w:ascii="Arial" w:cs="Arial" w:eastAsia="Arial" w:hAnsi="Arial"/>
          <w:sz w:val="14"/>
          <w:szCs w:val="14"/>
          <w:color w:val="auto"/>
        </w:rPr>
        <w:t>99.1</w:t>
      </w:r>
      <w:r>
        <w:rPr>
          <w:sz w:val="20"/>
          <w:szCs w:val="20"/>
          <w:color w:val="auto"/>
        </w:rPr>
        <w:tab/>
      </w:r>
      <w:hyperlink r:id="rId82">
        <w:r>
          <w:rPr>
            <w:rFonts w:ascii="Arial" w:cs="Arial" w:eastAsia="Arial" w:hAnsi="Arial"/>
            <w:sz w:val="13"/>
            <w:szCs w:val="13"/>
            <w:u w:val="single" w:color="auto"/>
            <w:color w:val="0000EE"/>
          </w:rPr>
          <w:t>Privacy Policy of the Registrant (Incorporated by reference to Exhibit 99.1 to the Registrant’s Annual Report on Form 10-K (File No. 814-00891), filed on November 17, 2011)</w:t>
        </w:r>
        <w:r>
          <w:rPr>
            <w:rFonts w:ascii="Arial" w:cs="Arial" w:eastAsia="Arial" w:hAnsi="Arial"/>
            <w:sz w:val="13"/>
            <w:szCs w:val="13"/>
            <w:color w:val="0000E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8599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57"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200" w:lineRule="exact"/>
        <w:rPr>
          <w:sz w:val="20"/>
          <w:szCs w:val="20"/>
          <w:color w:val="auto"/>
        </w:rPr>
      </w:pPr>
    </w:p>
    <w:p>
      <w:pPr>
        <w:spacing w:after="0" w:line="287"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265" w:right="39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SIGNATURES</w:t>
      </w:r>
    </w:p>
    <w:p>
      <w:pPr>
        <w:spacing w:after="0" w:line="275" w:lineRule="exact"/>
        <w:rPr>
          <w:sz w:val="20"/>
          <w:szCs w:val="20"/>
          <w:color w:val="auto"/>
        </w:rPr>
      </w:pPr>
    </w:p>
    <w:p>
      <w:pPr>
        <w:ind w:right="20" w:firstLine="438"/>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140" w:type="dxa"/>
            <w:vAlign w:val="bottom"/>
          </w:tcPr>
          <w:p>
            <w:pPr>
              <w:ind w:left="840"/>
              <w:spacing w:after="0"/>
              <w:rPr>
                <w:sz w:val="20"/>
                <w:szCs w:val="20"/>
                <w:color w:val="auto"/>
              </w:rPr>
            </w:pPr>
            <w:r>
              <w:rPr>
                <w:rFonts w:ascii="Arial" w:cs="Arial" w:eastAsia="Arial" w:hAnsi="Arial"/>
                <w:sz w:val="14"/>
                <w:szCs w:val="14"/>
                <w:color w:val="auto"/>
              </w:rPr>
              <w:t>PENNANTPARK FLOATING RATE CAPITAL LTD.</w:t>
            </w:r>
          </w:p>
        </w:tc>
      </w:tr>
      <w:tr>
        <w:trPr>
          <w:trHeight w:val="377"/>
        </w:trPr>
        <w:tc>
          <w:tcPr>
            <w:tcW w:w="3400" w:type="dxa"/>
            <w:vAlign w:val="bottom"/>
          </w:tcPr>
          <w:p>
            <w:pPr>
              <w:spacing w:after="0"/>
              <w:rPr>
                <w:sz w:val="20"/>
                <w:szCs w:val="20"/>
                <w:color w:val="auto"/>
              </w:rPr>
            </w:pPr>
            <w:r>
              <w:rPr>
                <w:rFonts w:ascii="Arial" w:cs="Arial" w:eastAsia="Arial" w:hAnsi="Arial"/>
                <w:sz w:val="14"/>
                <w:szCs w:val="14"/>
                <w:color w:val="auto"/>
              </w:rPr>
              <w:t>Date: August 5, 2020</w:t>
            </w:r>
          </w:p>
        </w:tc>
        <w:tc>
          <w:tcPr>
            <w:tcW w:w="2700" w:type="dxa"/>
            <w:vAlign w:val="bottom"/>
          </w:tcPr>
          <w:p>
            <w:pPr>
              <w:ind w:left="23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5"/>
              </w:rPr>
              <w:t>/s/ Arthur H. Penn</w:t>
            </w:r>
          </w:p>
        </w:tc>
      </w:tr>
      <w:tr>
        <w:trPr>
          <w:trHeight w:val="160"/>
        </w:trPr>
        <w:tc>
          <w:tcPr>
            <w:tcW w:w="34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9"/>
              </w:rPr>
              <w:t>Arthur H. Penn</w:t>
            </w:r>
          </w:p>
        </w:tc>
      </w:tr>
      <w:tr>
        <w:trPr>
          <w:trHeight w:val="148"/>
        </w:trPr>
        <w:tc>
          <w:tcPr>
            <w:tcW w:w="3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Chief Executive Officer and Chairman of the Board of Directors</w:t>
            </w:r>
          </w:p>
        </w:tc>
      </w:tr>
      <w:tr>
        <w:trPr>
          <w:trHeight w:val="186"/>
        </w:trPr>
        <w:tc>
          <w:tcPr>
            <w:tcW w:w="34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390"/>
        </w:trPr>
        <w:tc>
          <w:tcPr>
            <w:tcW w:w="3400" w:type="dxa"/>
            <w:vAlign w:val="bottom"/>
          </w:tcPr>
          <w:p>
            <w:pPr>
              <w:spacing w:after="0"/>
              <w:rPr>
                <w:sz w:val="20"/>
                <w:szCs w:val="20"/>
                <w:color w:val="auto"/>
              </w:rPr>
            </w:pPr>
            <w:r>
              <w:rPr>
                <w:rFonts w:ascii="Arial" w:cs="Arial" w:eastAsia="Arial" w:hAnsi="Arial"/>
                <w:sz w:val="14"/>
                <w:szCs w:val="14"/>
                <w:color w:val="auto"/>
              </w:rPr>
              <w:t>Date: August 5, 2020</w:t>
            </w:r>
          </w:p>
        </w:tc>
        <w:tc>
          <w:tcPr>
            <w:tcW w:w="2700" w:type="dxa"/>
            <w:vAlign w:val="bottom"/>
          </w:tcPr>
          <w:p>
            <w:pPr>
              <w:ind w:left="2380"/>
              <w:spacing w:after="0"/>
              <w:rPr>
                <w:sz w:val="20"/>
                <w:szCs w:val="20"/>
                <w:color w:val="auto"/>
              </w:rPr>
            </w:pPr>
            <w:r>
              <w:rPr>
                <w:rFonts w:ascii="Arial" w:cs="Arial" w:eastAsia="Arial" w:hAnsi="Arial"/>
                <w:sz w:val="14"/>
                <w:szCs w:val="14"/>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/s/ Aviv Efrat</w:t>
            </w:r>
          </w:p>
        </w:tc>
      </w:tr>
      <w:tr>
        <w:trPr>
          <w:trHeight w:val="160"/>
        </w:trPr>
        <w:tc>
          <w:tcPr>
            <w:tcW w:w="340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514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7"/>
              </w:rPr>
              <w:t>Aviv Efrat</w:t>
            </w:r>
          </w:p>
        </w:tc>
      </w:tr>
      <w:tr>
        <w:trPr>
          <w:trHeight w:val="148"/>
        </w:trPr>
        <w:tc>
          <w:tcPr>
            <w:tcW w:w="340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5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Chief Financial Officer and Treasurer</w:t>
            </w:r>
          </w:p>
        </w:tc>
      </w:tr>
      <w:tr>
        <w:trPr>
          <w:trHeight w:val="186"/>
        </w:trPr>
        <w:tc>
          <w:tcPr>
            <w:tcW w:w="34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r>
      <w:tr>
        <w:trPr>
          <w:trHeight w:val="756"/>
        </w:trPr>
        <w:tc>
          <w:tcPr>
            <w:tcW w:w="3400" w:type="dxa"/>
            <w:vAlign w:val="bottom"/>
          </w:tcPr>
          <w:p>
            <w:pPr>
              <w:spacing w:after="0"/>
              <w:rPr>
                <w:sz w:val="24"/>
                <w:szCs w:val="24"/>
                <w:color w:val="auto"/>
              </w:rPr>
            </w:pPr>
          </w:p>
        </w:tc>
        <w:tc>
          <w:tcPr>
            <w:tcW w:w="2700" w:type="dxa"/>
            <w:vAlign w:val="bottom"/>
          </w:tcPr>
          <w:p>
            <w:pPr>
              <w:jc w:val="right"/>
              <w:ind w:right="328"/>
              <w:spacing w:after="0"/>
              <w:rPr>
                <w:sz w:val="20"/>
                <w:szCs w:val="20"/>
                <w:color w:val="auto"/>
              </w:rPr>
            </w:pPr>
            <w:r>
              <w:rPr>
                <w:rFonts w:ascii="Arial" w:cs="Arial" w:eastAsia="Arial" w:hAnsi="Arial"/>
                <w:sz w:val="14"/>
                <w:szCs w:val="14"/>
                <w:color w:val="auto"/>
              </w:rPr>
              <w:t>50</w:t>
            </w:r>
          </w:p>
        </w:tc>
        <w:tc>
          <w:tcPr>
            <w:tcW w:w="5140" w:type="dxa"/>
            <w:vAlign w:val="bottom"/>
          </w:tcPr>
          <w:p>
            <w:pPr>
              <w:spacing w:after="0"/>
              <w:rPr>
                <w:sz w:val="24"/>
                <w:szCs w:val="24"/>
                <w:color w:val="auto"/>
              </w:rPr>
            </w:pPr>
          </w:p>
        </w:tc>
      </w:tr>
    </w:tbl>
    <w:p>
      <w:pPr>
        <w:sectPr>
          <w:pgSz w:w="11900" w:h="16838" w:orient="portrait"/>
          <w:cols w:equalWidth="0" w:num="1">
            <w:col w:w="11240"/>
          </w:cols>
          <w:pgMar w:left="320" w:top="26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4"/>
          <w:szCs w:val="14"/>
          <w:b w:val="1"/>
          <w:bCs w:val="1"/>
          <w:color w:val="auto"/>
        </w:rPr>
        <w:t>EXHIBIT 31.1</w:t>
      </w:r>
    </w:p>
    <w:p>
      <w:pPr>
        <w:ind w:left="4040"/>
        <w:spacing w:after="0" w:line="225" w:lineRule="auto"/>
        <w:rPr>
          <w:sz w:val="20"/>
          <w:szCs w:val="20"/>
          <w:color w:val="auto"/>
        </w:rPr>
      </w:pPr>
      <w:r>
        <w:rPr>
          <w:rFonts w:ascii="Arial" w:cs="Arial" w:eastAsia="Arial" w:hAnsi="Arial"/>
          <w:sz w:val="14"/>
          <w:szCs w:val="14"/>
          <w:b w:val="1"/>
          <w:bCs w:val="1"/>
          <w:color w:val="auto"/>
        </w:rPr>
        <w:t>CERTIFICATION PURSUANT TO SECTION 302</w:t>
      </w: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3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3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3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3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3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3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3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August 5, 2020</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118"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4"/>
          <w:szCs w:val="14"/>
          <w:b w:val="1"/>
          <w:bCs w:val="1"/>
          <w:color w:val="auto"/>
        </w:rPr>
        <w:t>EXHIBIT 31.2</w:t>
      </w:r>
    </w:p>
    <w:p>
      <w:pPr>
        <w:ind w:left="4040"/>
        <w:spacing w:after="0" w:line="225" w:lineRule="auto"/>
        <w:rPr>
          <w:sz w:val="20"/>
          <w:szCs w:val="20"/>
          <w:color w:val="auto"/>
        </w:rPr>
      </w:pPr>
      <w:r>
        <w:rPr>
          <w:rFonts w:ascii="Arial" w:cs="Arial" w:eastAsia="Arial" w:hAnsi="Arial"/>
          <w:sz w:val="14"/>
          <w:szCs w:val="14"/>
          <w:b w:val="1"/>
          <w:bCs w:val="1"/>
          <w:color w:val="auto"/>
        </w:rPr>
        <w:t>CERTIFICATION PURSUANT TO SECTION 302</w:t>
      </w: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Floating Rate Capital Ltd., certify that:</w:t>
      </w:r>
    </w:p>
    <w:p>
      <w:pPr>
        <w:spacing w:after="0" w:line="150" w:lineRule="exact"/>
        <w:rPr>
          <w:sz w:val="20"/>
          <w:szCs w:val="20"/>
          <w:color w:val="auto"/>
        </w:rPr>
      </w:pPr>
    </w:p>
    <w:p>
      <w:pPr>
        <w:ind w:left="900" w:hanging="143"/>
        <w:spacing w:after="0"/>
        <w:tabs>
          <w:tab w:leader="none" w:pos="9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Floating Rate Capital Ltd.;</w:t>
      </w:r>
    </w:p>
    <w:p>
      <w:pPr>
        <w:spacing w:after="0" w:line="149" w:lineRule="exact"/>
        <w:rPr>
          <w:rFonts w:ascii="Arial" w:cs="Arial" w:eastAsia="Arial" w:hAnsi="Arial"/>
          <w:sz w:val="14"/>
          <w:szCs w:val="14"/>
          <w:color w:val="auto"/>
        </w:rPr>
      </w:pPr>
    </w:p>
    <w:p>
      <w:pPr>
        <w:ind w:right="20" w:firstLine="757"/>
        <w:spacing w:after="0" w:line="253" w:lineRule="auto"/>
        <w:tabs>
          <w:tab w:leader="none" w:pos="895"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4"/>
          <w:szCs w:val="14"/>
          <w:color w:val="auto"/>
        </w:rPr>
      </w:pPr>
    </w:p>
    <w:p>
      <w:pPr>
        <w:ind w:firstLine="757"/>
        <w:spacing w:after="0" w:line="253" w:lineRule="auto"/>
        <w:tabs>
          <w:tab w:leader="none" w:pos="899"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Arial" w:cs="Arial" w:eastAsia="Arial" w:hAnsi="Arial"/>
          <w:sz w:val="14"/>
          <w:szCs w:val="14"/>
          <w:color w:val="auto"/>
        </w:rPr>
      </w:pPr>
    </w:p>
    <w:p>
      <w:pPr>
        <w:ind w:left="900" w:hanging="143"/>
        <w:spacing w:after="0"/>
        <w:tabs>
          <w:tab w:leader="none" w:pos="90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43" w:lineRule="exact"/>
        <w:rPr>
          <w:rFonts w:ascii="Arial" w:cs="Arial" w:eastAsia="Arial" w:hAnsi="Arial"/>
          <w:sz w:val="13"/>
          <w:szCs w:val="13"/>
          <w:color w:val="auto"/>
        </w:rPr>
      </w:pPr>
    </w:p>
    <w:p>
      <w:pPr>
        <w:jc w:val="both"/>
        <w:ind w:firstLine="1405"/>
        <w:spacing w:after="0" w:line="238" w:lineRule="auto"/>
        <w:tabs>
          <w:tab w:leader="none" w:pos="1560" w:val="left"/>
        </w:tabs>
        <w:numPr>
          <w:ilvl w:val="1"/>
          <w:numId w:val="3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28" w:lineRule="exact"/>
        <w:rPr>
          <w:rFonts w:ascii="Arial" w:cs="Arial" w:eastAsia="Arial" w:hAnsi="Arial"/>
          <w:sz w:val="14"/>
          <w:szCs w:val="14"/>
          <w:color w:val="auto"/>
        </w:rPr>
      </w:pPr>
    </w:p>
    <w:p>
      <w:pPr>
        <w:jc w:val="both"/>
        <w:ind w:firstLine="1405"/>
        <w:spacing w:after="0" w:line="238" w:lineRule="auto"/>
        <w:tabs>
          <w:tab w:leader="none" w:pos="1573" w:val="left"/>
        </w:tabs>
        <w:numPr>
          <w:ilvl w:val="1"/>
          <w:numId w:val="3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28" w:lineRule="exact"/>
        <w:rPr>
          <w:rFonts w:ascii="Arial" w:cs="Arial" w:eastAsia="Arial" w:hAnsi="Arial"/>
          <w:sz w:val="14"/>
          <w:szCs w:val="14"/>
          <w:color w:val="auto"/>
        </w:rPr>
      </w:pPr>
    </w:p>
    <w:p>
      <w:pPr>
        <w:ind w:firstLine="1405"/>
        <w:spacing w:after="0" w:line="253" w:lineRule="auto"/>
        <w:tabs>
          <w:tab w:leader="none" w:pos="1549" w:val="left"/>
        </w:tabs>
        <w:numPr>
          <w:ilvl w:val="1"/>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9" w:lineRule="exact"/>
        <w:rPr>
          <w:rFonts w:ascii="Arial" w:cs="Arial" w:eastAsia="Arial" w:hAnsi="Arial"/>
          <w:sz w:val="14"/>
          <w:szCs w:val="14"/>
          <w:color w:val="auto"/>
        </w:rPr>
      </w:pPr>
    </w:p>
    <w:p>
      <w:pPr>
        <w:jc w:val="both"/>
        <w:ind w:firstLine="1405"/>
        <w:spacing w:after="0" w:line="290" w:lineRule="auto"/>
        <w:tabs>
          <w:tab w:leader="none" w:pos="1570" w:val="left"/>
        </w:tabs>
        <w:numPr>
          <w:ilvl w:val="1"/>
          <w:numId w:val="3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firstLine="757"/>
        <w:spacing w:after="0" w:line="253" w:lineRule="auto"/>
        <w:tabs>
          <w:tab w:leader="none" w:pos="902"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4"/>
          <w:szCs w:val="14"/>
          <w:color w:val="auto"/>
        </w:rPr>
      </w:pPr>
    </w:p>
    <w:p>
      <w:pPr>
        <w:ind w:right="20" w:firstLine="1405"/>
        <w:spacing w:after="0" w:line="253" w:lineRule="auto"/>
        <w:tabs>
          <w:tab w:leader="none" w:pos="1559" w:val="left"/>
        </w:tabs>
        <w:numPr>
          <w:ilvl w:val="1"/>
          <w:numId w:val="3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9" w:lineRule="exact"/>
        <w:rPr>
          <w:rFonts w:ascii="Arial" w:cs="Arial" w:eastAsia="Arial" w:hAnsi="Arial"/>
          <w:sz w:val="14"/>
          <w:szCs w:val="14"/>
          <w:color w:val="auto"/>
        </w:rPr>
      </w:pPr>
    </w:p>
    <w:p>
      <w:pPr>
        <w:ind w:left="1580" w:hanging="175"/>
        <w:spacing w:after="0"/>
        <w:tabs>
          <w:tab w:leader="none" w:pos="1580" w:val="left"/>
        </w:tabs>
        <w:numPr>
          <w:ilvl w:val="1"/>
          <w:numId w:val="3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reporting.</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Dated: August 5, 2020</w:t>
      </w: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240"/>
          </w:cols>
          <w:pgMar w:left="320" w:top="118"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4"/>
          <w:szCs w:val="14"/>
          <w:b w:val="1"/>
          <w:bCs w:val="1"/>
          <w:color w:val="auto"/>
        </w:rPr>
        <w:t>EXHIBIT 32.1</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2020, or the Report, of PennantPark Floating Rate Capital Ltd., or the Registrant, as filed with the Securities and Exchange Commission on the date hereof, I, Arthur H. Penn, Chief Executive Officer of the Registrant, hereby certify, to the best of my knowledge, that:</w:t>
      </w:r>
    </w:p>
    <w:p>
      <w:pPr>
        <w:spacing w:after="0" w:line="17" w:lineRule="exact"/>
        <w:rPr>
          <w:sz w:val="20"/>
          <w:szCs w:val="20"/>
          <w:color w:val="auto"/>
        </w:rPr>
      </w:pPr>
    </w:p>
    <w:p>
      <w:pPr>
        <w:ind w:left="760" w:hanging="374"/>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August 5, 2020</w:t>
      </w:r>
    </w:p>
    <w:p>
      <w:pPr>
        <w:sectPr>
          <w:pgSz w:w="11900" w:h="16838" w:orient="portrait"/>
          <w:cols w:equalWidth="0" w:num="1">
            <w:col w:w="11240"/>
          </w:cols>
          <w:pgMar w:left="320" w:top="118"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4"/>
          <w:szCs w:val="14"/>
          <w:b w:val="1"/>
          <w:bCs w:val="1"/>
          <w:color w:val="auto"/>
        </w:rPr>
        <w:t>EXHIBIT 32.2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38" w:lineRule="exact"/>
        <w:rPr>
          <w:sz w:val="20"/>
          <w:szCs w:val="20"/>
          <w:color w:val="auto"/>
        </w:rPr>
      </w:pPr>
    </w:p>
    <w:p>
      <w:pPr>
        <w:ind w:firstLine="479"/>
        <w:spacing w:after="0" w:line="253" w:lineRule="auto"/>
        <w:rPr>
          <w:sz w:val="20"/>
          <w:szCs w:val="20"/>
          <w:color w:val="auto"/>
        </w:rPr>
      </w:pPr>
      <w:r>
        <w:rPr>
          <w:rFonts w:ascii="Arial" w:cs="Arial" w:eastAsia="Arial" w:hAnsi="Arial"/>
          <w:sz w:val="14"/>
          <w:szCs w:val="14"/>
          <w:color w:val="auto"/>
        </w:rPr>
        <w:t>In connection with this Report on Form 10-Q for the three and nine months ended June 30, 2020, or the Report, of PennantPark Floating Rate Capital Ltd., or the Registrant, as filed with the Securities and Exchange Commission on the date hereof, I, Aviv Efrat, Chief Financial Officer of the Registrant, hereby certify, to the best of my knowledge, that:</w:t>
      </w:r>
    </w:p>
    <w:p>
      <w:pPr>
        <w:spacing w:after="0" w:line="39" w:lineRule="exact"/>
        <w:rPr>
          <w:sz w:val="20"/>
          <w:szCs w:val="20"/>
          <w:color w:val="auto"/>
        </w:rPr>
      </w:pPr>
    </w:p>
    <w:p>
      <w:pPr>
        <w:ind w:left="760" w:hanging="374"/>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09" w:lineRule="exact"/>
        <w:rPr>
          <w:rFonts w:ascii="Arial" w:cs="Arial" w:eastAsia="Arial" w:hAnsi="Arial"/>
          <w:sz w:val="14"/>
          <w:szCs w:val="14"/>
          <w:color w:val="auto"/>
        </w:rPr>
      </w:pPr>
    </w:p>
    <w:p>
      <w:pPr>
        <w:ind w:left="760" w:hanging="374"/>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August 5, 2020</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decimal"/>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lowerLetter"/>
      <w:start w:val="5"/>
    </w:lvl>
    <w:lvl w:ilvl="1">
      <w:lvlJc w:val="left"/>
      <w:lvlText w:val="%2."/>
      <w:numFmt w:val="decimal"/>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decimal"/>
      <w:start w:val="1"/>
    </w:lvl>
  </w:abstractNum>
  <w:abstractNum w:abstractNumId="21">
    <w:nsid w:val="71F32454"/>
    <w:multiLevelType w:val="hybridMultilevel"/>
    <w:lvl w:ilvl="0">
      <w:lvlJc w:val="left"/>
      <w:lvlText w:val="(%1)"/>
      <w:numFmt w:val="decimal"/>
      <w:start w:val="3"/>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2"/>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79" Type="http://schemas.openxmlformats.org/officeDocument/2006/relationships/hyperlink" Target="http://www.sec.gov/Archives/edgar/data/1504619/000119312511080862/dex99a.htm" TargetMode="External"/><Relationship Id="rId80" Type="http://schemas.openxmlformats.org/officeDocument/2006/relationships/hyperlink" Target="http://www.sec.gov/Archives/edgar/data/1504619/000156459020024167/pflt-ex32_144.htm" TargetMode="External"/><Relationship Id="rId81" Type="http://schemas.openxmlformats.org/officeDocument/2006/relationships/hyperlink" Target="http://www.sec.gov/Archives/edgar/data/1504619/000119312511088977/dex99d.htm" TargetMode="External"/><Relationship Id="rId82" Type="http://schemas.openxmlformats.org/officeDocument/2006/relationships/hyperlink" Target="http://www.sec.gov/Archives/edgar/data/1504619/000150461911000050/pfltprivacypolicy0930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2020-08-05T15:13:37Z</dcterms:created>
  <dcterms:modified xsi:type="dcterms:W3CDTF">2020-08-05T15:13:37Z</dcterms:modified>
</cp:coreProperties>
</file>