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March 30, 2022</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earliest event reported)</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1480"/>
        <w:spacing w:after="0"/>
        <w:tabs>
          <w:tab w:leader="none" w:pos="5220" w:val="left"/>
          <w:tab w:leader="none" w:pos="894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814-00891</w:t>
      </w:r>
      <w:r>
        <w:rPr>
          <w:sz w:val="20"/>
          <w:szCs w:val="20"/>
          <w:color w:val="auto"/>
        </w:rPr>
        <w:tab/>
      </w:r>
      <w:r>
        <w:rPr>
          <w:rFonts w:ascii="Arial" w:cs="Arial" w:eastAsia="Arial" w:hAnsi="Arial"/>
          <w:sz w:val="16"/>
          <w:szCs w:val="16"/>
          <w:b w:val="1"/>
          <w:bCs w:val="1"/>
          <w:color w:val="auto"/>
        </w:rPr>
        <w:t>27-3794690</w:t>
      </w:r>
    </w:p>
    <w:p>
      <w:pPr>
        <w:spacing w:after="0" w:line="27" w:lineRule="exact"/>
        <w:rPr>
          <w:sz w:val="24"/>
          <w:szCs w:val="24"/>
          <w:color w:val="auto"/>
        </w:rPr>
      </w:pPr>
    </w:p>
    <w:p>
      <w:pPr>
        <w:ind w:left="240"/>
        <w:spacing w:after="0"/>
        <w:tabs>
          <w:tab w:leader="none" w:pos="4620" w:val="left"/>
          <w:tab w:leader="none" w:pos="79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Number)</w:t>
      </w:r>
    </w:p>
    <w:p>
      <w:pPr>
        <w:sectPr>
          <w:pgSz w:w="11900" w:h="16838" w:orient="portrait"/>
          <w:cols w:equalWidth="0" w:num="1">
            <w:col w:w="11160"/>
          </w:cols>
          <w:pgMar w:left="320" w:top="229" w:right="41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jc w:val="center"/>
        <w:ind w:right="2860"/>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ind w:right="2860"/>
        <w:spacing w:after="0"/>
        <w:rPr>
          <w:sz w:val="20"/>
          <w:szCs w:val="20"/>
          <w:color w:val="auto"/>
        </w:rPr>
      </w:pPr>
      <w:r>
        <w:rPr>
          <w:rFonts w:ascii="Arial" w:cs="Arial" w:eastAsia="Arial" w:hAnsi="Arial"/>
          <w:sz w:val="18"/>
          <w:szCs w:val="18"/>
          <w:b w:val="1"/>
          <w:bCs w:val="1"/>
          <w:color w:val="auto"/>
        </w:rPr>
        <w:t>Miami Beach, Florida</w:t>
      </w:r>
    </w:p>
    <w:p>
      <w:pPr>
        <w:spacing w:after="0" w:line="9" w:lineRule="exact"/>
        <w:rPr>
          <w:sz w:val="24"/>
          <w:szCs w:val="24"/>
          <w:color w:val="auto"/>
        </w:rPr>
      </w:pPr>
    </w:p>
    <w:p>
      <w:pPr>
        <w:jc w:val="center"/>
        <w:ind w:right="2860"/>
        <w:spacing w:after="0"/>
        <w:rPr>
          <w:sz w:val="20"/>
          <w:szCs w:val="20"/>
          <w:color w:val="auto"/>
        </w:rPr>
      </w:pPr>
      <w:r>
        <w:rPr>
          <w:rFonts w:ascii="Arial" w:cs="Arial" w:eastAsia="Arial" w:hAnsi="Arial"/>
          <w:sz w:val="16"/>
          <w:szCs w:val="16"/>
          <w:color w:val="auto"/>
        </w:rPr>
        <w:t>(Address of Principal Executive Offices)</w:t>
      </w:r>
    </w:p>
    <w:p>
      <w:pPr>
        <w:spacing w:after="0" w:line="230"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ind w:left="34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left="34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33139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1603" w:lineRule="exact"/>
        <w:rPr>
          <w:sz w:val="24"/>
          <w:szCs w:val="24"/>
          <w:color w:val="auto"/>
        </w:rPr>
      </w:pPr>
    </w:p>
    <w:p>
      <w:pPr>
        <w:sectPr>
          <w:pgSz w:w="11900" w:h="16838" w:orient="portrait"/>
          <w:cols w:equalWidth="0" w:num="2">
            <w:col w:w="7840" w:space="640"/>
            <w:col w:w="2680"/>
          </w:cols>
          <w:pgMar w:left="320" w:top="229" w:right="419" w:bottom="1440" w:gutter="0" w:footer="0" w:header="0"/>
          <w:type w:val="continuous"/>
        </w:sectPr>
      </w:pPr>
    </w:p>
    <w:p>
      <w:pPr>
        <w:spacing w:after="0" w:line="38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jc w:val="right"/>
        <w:spacing w:after="0"/>
        <w:tabs>
          <w:tab w:leader="none" w:pos="6060" w:val="left"/>
          <w:tab w:leader="none" w:pos="35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6"/>
          <w:szCs w:val="16"/>
          <w:b w:val="1"/>
          <w:bCs w:val="1"/>
          <w:color w:val="auto"/>
        </w:rPr>
        <w:t>Name of Each Exchange on Which Registered</w:t>
      </w:r>
    </w:p>
    <w:p>
      <w:pPr>
        <w:spacing w:after="0" w:line="27" w:lineRule="exact"/>
        <w:rPr>
          <w:sz w:val="24"/>
          <w:szCs w:val="24"/>
          <w:color w:val="auto"/>
        </w:rPr>
      </w:pPr>
    </w:p>
    <w:p>
      <w:pPr>
        <w:ind w:left="480"/>
        <w:spacing w:after="0"/>
        <w:tabs>
          <w:tab w:leader="none" w:pos="5580" w:val="left"/>
          <w:tab w:leader="none" w:pos="824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PFLT</w:t>
      </w:r>
      <w:r>
        <w:rPr>
          <w:sz w:val="20"/>
          <w:szCs w:val="20"/>
          <w:color w:val="auto"/>
        </w:rPr>
        <w:tab/>
      </w:r>
      <w:r>
        <w:rPr>
          <w:rFonts w:ascii="Arial" w:cs="Arial" w:eastAsia="Arial" w:hAnsi="Arial"/>
          <w:sz w:val="16"/>
          <w:szCs w:val="16"/>
          <w:color w:val="auto"/>
        </w:rPr>
        <w:t>The Nasdaq Stock Market LLC</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Current Report on Form 8-K/A amends the Current Report on Form 8-K of PennantPark Floating Rate Capital Ltd. (the “Company”), filed with the Securities and Exchange Commission on March 30, 2022, to include the Company’s ticker symbol, “PFLT”.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30, 2022, the Company, acting pursuant to authorization from its Board of Directors, provided written notice to The Nasdaq Stock Market LLC (“Nasdaq”) of its determination to voluntarily withdraw the principal listing of the Company’s common stock, $0.001 par value (the “Common Stock”), from Nasdaq and transfer the listing to the New York Stock Exchange (“NYSE”). The Company expects that listing and trading of the Common Stock on Nasdaq will end at market close on April 13, 2022, and that trading will commence on the NYSE at market open on April 14,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been authorized for listing on the NYSE, where it will continue to trade under the stock symbol “PFLT.”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30, 2022, the Company issued a press release, a copy of which is furnished as Exhibit 99.1 to this report on Form 8-K.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jc w:val="center"/>
        <w:ind w:left="880" w:right="9340" w:hanging="872"/>
        <w:spacing w:after="0" w:line="313" w:lineRule="auto"/>
        <w:tabs>
          <w:tab w:leader="none" w:pos="27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880" w:right="8440" w:hanging="872"/>
        <w:spacing w:after="0" w:line="250" w:lineRule="auto"/>
        <w:tabs>
          <w:tab w:leader="none" w:pos="28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880" w:right="8820" w:hanging="872"/>
        <w:spacing w:after="0" w:line="265" w:lineRule="auto"/>
        <w:tabs>
          <w:tab w:leader="none" w:pos="26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Shell company transactions: </w:t>
      </w:r>
      <w:r>
        <w:rPr>
          <w:rFonts w:ascii="Arial" w:cs="Arial" w:eastAsia="Arial" w:hAnsi="Arial"/>
          <w:sz w:val="17"/>
          <w:szCs w:val="17"/>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88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March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38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March 31, 2022</w:t>
      </w:r>
      <w:r>
        <w:rPr>
          <w:sz w:val="20"/>
          <w:szCs w:val="20"/>
          <w:color w:val="auto"/>
        </w:rPr>
        <w:tab/>
      </w: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900"/>
          </w:cols>
          <w:pgMar w:left="320" w:top="5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PennantPark Floating Rate Capital Ltd. Announces Transfer of Common Stock listing to the New York Stock Exchange</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MIAMI, March 30, 2022 (GLOBE NEWSWIRE) -- PennantPark Floating Rate Capital Ltd. (the “Company”) (NASDAQ: PFLT) today announced that it is transferring the listing of its common stock to the New York Stock Exchange (NYSE) from The NASDAQ Global Select Market. The Company’s common stock is expected to begin trading on the NYSE on April 14, 2022 under its current ticker symbol of ‘PFLT’. The Company will continue to trade its common stock on NASDAQ until the transfer to the NYSE is completed.</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“PennantPark Floating Rate Capital Ltd. is pleased to join the NYSE alongside many of the world’s most well-established and regarded companies,” said Arthur H. Penn, Chairman and CEO of PennantPark Floating Rate Capital Ltd. “This move is part of our strategic evolution as we continue to focus on generating long-term value for our shareholders. We are grateful for our past partnership with NASDAQ and look forward to our future with the NYSE.”</w:t>
      </w:r>
    </w:p>
    <w:p>
      <w:pPr>
        <w:spacing w:after="0" w:line="17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“We are excited to welcome PennantPark Floating Rate Capital Ltd. as it joins the NYSE’s community of icons and disruptors,” said John Tuttle, Vice Chairman and Chief Commercial Officer, NYSE Group.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$5.9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You should understand that under Section 27A(b)(2)(B) of the Securities Act and Section 21E(b)(2)(B) of the Securities Exchange Act of 1934, as amended (the “Exchange Act”), the “safe harbor” provisions of the Private Securities Litigation Reform Act of 1995, as amended,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military conflict and related sanctions, terrorism, natural disasters or pandemics. The Company undertakes no duty to update any forward-looking statement made herein. You should not place undue influence on such forward-looking statements as such statements speak only as of the date on which they are made.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b w:val="1"/>
          <w:bCs w:val="1"/>
          <w:color w:val="auto"/>
        </w:rPr>
        <w:t>Rubenstein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Stefan Prelog</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917-804-7003</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sprelog@rubenstein.com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2022-03-31T16:06:00Z</dcterms:created>
  <dcterms:modified xsi:type="dcterms:W3CDTF">2022-03-31T16:06:00Z</dcterms:modified>
</cp:coreProperties>
</file>