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3025.htm"/>
      <w:bookmarkStart w:id="1" w:name="ksf8k_0730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4,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jc w:val="left"/>
        <w:rPr>
          <w:sz w:val="20"/>
        </w:rPr>
      </w:pPr>
      <w:r>
        <w:rPr>
          <w:sz w:val="20"/>
        </w:rPr>
        <w:t>On August 4, 2025, PennantPark Floating Rate Capital Ltd. issued a press release announcing its monthly distribution. A copy of the press release is furnished as Exhibit 99.1 to this Form 8-K.</w:t>
      </w:r>
    </w:p>
    <w:p>
      <w:pPr>
        <w:pStyle w:val="TextBody"/>
        <w:bidi w:val="0"/>
        <w:spacing w:before="0" w:after="283"/>
        <w:jc w:val="left"/>
        <w:rPr/>
      </w:pPr>
      <w:r>
        <w:rPr/>
        <w:t> </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t> </w:t>
      </w:r>
    </w:p>
    <w:p>
      <w:pPr>
        <w:pStyle w:val="TextBody"/>
        <w:bidi w:val="0"/>
        <w:spacing w:before="0" w:after="283"/>
        <w:jc w:val="left"/>
        <w:rPr/>
      </w:pPr>
      <w:r>
        <w:rPr>
          <w:rStyle w:val="StrongEmphasis"/>
          <w:sz w:val="20"/>
        </w:rPr>
        <w:t>Forward-Looking Statements</w:t>
      </w:r>
    </w:p>
    <w:p>
      <w:pPr>
        <w:pStyle w:val="TextBody"/>
        <w:bidi w:val="0"/>
        <w:spacing w:before="0" w:after="283"/>
        <w:jc w:val="left"/>
        <w:rPr/>
      </w:pPr>
      <w:r>
        <w:rPr/>
        <w:t> </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283"/>
              <w:jc w:val="left"/>
              <w:rPr/>
            </w:pPr>
            <w:r>
              <w:rPr>
                <w:rStyle w:val="StrongEmphasis"/>
              </w:rPr>
              <w:t>(a)</w:t>
            </w:r>
          </w:p>
        </w:tc>
        <w:tc>
          <w:tcPr>
            <w:tcW w:w="2180" w:type="dxa"/>
            <w:tcBorders/>
            <w:vAlign w:val="center"/>
          </w:tcPr>
          <w:p>
            <w:pPr>
              <w:pStyle w:val="TableContents"/>
              <w:bidi w:val="0"/>
              <w:spacing w:before="0" w:after="283"/>
              <w:jc w:val="left"/>
              <w:rPr/>
            </w:pPr>
            <w:r>
              <w:rPr>
                <w:rStyle w:val="StrongEmphasis"/>
              </w:rPr>
              <w:t>Financial statements:</w:t>
            </w:r>
          </w:p>
        </w:tc>
      </w:tr>
    </w:tbl>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None</w:t>
            </w:r>
          </w:p>
        </w:tc>
      </w:tr>
    </w:tbl>
    <w:tbl>
      <w:tblPr>
        <w:tblW w:w="3670" w:type="dxa"/>
        <w:jc w:val="left"/>
        <w:tblInd w:w="0" w:type="dxa"/>
        <w:tblLayout w:type="fixed"/>
        <w:tblCellMar>
          <w:top w:w="0" w:type="dxa"/>
          <w:left w:w="0" w:type="dxa"/>
          <w:bottom w:w="0" w:type="dxa"/>
          <w:right w:w="0" w:type="dxa"/>
        </w:tblCellMar>
      </w:tblPr>
      <w:tblGrid>
        <w:gridCol w:w="320"/>
        <w:gridCol w:w="3350"/>
      </w:tblGrid>
      <w:tr>
        <w:trPr/>
        <w:tc>
          <w:tcPr>
            <w:tcW w:w="320" w:type="dxa"/>
            <w:tcBorders/>
            <w:vAlign w:val="center"/>
          </w:tcPr>
          <w:p>
            <w:pPr>
              <w:pStyle w:val="TableContents"/>
              <w:bidi w:val="0"/>
              <w:spacing w:before="0" w:after="283"/>
              <w:jc w:val="left"/>
              <w:rPr/>
            </w:pPr>
            <w:r>
              <w:rPr>
                <w:rStyle w:val="StrongEmphasis"/>
              </w:rPr>
              <w:t>(b)</w:t>
            </w:r>
          </w:p>
        </w:tc>
        <w:tc>
          <w:tcPr>
            <w:tcW w:w="3350" w:type="dxa"/>
            <w:tcBorders/>
            <w:vAlign w:val="center"/>
          </w:tcPr>
          <w:p>
            <w:pPr>
              <w:pStyle w:val="TableContents"/>
              <w:bidi w:val="0"/>
              <w:spacing w:before="0" w:after="283"/>
              <w:jc w:val="left"/>
              <w:rPr/>
            </w:pPr>
            <w:r>
              <w:rPr>
                <w:rStyle w:val="StrongEmphasis"/>
              </w:rPr>
              <w:t>Pro forma financial information:</w:t>
            </w:r>
          </w:p>
        </w:tc>
      </w:tr>
    </w:tbl>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None</w:t>
            </w:r>
          </w:p>
        </w:tc>
      </w:tr>
    </w:tbl>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pPr>
            <w:r>
              <w:rPr>
                <w:rStyle w:val="StrongEmphasis"/>
              </w:rPr>
              <w:t>(c)</w:t>
            </w:r>
          </w:p>
        </w:tc>
        <w:tc>
          <w:tcPr>
            <w:tcW w:w="2885" w:type="dxa"/>
            <w:tcBorders/>
            <w:vAlign w:val="center"/>
          </w:tcPr>
          <w:p>
            <w:pPr>
              <w:pStyle w:val="TableContents"/>
              <w:bidi w:val="0"/>
              <w:spacing w:before="0" w:after="283"/>
              <w:jc w:val="left"/>
              <w:rPr/>
            </w:pPr>
            <w:r>
              <w:rPr>
                <w:rStyle w:val="StrongEmphasis"/>
              </w:rPr>
              <w:t>Shell company transactions:</w:t>
            </w:r>
          </w:p>
        </w:tc>
      </w:tr>
    </w:tbl>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None</w:t>
            </w:r>
          </w:p>
        </w:tc>
      </w:tr>
    </w:tbl>
    <w:tbl>
      <w:tblPr>
        <w:tblW w:w="1195" w:type="dxa"/>
        <w:jc w:val="left"/>
        <w:tblInd w:w="0" w:type="dxa"/>
        <w:tblLayout w:type="fixed"/>
        <w:tblCellMar>
          <w:top w:w="0" w:type="dxa"/>
          <w:left w:w="0" w:type="dxa"/>
          <w:bottom w:w="0" w:type="dxa"/>
          <w:right w:w="0" w:type="dxa"/>
        </w:tblCellMar>
      </w:tblPr>
      <w:tblGrid>
        <w:gridCol w:w="320"/>
        <w:gridCol w:w="875"/>
      </w:tblGrid>
      <w:tr>
        <w:trPr/>
        <w:tc>
          <w:tcPr>
            <w:tcW w:w="320" w:type="dxa"/>
            <w:tcBorders/>
            <w:vAlign w:val="center"/>
          </w:tcPr>
          <w:p>
            <w:pPr>
              <w:pStyle w:val="TableContents"/>
              <w:bidi w:val="0"/>
              <w:spacing w:before="0" w:after="283"/>
              <w:jc w:val="left"/>
              <w:rPr/>
            </w:pPr>
            <w:r>
              <w:rPr>
                <w:rStyle w:val="StrongEmphasis"/>
              </w:rPr>
              <w:t>(d)</w:t>
            </w:r>
          </w:p>
        </w:tc>
        <w:tc>
          <w:tcPr>
            <w:tcW w:w="875" w:type="dxa"/>
            <w:tcBorders/>
            <w:vAlign w:val="center"/>
          </w:tcPr>
          <w:p>
            <w:pPr>
              <w:pStyle w:val="TableContents"/>
              <w:bidi w:val="0"/>
              <w:spacing w:before="0" w:after="283"/>
              <w:jc w:val="left"/>
              <w:rPr/>
            </w:pPr>
            <w:r>
              <w:rPr>
                <w:rStyle w:val="StrongEmphasis"/>
              </w:rPr>
              <w:t>Exhibits</w:t>
            </w:r>
          </w:p>
        </w:tc>
      </w:tr>
    </w:tbl>
    <w:tbl>
      <w:tblPr>
        <w:tblW w:w="8140" w:type="dxa"/>
        <w:jc w:val="left"/>
        <w:tblInd w:w="0" w:type="dxa"/>
        <w:tblLayout w:type="fixed"/>
        <w:tblCellMar>
          <w:top w:w="0" w:type="dxa"/>
          <w:left w:w="0" w:type="dxa"/>
          <w:bottom w:w="0" w:type="dxa"/>
          <w:right w:w="0" w:type="dxa"/>
        </w:tblCellMar>
      </w:tblPr>
      <w:tblGrid>
        <w:gridCol w:w="75"/>
        <w:gridCol w:w="440"/>
        <w:gridCol w:w="762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hyperlink w:anchor="exh_991.htm">
              <w:r>
                <w:rPr>
                  <w:rStyle w:val="InternetLink"/>
                </w:rPr>
                <w:t>99.1</w:t>
              </w:r>
            </w:hyperlink>
          </w:p>
        </w:tc>
        <w:tc>
          <w:tcPr>
            <w:tcW w:w="7625" w:type="dxa"/>
            <w:tcBorders/>
            <w:vAlign w:val="center"/>
          </w:tcPr>
          <w:p>
            <w:pPr>
              <w:pStyle w:val="TableContents"/>
              <w:bidi w:val="0"/>
              <w:spacing w:before="0" w:after="283"/>
              <w:jc w:val="left"/>
              <w:rPr/>
            </w:pPr>
            <w:hyperlink w:anchor="exh_991.htm">
              <w:r>
                <w:rPr>
                  <w:rStyle w:val="InternetLink"/>
                </w:rPr>
                <w:t>Press Release of PennantPark Floating Rate Capital Ltd. Dated August 4, 2025</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139" w:type="dxa"/>
        <w:jc w:val="left"/>
        <w:tblInd w:w="0" w:type="dxa"/>
        <w:tblLayout w:type="fixed"/>
        <w:tblCellMar>
          <w:top w:w="0" w:type="dxa"/>
          <w:left w:w="0" w:type="dxa"/>
          <w:bottom w:w="0" w:type="dxa"/>
          <w:right w:w="0" w:type="dxa"/>
        </w:tblCellMar>
      </w:tblPr>
      <w:tblGrid>
        <w:gridCol w:w="1745"/>
        <w:gridCol w:w="383"/>
        <w:gridCol w:w="3011"/>
      </w:tblGrid>
      <w:tr>
        <w:trPr/>
        <w:tc>
          <w:tcPr>
            <w:tcW w:w="174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4,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Aug. 04, 2025 (GLOBE NEWSWIRE) -- PennantPark Floating Rate Capital Ltd. (the "Company") (NYSE: PFLT) declares its monthly distribution for August 2025 of $0.1025 per share, payable on September 2, 2025 to stockholders of record as of August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1330</Words>
  <Characters>7622</Characters>
  <CharactersWithSpaces>8908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