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02, 2017</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27" w:lineRule="exact"/>
        <w:rPr>
          <w:sz w:val="24"/>
          <w:szCs w:val="24"/>
          <w:color w:val="auto"/>
        </w:rPr>
      </w:pPr>
    </w:p>
    <w:p>
      <w:pPr>
        <w:ind w:left="540" w:right="4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2" w:lineRule="exact"/>
        <w:rPr>
          <w:sz w:val="24"/>
          <w:szCs w:val="24"/>
          <w:color w:val="auto"/>
        </w:rPr>
      </w:pPr>
    </w:p>
    <w:p>
      <w:pPr>
        <w:ind w:left="540"/>
        <w:spacing w:after="0"/>
        <w:rPr>
          <w:sz w:val="20"/>
          <w:szCs w:val="20"/>
          <w:color w:val="auto"/>
        </w:rPr>
      </w:pPr>
      <w:r>
        <w:rPr>
          <w:rFonts w:ascii="Arial" w:cs="Arial" w:eastAsia="Arial" w:hAnsi="Arial"/>
          <w:sz w:val="22"/>
          <w:szCs w:val="22"/>
          <w:color w:val="auto"/>
        </w:rPr>
        <w:t>Emerging growth company o</w:t>
      </w:r>
    </w:p>
    <w:p>
      <w:pPr>
        <w:spacing w:after="0" w:line="233" w:lineRule="exact"/>
        <w:rPr>
          <w:sz w:val="24"/>
          <w:szCs w:val="24"/>
          <w:color w:val="auto"/>
        </w:rPr>
      </w:pPr>
    </w:p>
    <w:p>
      <w:pPr>
        <w:jc w:val="both"/>
        <w:ind w:left="540" w:right="400"/>
        <w:spacing w:after="0"/>
        <w:rPr>
          <w:sz w:val="20"/>
          <w:szCs w:val="20"/>
          <w:color w:val="auto"/>
        </w:rPr>
      </w:pPr>
      <w:r>
        <w:rPr>
          <w:rFonts w:ascii="Arial" w:cs="Arial" w:eastAsia="Arial" w:hAnsi="Arial"/>
          <w:sz w:val="22"/>
          <w:szCs w:val="2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May 2, 2017,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w:t>
      </w:r>
    </w:p>
    <w:p>
      <w:pPr>
        <w:sectPr>
          <w:pgSz w:w="11900" w:h="16838" w:orient="portrait"/>
          <w:cols w:equalWidth="0" w:num="1">
            <w:col w:w="11200"/>
          </w:cols>
          <w:pgMar w:left="320" w:top="828" w:right="379" w:bottom="0" w:gutter="0" w:footer="0" w:header="0"/>
        </w:sectPr>
      </w:pPr>
    </w:p>
    <w:bookmarkStart w:id="1" w:name="page2"/>
    <w:bookmarkEnd w:id="1"/>
    <w:p>
      <w:pPr>
        <w:ind w:right="60"/>
        <w:spacing w:after="0" w:line="247" w:lineRule="auto"/>
        <w:rPr>
          <w:sz w:val="20"/>
          <w:szCs w:val="20"/>
          <w:color w:val="auto"/>
        </w:rPr>
      </w:pPr>
      <w:r>
        <w:rPr>
          <w:rFonts w:ascii="Arial" w:cs="Arial" w:eastAsia="Arial" w:hAnsi="Arial"/>
          <w:sz w:val="21"/>
          <w:szCs w:val="21"/>
          <w:color w:val="auto"/>
        </w:rPr>
        <w:t>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02, 2017</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02, 2017</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NEW YORK, NY -- (Marketwired - May 02, 2017) - PennantPark Floating Rate Capital Ltd. (the "Company") (NASDAQ: PFLT) declares monthly distribution for May 2017 of $0.095 per share, payable on June 1, 2017 to stockholders of record as of May 19,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2020-05-05T12:04:39Z</dcterms:created>
  <dcterms:modified xsi:type="dcterms:W3CDTF">2020-05-05T12:04:39Z</dcterms:modified>
</cp:coreProperties>
</file>