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9, 2023</w:t>
      </w:r>
    </w:p>
    <w:p>
      <w:pPr>
        <w:spacing w:after="0" w:line="22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495" w:right="339" w:bottom="1440" w:gutter="0" w:footer="0" w:header="0"/>
        </w:sectPr>
      </w:pPr>
    </w:p>
    <w:p>
      <w:pPr>
        <w:spacing w:after="0" w:line="209"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40" w:space="720"/>
            <w:col w:w="3160"/>
          </w:cols>
          <w:pgMar w:left="320" w:top="495"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1691 Michigan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(786) 297-9500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495" w:right="339" w:bottom="1440" w:gutter="0" w:footer="0" w:header="0"/>
          <w:type w:val="continuous"/>
        </w:sectPr>
      </w:pP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par value $0.001 per share</w:t>
            </w:r>
          </w:p>
        </w:tc>
        <w:tc>
          <w:tcPr>
            <w:tcW w:w="2360" w:type="dxa"/>
            <w:vAlign w:val="bottom"/>
          </w:tcPr>
          <w:p>
            <w:pPr>
              <w:jc w:val="center"/>
              <w:ind w:right="70"/>
              <w:spacing w:after="0"/>
              <w:rPr>
                <w:sz w:val="20"/>
                <w:szCs w:val="20"/>
                <w:color w:val="auto"/>
              </w:rPr>
            </w:pPr>
            <w:r>
              <w:rPr>
                <w:rFonts w:ascii="Arial" w:cs="Arial" w:eastAsia="Arial" w:hAnsi="Arial"/>
                <w:sz w:val="18"/>
                <w:szCs w:val="18"/>
                <w:color w:val="auto"/>
                <w:w w:val="90"/>
              </w:rPr>
              <w:t>PFLT</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bl>
    <w:p>
      <w:pPr>
        <w:spacing w:after="0" w:line="79" w:lineRule="exact"/>
        <w:rPr>
          <w:sz w:val="24"/>
          <w:szCs w:val="24"/>
          <w:color w:val="auto"/>
        </w:rPr>
      </w:pPr>
    </w:p>
    <w:p>
      <w:pPr>
        <w:jc w:val="both"/>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On August 9, 2023, PennantPark Floating Rate Capital Ltd. (the "Company"), issued a press release announcing its financial results for the third fiscal quarter ended June 30, 2023. A copy of the press release is furnished as Exhibit 99.1 to this report pursuant to Item 2.02 on Form 8-K and Regulation FD.</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information in this report on Form 8-K, including Exhibit 99.1,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report on Form 8-K, including Exhibit 99.1 furnished herewith,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0"/>
          <w:szCs w:val="20"/>
          <w:color w:val="auto"/>
        </w:rPr>
      </w:pPr>
    </w:p>
    <w:p>
      <w:pPr>
        <w:ind w:right="9340" w:firstLine="8"/>
        <w:spacing w:after="0" w:line="261"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right="8440" w:firstLine="8"/>
        <w:spacing w:after="0" w:line="250"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right="8820" w:firstLine="8"/>
        <w:spacing w:after="0" w:line="250" w:lineRule="auto"/>
        <w:tabs>
          <w:tab w:leader="none" w:pos="2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8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of PennantPark Floating Rate Capital Ltd. dated August 9, 2023</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5060" w:type="dxa"/>
            <w:vAlign w:val="bottom"/>
            <w:gridSpan w:val="3"/>
          </w:tcPr>
          <w:p>
            <w:pPr>
              <w:ind w:left="198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88"/>
        </w:trPr>
        <w:tc>
          <w:tcPr>
            <w:tcW w:w="3500" w:type="dxa"/>
            <w:vAlign w:val="bottom"/>
          </w:tcPr>
          <w:p>
            <w:pPr>
              <w:spacing w:after="0"/>
              <w:rPr>
                <w:sz w:val="20"/>
                <w:szCs w:val="20"/>
                <w:color w:val="auto"/>
              </w:rPr>
            </w:pPr>
            <w:r>
              <w:rPr>
                <w:rFonts w:ascii="Arial" w:cs="Arial" w:eastAsia="Arial" w:hAnsi="Arial"/>
                <w:sz w:val="18"/>
                <w:szCs w:val="18"/>
                <w:color w:val="auto"/>
              </w:rPr>
              <w:t>Date: August 9, 2023</w:t>
            </w:r>
          </w:p>
        </w:tc>
        <w:tc>
          <w:tcPr>
            <w:tcW w:w="5060" w:type="dxa"/>
            <w:vAlign w:val="bottom"/>
            <w:gridSpan w:val="3"/>
          </w:tcPr>
          <w:p>
            <w:pPr>
              <w:ind w:left="1980"/>
              <w:spacing w:after="0"/>
              <w:rPr>
                <w:sz w:val="20"/>
                <w:szCs w:val="20"/>
                <w:color w:val="auto"/>
              </w:rPr>
            </w:pPr>
            <w:r>
              <w:rPr>
                <w:rFonts w:ascii="Arial" w:cs="Arial" w:eastAsia="Arial" w:hAnsi="Arial"/>
                <w:sz w:val="18"/>
                <w:szCs w:val="18"/>
                <w:color w:val="auto"/>
              </w:rPr>
              <w:t>By: /s/ Richard T. Allorto, Jr.</w:t>
            </w:r>
          </w:p>
        </w:tc>
      </w:tr>
      <w:tr>
        <w:trPr>
          <w:trHeight w:val="237"/>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T. Allorto, Jr.</w:t>
            </w:r>
          </w:p>
        </w:tc>
        <w:tc>
          <w:tcPr>
            <w:tcW w:w="640" w:type="dxa"/>
            <w:vAlign w:val="bottom"/>
          </w:tcPr>
          <w:p>
            <w:pPr>
              <w:spacing w:after="0"/>
              <w:rPr>
                <w:sz w:val="20"/>
                <w:szCs w:val="20"/>
                <w:color w:val="auto"/>
              </w:rPr>
            </w:pPr>
          </w:p>
        </w:tc>
      </w:tr>
      <w:tr>
        <w:trPr>
          <w:trHeight w:val="243"/>
        </w:trPr>
        <w:tc>
          <w:tcPr>
            <w:tcW w:w="35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540" w:right="379" w:bottom="1440" w:gutter="0" w:footer="0" w:header="0"/>
        </w:sectPr>
      </w:pPr>
    </w:p>
    <w:bookmarkStart w:id="3" w:name="page4"/>
    <w:bookmarkEnd w:id="3"/>
    <w:p>
      <w:pPr>
        <w:spacing w:after="0" w:line="3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PennantPark Floating Rate Capital Ltd. Announces Its Financial Results for the Quarter Ended June 30, 2023</w:t>
      </w:r>
    </w:p>
    <w:p>
      <w:pPr>
        <w:spacing w:after="0" w:line="247" w:lineRule="exact"/>
        <w:rPr>
          <w:sz w:val="20"/>
          <w:szCs w:val="20"/>
          <w:color w:val="auto"/>
        </w:rPr>
      </w:pPr>
    </w:p>
    <w:p>
      <w:pPr>
        <w:ind w:right="740"/>
        <w:spacing w:after="0" w:line="250" w:lineRule="auto"/>
        <w:rPr>
          <w:sz w:val="20"/>
          <w:szCs w:val="20"/>
          <w:color w:val="auto"/>
        </w:rPr>
      </w:pPr>
      <w:r>
        <w:rPr>
          <w:rFonts w:ascii="Arial" w:cs="Arial" w:eastAsia="Arial" w:hAnsi="Arial"/>
          <w:sz w:val="22"/>
          <w:szCs w:val="22"/>
          <w:color w:val="auto"/>
        </w:rPr>
        <w:t>MIAMI, Aug. 09, 2023 (GLOBE NEWSWIRE) -- PennantPark Floating Rate Capital Ltd. (NYSE: PFLT) (TASE: PFLT) announced today its financial results for the third quarter ended June 30, 2023.</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Quarter ended June 30, 2023 (unaudited)</w:t>
      </w:r>
    </w:p>
    <w:p>
      <w:pPr>
        <w:spacing w:after="0"/>
        <w:rPr>
          <w:sz w:val="20"/>
          <w:szCs w:val="20"/>
          <w:color w:val="auto"/>
        </w:rPr>
      </w:pPr>
      <w:r>
        <w:rPr>
          <w:rFonts w:ascii="Arial" w:cs="Arial" w:eastAsia="Arial" w:hAnsi="Arial"/>
          <w:sz w:val="22"/>
          <w:szCs w:val="22"/>
          <w:color w:val="auto"/>
        </w:rPr>
        <w:t>($ in millions, except per share amounts)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7320" w:type="dxa"/>
            <w:vAlign w:val="bottom"/>
          </w:tcPr>
          <w:p>
            <w:pPr>
              <w:spacing w:after="0"/>
              <w:rPr>
                <w:sz w:val="20"/>
                <w:szCs w:val="20"/>
                <w:color w:val="auto"/>
              </w:rPr>
            </w:pPr>
            <w:r>
              <w:rPr>
                <w:rFonts w:ascii="Arial" w:cs="Arial" w:eastAsia="Arial" w:hAnsi="Arial"/>
                <w:sz w:val="22"/>
                <w:szCs w:val="22"/>
                <w:color w:val="auto"/>
              </w:rPr>
              <w:t>Operating Results:</w:t>
            </w:r>
          </w:p>
        </w:tc>
        <w:tc>
          <w:tcPr>
            <w:tcW w:w="25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7320" w:type="dxa"/>
            <w:vAlign w:val="bottom"/>
          </w:tcPr>
          <w:p>
            <w:pPr>
              <w:ind w:left="200"/>
              <w:spacing w:after="0"/>
              <w:rPr>
                <w:sz w:val="20"/>
                <w:szCs w:val="20"/>
                <w:color w:val="auto"/>
              </w:rPr>
            </w:pPr>
            <w:r>
              <w:rPr>
                <w:rFonts w:ascii="Arial" w:cs="Arial" w:eastAsia="Arial" w:hAnsi="Arial"/>
                <w:sz w:val="22"/>
                <w:szCs w:val="22"/>
                <w:color w:val="auto"/>
              </w:rPr>
              <w:t>Net investment income</w:t>
            </w:r>
          </w:p>
        </w:tc>
        <w:tc>
          <w:tcPr>
            <w:tcW w:w="2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18.5</w:t>
            </w:r>
          </w:p>
        </w:tc>
      </w:tr>
      <w:tr>
        <w:trPr>
          <w:trHeight w:val="270"/>
        </w:trPr>
        <w:tc>
          <w:tcPr>
            <w:tcW w:w="7320" w:type="dxa"/>
            <w:vAlign w:val="bottom"/>
          </w:tcPr>
          <w:p>
            <w:pPr>
              <w:ind w:left="200"/>
              <w:spacing w:after="0"/>
              <w:rPr>
                <w:sz w:val="20"/>
                <w:szCs w:val="20"/>
                <w:color w:val="auto"/>
              </w:rPr>
            </w:pPr>
            <w:r>
              <w:rPr>
                <w:rFonts w:ascii="Arial" w:cs="Arial" w:eastAsia="Arial" w:hAnsi="Arial"/>
                <w:sz w:val="22"/>
                <w:szCs w:val="22"/>
                <w:color w:val="auto"/>
              </w:rPr>
              <w:t>Net investment income per share</w:t>
            </w:r>
          </w:p>
        </w:tc>
        <w:tc>
          <w:tcPr>
            <w:tcW w:w="2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0.36</w:t>
            </w:r>
          </w:p>
        </w:tc>
      </w:tr>
      <w:tr>
        <w:trPr>
          <w:trHeight w:val="270"/>
        </w:trPr>
        <w:tc>
          <w:tcPr>
            <w:tcW w:w="7320" w:type="dxa"/>
            <w:vAlign w:val="bottom"/>
          </w:tcPr>
          <w:p>
            <w:pPr>
              <w:ind w:left="200"/>
              <w:spacing w:after="0"/>
              <w:rPr>
                <w:sz w:val="20"/>
                <w:szCs w:val="20"/>
                <w:color w:val="auto"/>
              </w:rPr>
            </w:pPr>
            <w:r>
              <w:rPr>
                <w:rFonts w:ascii="Arial" w:cs="Arial" w:eastAsia="Arial" w:hAnsi="Arial"/>
                <w:sz w:val="22"/>
                <w:szCs w:val="22"/>
                <w:color w:val="auto"/>
              </w:rPr>
              <w:t>Core net investment income per share (1)</w:t>
            </w:r>
          </w:p>
        </w:tc>
        <w:tc>
          <w:tcPr>
            <w:tcW w:w="2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0.31</w:t>
            </w:r>
          </w:p>
        </w:tc>
      </w:tr>
      <w:tr>
        <w:trPr>
          <w:trHeight w:val="274"/>
        </w:trPr>
        <w:tc>
          <w:tcPr>
            <w:tcW w:w="7320" w:type="dxa"/>
            <w:vAlign w:val="bottom"/>
          </w:tcPr>
          <w:p>
            <w:pPr>
              <w:ind w:left="200"/>
              <w:spacing w:after="0"/>
              <w:rPr>
                <w:sz w:val="20"/>
                <w:szCs w:val="20"/>
                <w:color w:val="auto"/>
              </w:rPr>
            </w:pPr>
            <w:r>
              <w:rPr>
                <w:rFonts w:ascii="Arial" w:cs="Arial" w:eastAsia="Arial" w:hAnsi="Arial"/>
                <w:sz w:val="22"/>
                <w:szCs w:val="22"/>
                <w:color w:val="auto"/>
              </w:rPr>
              <w:t>Distributions declared per share</w:t>
            </w:r>
          </w:p>
        </w:tc>
        <w:tc>
          <w:tcPr>
            <w:tcW w:w="2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0.30</w:t>
            </w:r>
          </w:p>
        </w:tc>
      </w:tr>
      <w:tr>
        <w:trPr>
          <w:trHeight w:val="806"/>
        </w:trPr>
        <w:tc>
          <w:tcPr>
            <w:tcW w:w="7320" w:type="dxa"/>
            <w:vAlign w:val="bottom"/>
          </w:tcPr>
          <w:p>
            <w:pPr>
              <w:spacing w:after="0"/>
              <w:rPr>
                <w:sz w:val="20"/>
                <w:szCs w:val="20"/>
                <w:color w:val="auto"/>
              </w:rPr>
            </w:pPr>
            <w:r>
              <w:rPr>
                <w:rFonts w:ascii="Arial" w:cs="Arial" w:eastAsia="Arial" w:hAnsi="Arial"/>
                <w:sz w:val="22"/>
                <w:szCs w:val="22"/>
                <w:color w:val="auto"/>
              </w:rPr>
              <w:t>Assets and Liabilities:</w:t>
            </w:r>
          </w:p>
        </w:tc>
        <w:tc>
          <w:tcPr>
            <w:tcW w:w="2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7320" w:type="dxa"/>
            <w:vAlign w:val="bottom"/>
          </w:tcPr>
          <w:p>
            <w:pPr>
              <w:ind w:left="200"/>
              <w:spacing w:after="0"/>
              <w:rPr>
                <w:sz w:val="20"/>
                <w:szCs w:val="20"/>
                <w:color w:val="auto"/>
              </w:rPr>
            </w:pPr>
            <w:r>
              <w:rPr>
                <w:rFonts w:ascii="Arial" w:cs="Arial" w:eastAsia="Arial" w:hAnsi="Arial"/>
                <w:sz w:val="22"/>
                <w:szCs w:val="22"/>
                <w:color w:val="auto"/>
              </w:rPr>
              <w:t>Investment portfolio (2)</w:t>
            </w:r>
          </w:p>
        </w:tc>
        <w:tc>
          <w:tcPr>
            <w:tcW w:w="2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1,105.3</w:t>
            </w:r>
          </w:p>
        </w:tc>
      </w:tr>
      <w:tr>
        <w:trPr>
          <w:trHeight w:val="270"/>
        </w:trPr>
        <w:tc>
          <w:tcPr>
            <w:tcW w:w="7320" w:type="dxa"/>
            <w:vAlign w:val="bottom"/>
          </w:tcPr>
          <w:p>
            <w:pPr>
              <w:ind w:left="200"/>
              <w:spacing w:after="0"/>
              <w:rPr>
                <w:sz w:val="20"/>
                <w:szCs w:val="20"/>
                <w:color w:val="auto"/>
              </w:rPr>
            </w:pPr>
            <w:r>
              <w:rPr>
                <w:rFonts w:ascii="Arial" w:cs="Arial" w:eastAsia="Arial" w:hAnsi="Arial"/>
                <w:sz w:val="22"/>
                <w:szCs w:val="22"/>
                <w:color w:val="auto"/>
              </w:rPr>
              <w:t>Net assets</w:t>
            </w:r>
          </w:p>
        </w:tc>
        <w:tc>
          <w:tcPr>
            <w:tcW w:w="2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608.4</w:t>
            </w:r>
          </w:p>
        </w:tc>
      </w:tr>
      <w:tr>
        <w:trPr>
          <w:trHeight w:val="270"/>
        </w:trPr>
        <w:tc>
          <w:tcPr>
            <w:tcW w:w="7320" w:type="dxa"/>
            <w:vAlign w:val="bottom"/>
          </w:tcPr>
          <w:p>
            <w:pPr>
              <w:ind w:left="200"/>
              <w:spacing w:after="0"/>
              <w:rPr>
                <w:sz w:val="20"/>
                <w:szCs w:val="20"/>
                <w:color w:val="auto"/>
              </w:rPr>
            </w:pPr>
            <w:r>
              <w:rPr>
                <w:rFonts w:ascii="Arial" w:cs="Arial" w:eastAsia="Arial" w:hAnsi="Arial"/>
                <w:sz w:val="22"/>
                <w:szCs w:val="22"/>
                <w:color w:val="auto"/>
              </w:rPr>
              <w:t>GAAP net asset value per share</w:t>
            </w:r>
          </w:p>
        </w:tc>
        <w:tc>
          <w:tcPr>
            <w:tcW w:w="2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10.96</w:t>
            </w:r>
          </w:p>
        </w:tc>
      </w:tr>
      <w:tr>
        <w:trPr>
          <w:trHeight w:val="270"/>
        </w:trPr>
        <w:tc>
          <w:tcPr>
            <w:tcW w:w="7320" w:type="dxa"/>
            <w:vAlign w:val="bottom"/>
          </w:tcPr>
          <w:p>
            <w:pPr>
              <w:ind w:left="200"/>
              <w:spacing w:after="0"/>
              <w:rPr>
                <w:sz w:val="20"/>
                <w:szCs w:val="20"/>
                <w:color w:val="auto"/>
              </w:rPr>
            </w:pPr>
            <w:r>
              <w:rPr>
                <w:rFonts w:ascii="Arial" w:cs="Arial" w:eastAsia="Arial" w:hAnsi="Arial"/>
                <w:sz w:val="22"/>
                <w:szCs w:val="22"/>
                <w:color w:val="auto"/>
              </w:rPr>
              <w:t>Quarterly decrease in GAAP net asset value per share</w:t>
            </w:r>
          </w:p>
        </w:tc>
        <w:tc>
          <w:tcPr>
            <w:tcW w:w="25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70"/>
        </w:trPr>
        <w:tc>
          <w:tcPr>
            <w:tcW w:w="7320" w:type="dxa"/>
            <w:vAlign w:val="bottom"/>
          </w:tcPr>
          <w:p>
            <w:pPr>
              <w:ind w:left="200"/>
              <w:spacing w:after="0"/>
              <w:rPr>
                <w:sz w:val="20"/>
                <w:szCs w:val="20"/>
                <w:color w:val="auto"/>
              </w:rPr>
            </w:pPr>
            <w:r>
              <w:rPr>
                <w:rFonts w:ascii="Arial" w:cs="Arial" w:eastAsia="Arial" w:hAnsi="Arial"/>
                <w:sz w:val="22"/>
                <w:szCs w:val="22"/>
                <w:color w:val="auto"/>
              </w:rPr>
              <w:t>Adjusted net asset value per share (3)</w:t>
            </w:r>
          </w:p>
        </w:tc>
        <w:tc>
          <w:tcPr>
            <w:tcW w:w="2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11.00</w:t>
            </w:r>
          </w:p>
        </w:tc>
      </w:tr>
      <w:tr>
        <w:trPr>
          <w:trHeight w:val="274"/>
        </w:trPr>
        <w:tc>
          <w:tcPr>
            <w:tcW w:w="7320" w:type="dxa"/>
            <w:vAlign w:val="bottom"/>
          </w:tcPr>
          <w:p>
            <w:pPr>
              <w:ind w:left="200"/>
              <w:spacing w:after="0"/>
              <w:rPr>
                <w:sz w:val="20"/>
                <w:szCs w:val="20"/>
                <w:color w:val="auto"/>
              </w:rPr>
            </w:pPr>
            <w:r>
              <w:rPr>
                <w:rFonts w:ascii="Arial" w:cs="Arial" w:eastAsia="Arial" w:hAnsi="Arial"/>
                <w:sz w:val="22"/>
                <w:szCs w:val="22"/>
                <w:color w:val="auto"/>
              </w:rPr>
              <w:t>Quarterly decrease in adjusted net asset value per share (3)</w:t>
            </w:r>
          </w:p>
        </w:tc>
        <w:tc>
          <w:tcPr>
            <w:tcW w:w="25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(0.9)%</w:t>
            </w:r>
          </w:p>
        </w:tc>
      </w:tr>
      <w:tr>
        <w:trPr>
          <w:trHeight w:val="806"/>
        </w:trPr>
        <w:tc>
          <w:tcPr>
            <w:tcW w:w="7320" w:type="dxa"/>
            <w:vAlign w:val="bottom"/>
          </w:tcPr>
          <w:p>
            <w:pPr>
              <w:spacing w:after="0"/>
              <w:rPr>
                <w:sz w:val="20"/>
                <w:szCs w:val="20"/>
                <w:color w:val="auto"/>
              </w:rPr>
            </w:pPr>
            <w:r>
              <w:rPr>
                <w:rFonts w:ascii="Arial" w:cs="Arial" w:eastAsia="Arial" w:hAnsi="Arial"/>
                <w:sz w:val="22"/>
                <w:szCs w:val="22"/>
                <w:color w:val="auto"/>
              </w:rPr>
              <w:t>Credit Facility</w:t>
            </w:r>
          </w:p>
        </w:tc>
        <w:tc>
          <w:tcPr>
            <w:tcW w:w="2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63.9</w:t>
            </w:r>
          </w:p>
        </w:tc>
      </w:tr>
      <w:tr>
        <w:trPr>
          <w:trHeight w:val="270"/>
        </w:trPr>
        <w:tc>
          <w:tcPr>
            <w:tcW w:w="7320" w:type="dxa"/>
            <w:vAlign w:val="bottom"/>
          </w:tcPr>
          <w:p>
            <w:pPr>
              <w:spacing w:after="0"/>
              <w:rPr>
                <w:sz w:val="20"/>
                <w:szCs w:val="20"/>
                <w:color w:val="auto"/>
              </w:rPr>
            </w:pPr>
            <w:r>
              <w:rPr>
                <w:rFonts w:ascii="Arial" w:cs="Arial" w:eastAsia="Arial" w:hAnsi="Arial"/>
                <w:sz w:val="22"/>
                <w:szCs w:val="22"/>
                <w:color w:val="auto"/>
              </w:rPr>
              <w:t>2023 Notes</w:t>
            </w:r>
          </w:p>
        </w:tc>
        <w:tc>
          <w:tcPr>
            <w:tcW w:w="2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79.3</w:t>
            </w:r>
          </w:p>
        </w:tc>
      </w:tr>
      <w:tr>
        <w:trPr>
          <w:trHeight w:val="270"/>
        </w:trPr>
        <w:tc>
          <w:tcPr>
            <w:tcW w:w="7320" w:type="dxa"/>
            <w:vAlign w:val="bottom"/>
          </w:tcPr>
          <w:p>
            <w:pPr>
              <w:spacing w:after="0"/>
              <w:rPr>
                <w:sz w:val="20"/>
                <w:szCs w:val="20"/>
                <w:color w:val="auto"/>
              </w:rPr>
            </w:pPr>
            <w:r>
              <w:rPr>
                <w:rFonts w:ascii="Arial" w:cs="Arial" w:eastAsia="Arial" w:hAnsi="Arial"/>
                <w:sz w:val="22"/>
                <w:szCs w:val="22"/>
                <w:color w:val="auto"/>
              </w:rPr>
              <w:t>2026 Notes</w:t>
            </w:r>
          </w:p>
        </w:tc>
        <w:tc>
          <w:tcPr>
            <w:tcW w:w="2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182.9</w:t>
            </w:r>
          </w:p>
        </w:tc>
      </w:tr>
      <w:tr>
        <w:trPr>
          <w:trHeight w:val="270"/>
        </w:trPr>
        <w:tc>
          <w:tcPr>
            <w:tcW w:w="7320" w:type="dxa"/>
            <w:vAlign w:val="bottom"/>
          </w:tcPr>
          <w:p>
            <w:pPr>
              <w:spacing w:after="0"/>
              <w:rPr>
                <w:sz w:val="20"/>
                <w:szCs w:val="20"/>
                <w:color w:val="auto"/>
              </w:rPr>
            </w:pPr>
            <w:r>
              <w:rPr>
                <w:rFonts w:ascii="Arial" w:cs="Arial" w:eastAsia="Arial" w:hAnsi="Arial"/>
                <w:sz w:val="22"/>
                <w:szCs w:val="22"/>
                <w:color w:val="auto"/>
              </w:rPr>
              <w:t>2031 Asset-Backed Debt</w:t>
            </w:r>
          </w:p>
        </w:tc>
        <w:tc>
          <w:tcPr>
            <w:tcW w:w="2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226.6</w:t>
            </w:r>
          </w:p>
        </w:tc>
      </w:tr>
      <w:tr>
        <w:trPr>
          <w:trHeight w:val="270"/>
        </w:trPr>
        <w:tc>
          <w:tcPr>
            <w:tcW w:w="7320" w:type="dxa"/>
            <w:vAlign w:val="bottom"/>
          </w:tcPr>
          <w:p>
            <w:pPr>
              <w:spacing w:after="0"/>
              <w:rPr>
                <w:sz w:val="20"/>
                <w:szCs w:val="20"/>
                <w:color w:val="auto"/>
              </w:rPr>
            </w:pPr>
            <w:r>
              <w:rPr>
                <w:rFonts w:ascii="Arial" w:cs="Arial" w:eastAsia="Arial" w:hAnsi="Arial"/>
                <w:sz w:val="22"/>
                <w:szCs w:val="22"/>
                <w:color w:val="auto"/>
              </w:rPr>
              <w:t>Regulatory Debt to Equity</w:t>
            </w:r>
          </w:p>
        </w:tc>
        <w:tc>
          <w:tcPr>
            <w:tcW w:w="2560" w:type="dxa"/>
            <w:vAlign w:val="bottom"/>
          </w:tcPr>
          <w:p>
            <w:pPr>
              <w:spacing w:after="0"/>
              <w:rPr>
                <w:sz w:val="23"/>
                <w:szCs w:val="23"/>
                <w:color w:val="auto"/>
              </w:rPr>
            </w:pP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0.91x</w:t>
            </w:r>
          </w:p>
        </w:tc>
      </w:tr>
      <w:tr>
        <w:trPr>
          <w:trHeight w:val="274"/>
        </w:trPr>
        <w:tc>
          <w:tcPr>
            <w:tcW w:w="7320" w:type="dxa"/>
            <w:vAlign w:val="bottom"/>
          </w:tcPr>
          <w:p>
            <w:pPr>
              <w:spacing w:after="0"/>
              <w:rPr>
                <w:sz w:val="20"/>
                <w:szCs w:val="20"/>
                <w:color w:val="auto"/>
              </w:rPr>
            </w:pPr>
            <w:r>
              <w:rPr>
                <w:rFonts w:ascii="Arial" w:cs="Arial" w:eastAsia="Arial" w:hAnsi="Arial"/>
                <w:sz w:val="22"/>
                <w:szCs w:val="22"/>
                <w:color w:val="auto"/>
              </w:rPr>
              <w:t>Weighted average yield on debt investments at quarter-end</w:t>
            </w:r>
          </w:p>
        </w:tc>
        <w:tc>
          <w:tcPr>
            <w:tcW w:w="25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12.4%</w:t>
            </w:r>
          </w:p>
        </w:tc>
      </w:tr>
      <w:tr>
        <w:trPr>
          <w:trHeight w:val="536"/>
        </w:trPr>
        <w:tc>
          <w:tcPr>
            <w:tcW w:w="7320" w:type="dxa"/>
            <w:vAlign w:val="bottom"/>
          </w:tcPr>
          <w:p>
            <w:pPr>
              <w:spacing w:after="0"/>
              <w:rPr>
                <w:sz w:val="20"/>
                <w:szCs w:val="20"/>
                <w:color w:val="auto"/>
              </w:rPr>
            </w:pPr>
            <w:r>
              <w:rPr>
                <w:rFonts w:ascii="Arial" w:cs="Arial" w:eastAsia="Arial" w:hAnsi="Arial"/>
                <w:sz w:val="22"/>
                <w:szCs w:val="22"/>
                <w:color w:val="auto"/>
              </w:rPr>
              <w:t>Portfolio Activity:</w:t>
            </w:r>
          </w:p>
        </w:tc>
        <w:tc>
          <w:tcPr>
            <w:tcW w:w="2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7320" w:type="dxa"/>
            <w:vAlign w:val="bottom"/>
          </w:tcPr>
          <w:p>
            <w:pPr>
              <w:ind w:left="200"/>
              <w:spacing w:after="0"/>
              <w:rPr>
                <w:sz w:val="20"/>
                <w:szCs w:val="20"/>
                <w:color w:val="auto"/>
              </w:rPr>
            </w:pPr>
            <w:r>
              <w:rPr>
                <w:rFonts w:ascii="Arial" w:cs="Arial" w:eastAsia="Arial" w:hAnsi="Arial"/>
                <w:sz w:val="22"/>
                <w:szCs w:val="22"/>
                <w:color w:val="auto"/>
              </w:rPr>
              <w:t>Purchases of investments</w:t>
            </w:r>
          </w:p>
        </w:tc>
        <w:tc>
          <w:tcPr>
            <w:tcW w:w="2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80.0</w:t>
            </w:r>
          </w:p>
        </w:tc>
      </w:tr>
      <w:tr>
        <w:trPr>
          <w:trHeight w:val="274"/>
        </w:trPr>
        <w:tc>
          <w:tcPr>
            <w:tcW w:w="7320" w:type="dxa"/>
            <w:vAlign w:val="bottom"/>
          </w:tcPr>
          <w:p>
            <w:pPr>
              <w:ind w:left="200"/>
              <w:spacing w:after="0"/>
              <w:rPr>
                <w:sz w:val="20"/>
                <w:szCs w:val="20"/>
                <w:color w:val="auto"/>
              </w:rPr>
            </w:pPr>
            <w:r>
              <w:rPr>
                <w:rFonts w:ascii="Arial" w:cs="Arial" w:eastAsia="Arial" w:hAnsi="Arial"/>
                <w:sz w:val="22"/>
                <w:szCs w:val="22"/>
                <w:color w:val="auto"/>
              </w:rPr>
              <w:t>Sales and repayments of investments</w:t>
            </w:r>
          </w:p>
        </w:tc>
        <w:tc>
          <w:tcPr>
            <w:tcW w:w="2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132.4</w:t>
            </w:r>
          </w:p>
        </w:tc>
      </w:tr>
      <w:tr>
        <w:trPr>
          <w:trHeight w:val="536"/>
        </w:trPr>
        <w:tc>
          <w:tcPr>
            <w:tcW w:w="7320" w:type="dxa"/>
            <w:vAlign w:val="bottom"/>
          </w:tcPr>
          <w:p>
            <w:pPr>
              <w:spacing w:after="0"/>
              <w:rPr>
                <w:sz w:val="20"/>
                <w:szCs w:val="20"/>
                <w:color w:val="auto"/>
              </w:rPr>
            </w:pPr>
            <w:r>
              <w:rPr>
                <w:rFonts w:ascii="Arial" w:cs="Arial" w:eastAsia="Arial" w:hAnsi="Arial"/>
                <w:sz w:val="22"/>
                <w:szCs w:val="22"/>
                <w:color w:val="auto"/>
              </w:rPr>
              <w:t>PSSL Portfolio data:</w:t>
            </w:r>
          </w:p>
        </w:tc>
        <w:tc>
          <w:tcPr>
            <w:tcW w:w="2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7320" w:type="dxa"/>
            <w:vAlign w:val="bottom"/>
          </w:tcPr>
          <w:p>
            <w:pPr>
              <w:ind w:left="200"/>
              <w:spacing w:after="0"/>
              <w:rPr>
                <w:sz w:val="20"/>
                <w:szCs w:val="20"/>
                <w:color w:val="auto"/>
              </w:rPr>
            </w:pPr>
            <w:r>
              <w:rPr>
                <w:rFonts w:ascii="Arial" w:cs="Arial" w:eastAsia="Arial" w:hAnsi="Arial"/>
                <w:sz w:val="22"/>
                <w:szCs w:val="22"/>
                <w:color w:val="auto"/>
              </w:rPr>
              <w:t>PSSL investment portfolio</w:t>
            </w:r>
          </w:p>
        </w:tc>
        <w:tc>
          <w:tcPr>
            <w:tcW w:w="2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805.2</w:t>
            </w:r>
          </w:p>
        </w:tc>
      </w:tr>
      <w:tr>
        <w:trPr>
          <w:trHeight w:val="270"/>
        </w:trPr>
        <w:tc>
          <w:tcPr>
            <w:tcW w:w="7320" w:type="dxa"/>
            <w:vAlign w:val="bottom"/>
          </w:tcPr>
          <w:p>
            <w:pPr>
              <w:ind w:left="200"/>
              <w:spacing w:after="0"/>
              <w:rPr>
                <w:sz w:val="20"/>
                <w:szCs w:val="20"/>
                <w:color w:val="auto"/>
              </w:rPr>
            </w:pPr>
            <w:r>
              <w:rPr>
                <w:rFonts w:ascii="Arial" w:cs="Arial" w:eastAsia="Arial" w:hAnsi="Arial"/>
                <w:sz w:val="22"/>
                <w:szCs w:val="22"/>
                <w:color w:val="auto"/>
              </w:rPr>
              <w:t>Purchases of investments</w:t>
            </w:r>
          </w:p>
        </w:tc>
        <w:tc>
          <w:tcPr>
            <w:tcW w:w="2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77.8</w:t>
            </w:r>
          </w:p>
        </w:tc>
      </w:tr>
      <w:tr>
        <w:trPr>
          <w:trHeight w:val="274"/>
        </w:trPr>
        <w:tc>
          <w:tcPr>
            <w:tcW w:w="7320" w:type="dxa"/>
            <w:vAlign w:val="bottom"/>
          </w:tcPr>
          <w:p>
            <w:pPr>
              <w:ind w:left="200"/>
              <w:spacing w:after="0"/>
              <w:rPr>
                <w:sz w:val="20"/>
                <w:szCs w:val="20"/>
                <w:color w:val="auto"/>
              </w:rPr>
            </w:pPr>
            <w:r>
              <w:rPr>
                <w:rFonts w:ascii="Arial" w:cs="Arial" w:eastAsia="Arial" w:hAnsi="Arial"/>
                <w:sz w:val="22"/>
                <w:szCs w:val="22"/>
                <w:color w:val="auto"/>
              </w:rPr>
              <w:t>Sales and repayments of investments</w:t>
            </w:r>
          </w:p>
        </w:tc>
        <w:tc>
          <w:tcPr>
            <w:tcW w:w="256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40.8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220" w:lineRule="exact"/>
        <w:rPr>
          <w:sz w:val="20"/>
          <w:szCs w:val="20"/>
          <w:color w:val="auto"/>
        </w:rPr>
      </w:pPr>
    </w:p>
    <w:p>
      <w:pPr>
        <w:jc w:val="both"/>
        <w:ind w:left="360" w:right="20" w:hanging="339"/>
        <w:spacing w:after="0" w:line="279" w:lineRule="auto"/>
        <w:tabs>
          <w:tab w:leader="none" w:pos="360" w:val="left"/>
        </w:tabs>
        <w:numPr>
          <w:ilvl w:val="0"/>
          <w:numId w:val="3"/>
        </w:numPr>
        <w:rPr>
          <w:rFonts w:ascii="Arial" w:cs="Arial" w:eastAsia="Arial" w:hAnsi="Arial"/>
          <w:sz w:val="19"/>
          <w:szCs w:val="19"/>
          <w:color w:val="auto"/>
        </w:rPr>
      </w:pPr>
      <w:r>
        <w:rPr>
          <w:rFonts w:ascii="Arial" w:cs="Arial" w:eastAsia="Arial" w:hAnsi="Arial"/>
          <w:sz w:val="19"/>
          <w:szCs w:val="19"/>
          <w:color w:val="auto"/>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June 30, 2023, Core NII excluded: i) $3.7 million or $0.07 per share, of dividend income related to our equity investment in Dominion Voting Systems; and ii) an addback of $0.7 million or $0.02 per share, of incentive fee expense.</w:t>
      </w:r>
    </w:p>
    <w:p>
      <w:pPr>
        <w:spacing w:after="0" w:line="231" w:lineRule="exact"/>
        <w:rPr>
          <w:rFonts w:ascii="Arial" w:cs="Arial" w:eastAsia="Arial" w:hAnsi="Arial"/>
          <w:sz w:val="19"/>
          <w:szCs w:val="19"/>
          <w:color w:val="auto"/>
        </w:rPr>
      </w:pPr>
    </w:p>
    <w:p>
      <w:pPr>
        <w:ind w:left="360" w:right="20" w:hanging="339"/>
        <w:spacing w:after="0" w:line="183" w:lineRule="auto"/>
        <w:tabs>
          <w:tab w:leader="none" w:pos="360" w:val="left"/>
        </w:tabs>
        <w:numPr>
          <w:ilvl w:val="0"/>
          <w:numId w:val="3"/>
        </w:numPr>
        <w:rPr>
          <w:rFonts w:ascii="Arial" w:cs="Arial" w:eastAsia="Arial" w:hAnsi="Arial"/>
          <w:sz w:val="39"/>
          <w:szCs w:val="39"/>
          <w:color w:val="auto"/>
          <w:vertAlign w:val="subscript"/>
        </w:rPr>
      </w:pPr>
      <w:r>
        <w:rPr>
          <w:rFonts w:ascii="Arial" w:cs="Arial" w:eastAsia="Arial" w:hAnsi="Arial"/>
          <w:sz w:val="20"/>
          <w:szCs w:val="20"/>
          <w:color w:val="auto"/>
        </w:rPr>
        <w:t>Includes investments in PennantPark Senior Secured Loan Fund I LLC ("PSSL"), an unconsolidated joint venture, totaling $258.0 million, at fair value.</w:t>
      </w:r>
    </w:p>
    <w:p>
      <w:pPr>
        <w:spacing w:after="0" w:line="265" w:lineRule="exact"/>
        <w:rPr>
          <w:rFonts w:ascii="Arial" w:cs="Arial" w:eastAsia="Arial" w:hAnsi="Arial"/>
          <w:sz w:val="39"/>
          <w:szCs w:val="39"/>
          <w:color w:val="auto"/>
          <w:vertAlign w:val="subscript"/>
        </w:rPr>
      </w:pPr>
    </w:p>
    <w:p>
      <w:pPr>
        <w:jc w:val="both"/>
        <w:ind w:left="360" w:right="20" w:hanging="339"/>
        <w:spacing w:after="0" w:line="235" w:lineRule="auto"/>
        <w:tabs>
          <w:tab w:leader="none" w:pos="3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excluding the impact of the $2.6 million, or $0.04 per share, unrealized appreciation on our multi-currency senior secured revolving credit facility, as amended and restated, with Truist Bank and other lenders (the "Credit Facility"), and our 4.3% Series A notes due 2023 (the "2023 Notes"). The presentation of this additional information is not meant to be considered in isolation or as a substitute for financial results prepared in accordance with GAAP.</w:t>
      </w:r>
    </w:p>
    <w:p>
      <w:pPr>
        <w:sectPr>
          <w:pgSz w:w="11900" w:h="16871" w:orient="portrait"/>
          <w:cols w:equalWidth="0" w:num="1">
            <w:col w:w="11240"/>
          </w:cols>
          <w:pgMar w:left="320" w:top="328" w:right="339" w:bottom="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CONFERENCE CALL AT 9:00 A.M. ET ON AUGUST 10, 2023</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Company will also host a conference call at 9:00 a.m. (Eastern Time) on Thursday August 10, 2023 to discuss its financial results. All interested parties are welcome to participate. You can access the conference call by dialing toll-free (888) 204-4368 approximately 5-10 minutes prior to the call. International callers should dial (646) 828-8193. All callers should reference conference ID #9543827 or PennantPark Floating Rate Capital Ltd. An archived replay will also be available on a webcast link located on the Quarterly Earnings page in the Investor section of PennantPark’s website.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“We are pleased to be in a position to take advantage of this excellent vintage of loans in the core middle market,” said Art Penn, Chairman and CEO. “We believe that we have a visible pathway of driving meaningfully increased income through the growing balance sheets of PFLT and our PSSL joint venture.”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212"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As of June 30, 2023, our portfolio totaled $1,105.3 million, and consisted of $950.2 million of first lien secured debt (including $210.1 million in PSSL), $0.1 million of second lien secured debt and $154.9 million of preferred and common equity (including $47.9 million in PSSL). Our debt portfolio consisted of 100% variable-rate investments. As of June 30, 2023, we had three portfolio companies on non-accrual, representing 1% and zero percent of our overall portfolio on a cost and fair value basis, respectively. As of June 30, 2023, the portfolio had net unrealized depreciation of $35.2 million. Our overall portfolio consisted of 130 companies with an average investment size of $8.5 million and had a weighted average yield on debt investments of 12.4%.</w:t>
      </w:r>
    </w:p>
    <w:p>
      <w:pPr>
        <w:spacing w:after="0" w:line="191"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As of September 30, 2022, our portfolio totaled $1,164.3 million and consisted of $1,009.6 million of first lien secured debt (including $190.2 million in PSSL), $0.1 million of second lien secured debt and $154.5 million of preferred and common equity (including $49.4 million in PSSL). Our debt portfolio consisted of 100% variable rate investments. As of September 30, 2022, we had two portfolio companies on non-accrual, representing 0.9% and zero percent of our overall portfolio on a cost and fair value basis, respectively. As of September 30, 2022, the portfolio had net unrealized depreciation of $13.1 million. Our overall portfolio consisted of 125 companies with an average investment size of $9.3 million and a weighted average yield on debt investments of 10.0%.</w:t>
      </w:r>
    </w:p>
    <w:p>
      <w:pPr>
        <w:spacing w:after="0" w:line="191"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For the three months ended June 30, 2023, we invested $80.0 million in four new and 40 existing portfolio companies at a weighted average yield on debt investments of 12.5%. For the three months ended June 30, 2023, sales and repayments of investments totaled $132.4 million, including $75.3 million of sales to PSSL. For the nine months ended June 30, 2023, we invested $231.0 million in 13 new and 63 existing portfolio companies at a weighted average yield on debt investments of 12.1%. For the nine months ended June 30, 2023 sales and repayments of investments totaled $258.1 million, including $121.2 million of sales to PSSL.</w:t>
      </w:r>
    </w:p>
    <w:p>
      <w:pPr>
        <w:spacing w:after="0" w:line="188"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For the three months ended June 30, 2022, we invested $104.8 million in six new and 39 existing portfolio companies at a weighted average yield on debt investments of 8.1%. For the three months ended June 30, 2022 sales and repayments of investments totaled $55.0 million, including $16.8 million of sales to PSSL. For the nine months ended June 30, 2022, we invested $553.1 million in 29 new and 53 existing portfolio companies at a weighted average yield on debt investments of 7.7%. Sales and repayments of investments for the nine months ended June 30, 2022 totaled $397.2 million, including $225.2 million of sales to PSSL.</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Secured Loan Fund I LLC</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June 30, 2023, PSSL’s portfolio totaled $805.2 million and consisted of 105 companies with an average investment size of $7.7 million and had a weighted average yield on debt investments of 12.0%.</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September 30, 2022, PSSL’s portfolio totaled $754.7 million, consisted of 95 companies with an average investment size of $8.0 million and had a weighted average yield on debt investments of 9.6%.</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months ended June 30, 2023, PSSL invested $77.8 million (including $75.3 million purchased from the Company) in six new and 15 existing portfolio companies at a weighted average yield on debt investments of 12.1%. Sales and repayments of investments for the three months ended June 30, 2023 totaled $40.8 million. For the nine months ended June 30, 2023, PSSL invested $138.3 million (including $121.2 million purchased from the Company) in 17 new and 22 existing portfolio companies at a weighted average yield on debt investments of 11.8%. For the nine months ended June 30, 2023 sales and repayments of investments totaled $78.8 million.</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months ended June 30, 2022, PSSL invested $31.5 million (including $16.8 million purchased from the Company) in four new and seven existing portfolio companies at a weighted average yield on debt investments of 8.8%. For the three months ended June 30, 2022 sales and repayments of investments totaled $13.5 million. For the nine months ended June 30, 2022, PSSL invested $228.6 million (including $225.2 million purchased from the Company) in 25 new and 12 existing portfolio companies at a weighted average yield on debt investments of 7.9%. For the nine months ended June 30, 2022, sales and repayments of investments totaled $69.2 million.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ectPr>
          <w:pgSz w:w="11900" w:h="16838" w:orient="portrait"/>
          <w:cols w:equalWidth="0" w:num="1">
            <w:col w:w="11240"/>
          </w:cols>
          <w:pgMar w:left="320" w:top="112" w:right="339" w:bottom="0" w:gutter="0" w:footer="0" w:header="0"/>
        </w:sectPr>
      </w:pPr>
    </w:p>
    <w:bookmarkStart w:id="5" w:name="page6"/>
    <w:bookmarkEnd w:id="5"/>
    <w:p>
      <w:pPr>
        <w:ind w:right="2140"/>
        <w:spacing w:after="0" w:line="435" w:lineRule="auto"/>
        <w:rPr>
          <w:sz w:val="20"/>
          <w:szCs w:val="20"/>
          <w:color w:val="auto"/>
        </w:rPr>
      </w:pPr>
      <w:r>
        <w:rPr>
          <w:rFonts w:ascii="Arial" w:cs="Arial" w:eastAsia="Arial" w:hAnsi="Arial"/>
          <w:sz w:val="22"/>
          <w:szCs w:val="22"/>
          <w:color w:val="auto"/>
        </w:rPr>
        <w:t xml:space="preserve">Set forth below are the results of operations for the three and nine months ended June 30, 2023 and 2022. </w:t>
      </w:r>
      <w:r>
        <w:rPr>
          <w:rFonts w:ascii="Arial" w:cs="Arial" w:eastAsia="Arial" w:hAnsi="Arial"/>
          <w:sz w:val="22"/>
          <w:szCs w:val="22"/>
          <w:b w:val="1"/>
          <w:bCs w:val="1"/>
          <w:color w:val="auto"/>
        </w:rPr>
        <w:t>Investment Income</w:t>
      </w:r>
    </w:p>
    <w:p>
      <w:pPr>
        <w:spacing w:after="0" w:line="2"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For the three and nine months ended June 30, 2023, investment income was $37.7 million and $103.6 million, respectively, which was attributable to $30.4 million and $88.6 million from first lien secured debt and $7.3 million and $15.0 million from other investments, respectively. For the three and nine months ended June 30, 2022, investment income was $25.7 million and $76.7 million, respectively, which was attributable to $21.1 million and $64.0 million from first lien secured debt and $4.6 million and $12.7 million from other investments, respectively. The increase in investment income compared to the same periods in the prior year was primarily due to the increase in the cost yield of our debt portfolio and a dividend related to our equity investment in Dominion Voting Systems.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100"/>
        <w:spacing w:after="0" w:line="274" w:lineRule="auto"/>
        <w:rPr>
          <w:sz w:val="20"/>
          <w:szCs w:val="20"/>
          <w:color w:val="auto"/>
        </w:rPr>
      </w:pPr>
      <w:r>
        <w:rPr>
          <w:rFonts w:ascii="Arial" w:cs="Arial" w:eastAsia="Arial" w:hAnsi="Arial"/>
          <w:sz w:val="19"/>
          <w:szCs w:val="19"/>
          <w:color w:val="auto"/>
        </w:rPr>
        <w:t>For the three and nine months ended June 30, 2023, expenses totaled $19.2 million and $54.6 million, respectively and were comprised of: $10.0 million and $29.6 million of debt related interest and expenses, $2.8 million and $8.6 million of base management fees, $4.6 million and $12.2 million of performance-based incentive fees, $1.6 million and $3.3 million of general and administrative expenses and $0.2 million and $0.8 million of taxes. For the three and nine months ended June 30, 2022, expenses totaled $13.9 million and $40.8 million, respectively, and were comprised of: $7.4 and $20.7 million of debt related interest and expenses, $3.1 million and $8.9 million of base management fees, $2.6 million and $8.5 million of performance-based incentive fees, $0.8 million and $2.4 million of administrative expenses and $0.1 million and $0.3 million of taxes. The increase in expenses compared to the same periods in the prior year was primarily due to the increase in financing costs of our debt liabilities and an increase in performance-based incentive fees as a result of higher pre-incentive fee net investment income.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For the three and nine months ended June 30, 2023, net investment income totaled $18.5 million and $49.0 million, or $0.36 and $1.02 per share, respectively. For the three and nine months ended June 30, 2022, net investment income totaled $11.8 million and $35.9 million, or $0.29 and $0.90 per share, respectively. The increase in net investment income was primarily due to an increase in investment income partially offset by an increase in expenses compared to the same period in the prior year.</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For the three and nine months ended June 30, 2023, net realized gains (losses) totaled $(6.1) million and $(13.8) million, respectively. For the three and nine months ended June 30, 2022, net realized gains (losses) totaled $0.7 million and $(11.6) million, respectively. The change in net realized gains (losses) compared to the same periods in the prior year was primarily due to changes in the market conditions of our investments and the values at which they were realized.</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Debt</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For the three and nine months ended June 30, 2023, we reported net change in unrealized appreciation (depreciation) on investments of $(1.1) million and $(22.0) million, respectively. For the three and nine months ended June 30, 2022, we reported net change in unrealized appreciation (depreciation) on investments of $(17.7) million and $(3.7) million, respectively. As of June 30, 2023 and September 30, 2022, our net unrealized appreciation (depreciation) on investments totaled $(35.2) million and $(13.1) million, respectively. The net change in unrealized appreciation (depreciation) on our investments compared to the same period in the prior year was primarily due to the operating performance of the portfolio companies within our portfolio and changes in the capital market conditions of our investments.</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 the three and nine months ended June 30, 2023, our Credit Facility and the 2023 Notes had a net change in unrealized appreciation (depreciation) of $5.8 million and $4.8 million, respectively. For the three and nine months ended June 30, 2022, the Credit Facility and the 2023 Notes had a net change in unrealized appreciation (depreciation) of less than $(0.1) million and $(1.3) million, respectively. As of June 30, 2023 and September 30, 2022, the net unrealized appreciation (depreciation) on the Credit Facility and the 2023 Notes totaled $2.6 million and $(1.5) million, respectively. The net change in net unrealized appreciation or depreciation compared to the same periods in the prior year was primarily due to changes in the capital markets.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(Decrease) in Net Assets Resulting from Operations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For the three and nine months ended June 30, 2023, net increase (decrease) in net assets resulting from operations totaled $5.6 million and $11.2 million, or $0.11 and $0.23 per share, respectively. For the three and nine months ended June 30, 2022, net increase (decrease) in net assets resulting from operations totaled $(5.1) million and $16.6 million, or $(0.12) and $0.42 per share, respectively. The increase or decrease from operations compared to the same periods in the prior year was primarily due to operating performance of our portfolio and changes in capital market conditions of our investments along with change in cost yield of our debt portfolio and costs of financing.</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fees and other operating expenses we incur. We have</w:t>
      </w:r>
    </w:p>
    <w:p>
      <w:pPr>
        <w:sectPr>
          <w:pgSz w:w="11900" w:h="16838" w:orient="portrait"/>
          <w:cols w:equalWidth="0" w:num="1">
            <w:col w:w="11240"/>
          </w:cols>
          <w:pgMar w:left="320" w:top="118" w:right="339" w:bottom="0" w:gutter="0" w:footer="0" w:header="0"/>
        </w:sectPr>
      </w:pPr>
    </w:p>
    <w:bookmarkStart w:id="6" w:name="page7"/>
    <w:bookmarkEnd w:id="6"/>
    <w:p>
      <w:pPr>
        <w:jc w:val="both"/>
        <w:spacing w:after="0" w:line="251" w:lineRule="auto"/>
        <w:rPr>
          <w:sz w:val="20"/>
          <w:szCs w:val="20"/>
          <w:color w:val="auto"/>
        </w:rPr>
      </w:pPr>
      <w:r>
        <w:rPr>
          <w:rFonts w:ascii="Arial" w:cs="Arial" w:eastAsia="Arial" w:hAnsi="Arial"/>
          <w:sz w:val="22"/>
          <w:szCs w:val="22"/>
          <w:color w:val="auto"/>
        </w:rPr>
        <w:t>used, and expect to continue to use, our debt capital, proceeds from our portfolio and proceeds from public and private offerings of securities to finance our investment objectives and operations.</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June 30, 2023 and September 30, 2022, we had $64.4 million and $169.7 million in outstanding borrowings under the Credit Facility, respectively, and the weighted average interest rate, exclusive of the fee on undrawn commitments, was 7.5% and 4.9%, respectively. As of June 30, 2023 and September 30, 2022, we had $301.6 million and $196.3 million of unused borrowing capacity under the Credit Facility, as applicable, respectively, subject to leverage and borrowing base restrictions.</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June 30, 2023 and September 30, 2022, we had cash equivalents of $59.1 million and $47.9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the nine months ended June 30, 2023, our operating activities provided cash of $65.4 million and our financing activities used cash of $54.2 million. Our operating activities provided cash primarily from our investment activities and our financing activities used cash primarily to fund repayments under our Credit Facility and principal repayment of our 2023 Notes, partially offset by proceeds from our equity offering.</w:t>
      </w:r>
    </w:p>
    <w:p>
      <w:pPr>
        <w:spacing w:after="0" w:line="185"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For the nine months ended June 30, 2022, our operating activities used cash of $111.6 million and our financing activities provided cash of $101.7 million. Our operating activities used cash primarily to fund our investment activities and our financing activities provided cash primarily from the issuance of $85 million of our 2026 Add-on Notes, borrowings under our Credit Facility and proceeds from the issuance of common stock.</w:t>
      </w:r>
    </w:p>
    <w:p>
      <w:pPr>
        <w:spacing w:after="0" w:line="185"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During the three months ended June 30, 2023, we issued 5,805,484 shares of common stock through the ATM Program at an average price of $11.03 per share, raising $64.1 million of net proceeds after commissions to the sales agents and inclusive of proceeds from the Investment Adviser to ensure that all shares were sold at or above NAV. In connection with the share issuance, we expensed $0.5 million of deferred offering costs incurred related to establishing the ATM Program to additional paid in capital.</w:t>
      </w:r>
    </w:p>
    <w:p>
      <w:pPr>
        <w:spacing w:after="0" w:line="187" w:lineRule="exact"/>
        <w:rPr>
          <w:sz w:val="20"/>
          <w:szCs w:val="20"/>
          <w:color w:val="auto"/>
        </w:rPr>
      </w:pPr>
    </w:p>
    <w:p>
      <w:pPr>
        <w:ind w:right="380"/>
        <w:spacing w:after="0" w:line="297" w:lineRule="auto"/>
        <w:rPr>
          <w:sz w:val="20"/>
          <w:szCs w:val="20"/>
          <w:color w:val="auto"/>
        </w:rPr>
      </w:pPr>
      <w:r>
        <w:rPr>
          <w:rFonts w:ascii="Arial" w:cs="Arial" w:eastAsia="Arial" w:hAnsi="Arial"/>
          <w:sz w:val="19"/>
          <w:szCs w:val="19"/>
          <w:color w:val="auto"/>
        </w:rPr>
        <w:t>During the nine months ended June 30, 2023, we issued 5,891,661 shares of common stock through the ATM Program at an average price of $11.04 per share, raising $65.1 million of net proceeds after commissions to the sales agents and inclusive of proceeds from the Investment Adviser to ensure that all shares were sold at or above NAV.</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Subsequent to June 30, 2023, we issued 3,197,403 shares of common stock through the ATM Program that were sold prior to the quarter end at an average price of $11.01 per share, raising $35.2 million of net proceeds after commissions to the sales agents and inclusive of proceeds from the Investment Adviser to ensure that all shares were sold at or above NAV.</w:t>
      </w:r>
    </w:p>
    <w:p>
      <w:pPr>
        <w:spacing w:after="0" w:line="134" w:lineRule="exact"/>
        <w:rPr>
          <w:sz w:val="20"/>
          <w:szCs w:val="20"/>
          <w:color w:val="auto"/>
        </w:rPr>
      </w:pPr>
    </w:p>
    <w:p>
      <w:pPr>
        <w:ind w:right="520"/>
        <w:spacing w:after="0" w:line="328" w:lineRule="auto"/>
        <w:rPr>
          <w:sz w:val="20"/>
          <w:szCs w:val="20"/>
          <w:color w:val="auto"/>
        </w:rPr>
      </w:pPr>
      <w:r>
        <w:rPr>
          <w:rFonts w:ascii="Arial" w:cs="Arial" w:eastAsia="Arial" w:hAnsi="Arial"/>
          <w:sz w:val="19"/>
          <w:szCs w:val="19"/>
          <w:color w:val="auto"/>
        </w:rPr>
        <w:t>On July 31, 2023, the Credit Facility's commitment was increased by $20 million due to the inclusion of a new lender to the facility. The additional commitment increases the Credit Facility's total commitment amount to $386 million.</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During the three and nine months ended June 30, 2023, we declared distributions of $0.3025 and $0.8775 per share for total distributions of $15.4 million and $42.4 million, respectively. For the three and nine months ended June 30, 2022, we declared distributions of $0.285 and $0.855 per share for total distributions of $11.8 million and $34.1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makes available on its website its Quarterly Report on Form 10-Q filed with the SEC, and stockholders may find such report on its website at www.pennantpark.com.</w:t>
      </w:r>
    </w:p>
    <w:p>
      <w:pPr>
        <w:spacing w:after="0" w:line="182"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PENNANTPARK FLOATING RATE CAPITAL LTD. AND SUBSIDIARIES CONSOLIDATED STATEMENTS OF ASSETS AND LIABILITIES (in thousands, except per share data)</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52"/>
              <w:spacing w:after="0"/>
              <w:rPr>
                <w:sz w:val="20"/>
                <w:szCs w:val="20"/>
                <w:color w:val="auto"/>
              </w:rPr>
            </w:pPr>
            <w:r>
              <w:rPr>
                <w:rFonts w:ascii="Arial" w:cs="Arial" w:eastAsia="Arial" w:hAnsi="Arial"/>
                <w:sz w:val="22"/>
                <w:szCs w:val="22"/>
                <w:b w:val="1"/>
                <w:bCs w:val="1"/>
                <w:color w:val="auto"/>
                <w:w w:val="88"/>
              </w:rPr>
              <w:t>June 30, 2023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22"/>
                <w:szCs w:val="22"/>
                <w:b w:val="1"/>
                <w:bCs w:val="1"/>
                <w:color w:val="auto"/>
                <w:w w:val="86"/>
              </w:rPr>
              <w:t>September 30,</w:t>
            </w:r>
          </w:p>
        </w:tc>
      </w:tr>
      <w:tr>
        <w:trPr>
          <w:trHeight w:val="280"/>
        </w:trPr>
        <w:tc>
          <w:tcPr>
            <w:tcW w:w="6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b w:val="1"/>
                <w:bCs w:val="1"/>
                <w:color w:val="auto"/>
                <w:w w:val="98"/>
              </w:rPr>
              <w:t>(Unaudited)</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b w:val="1"/>
                <w:bCs w:val="1"/>
                <w:color w:val="auto"/>
              </w:rPr>
              <w:t>2022</w:t>
            </w:r>
          </w:p>
        </w:tc>
      </w:tr>
      <w:tr>
        <w:trPr>
          <w:trHeight w:val="259"/>
        </w:trPr>
        <w:tc>
          <w:tcPr>
            <w:tcW w:w="640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3"/>
        </w:trPr>
        <w:tc>
          <w:tcPr>
            <w:tcW w:w="6400" w:type="dxa"/>
            <w:vAlign w:val="bottom"/>
          </w:tcPr>
          <w:p>
            <w:pPr>
              <w:ind w:left="200"/>
              <w:spacing w:after="0" w:line="243" w:lineRule="exact"/>
              <w:rPr>
                <w:sz w:val="20"/>
                <w:szCs w:val="20"/>
                <w:color w:val="auto"/>
              </w:rPr>
            </w:pPr>
            <w:r>
              <w:rPr>
                <w:rFonts w:ascii="Arial" w:cs="Arial" w:eastAsia="Arial" w:hAnsi="Arial"/>
                <w:sz w:val="22"/>
                <w:szCs w:val="22"/>
                <w:color w:val="auto"/>
                <w:w w:val="90"/>
              </w:rPr>
              <w:t>Non-controlled, non-affiliated investments (amortized cost— $816,166</w:t>
            </w:r>
          </w:p>
        </w:tc>
        <w:tc>
          <w:tcPr>
            <w:tcW w:w="1440" w:type="dxa"/>
            <w:vAlign w:val="bottom"/>
            <w:gridSpan w:val="2"/>
          </w:tcPr>
          <w:p>
            <w:pPr>
              <w:jc w:val="right"/>
              <w:ind w:right="1080"/>
              <w:spacing w:after="0" w:line="243" w:lineRule="exact"/>
              <w:rPr>
                <w:sz w:val="20"/>
                <w:szCs w:val="20"/>
                <w:color w:val="auto"/>
              </w:rPr>
            </w:pPr>
            <w:r>
              <w:rPr>
                <w:rFonts w:ascii="Arial" w:cs="Arial" w:eastAsia="Arial" w:hAnsi="Arial"/>
                <w:sz w:val="22"/>
                <w:szCs w:val="22"/>
                <w:color w:val="auto"/>
                <w:w w:val="92"/>
              </w:rPr>
              <w:t>and</w:t>
            </w: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6400" w:type="dxa"/>
            <w:vAlign w:val="bottom"/>
          </w:tcPr>
          <w:p>
            <w:pPr>
              <w:ind w:left="200"/>
              <w:spacing w:after="0"/>
              <w:rPr>
                <w:sz w:val="20"/>
                <w:szCs w:val="20"/>
                <w:color w:val="auto"/>
              </w:rPr>
            </w:pPr>
            <w:r>
              <w:rPr>
                <w:rFonts w:ascii="Arial" w:cs="Arial" w:eastAsia="Arial" w:hAnsi="Arial"/>
                <w:sz w:val="22"/>
                <w:szCs w:val="22"/>
                <w:color w:val="auto"/>
              </w:rPr>
              <w:t>$882,570, respectively)</w:t>
            </w:r>
          </w:p>
        </w:tc>
        <w:tc>
          <w:tcPr>
            <w:tcW w:w="144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1440" w:type="dxa"/>
            <w:vAlign w:val="bottom"/>
          </w:tcPr>
          <w:p>
            <w:pPr>
              <w:jc w:val="right"/>
              <w:spacing w:after="0"/>
              <w:rPr>
                <w:sz w:val="20"/>
                <w:szCs w:val="20"/>
                <w:color w:val="auto"/>
              </w:rPr>
            </w:pPr>
            <w:r>
              <w:rPr>
                <w:rFonts w:ascii="Arial" w:cs="Arial" w:eastAsia="Arial" w:hAnsi="Arial"/>
                <w:sz w:val="22"/>
                <w:szCs w:val="22"/>
                <w:color w:val="auto"/>
              </w:rPr>
              <w:t>814,608</w:t>
            </w:r>
          </w:p>
        </w:tc>
        <w:tc>
          <w:tcPr>
            <w:tcW w:w="3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480" w:type="dxa"/>
            <w:vAlign w:val="bottom"/>
          </w:tcPr>
          <w:p>
            <w:pPr>
              <w:jc w:val="right"/>
              <w:spacing w:after="0"/>
              <w:rPr>
                <w:sz w:val="20"/>
                <w:szCs w:val="20"/>
                <w:color w:val="auto"/>
              </w:rPr>
            </w:pPr>
            <w:r>
              <w:rPr>
                <w:rFonts w:ascii="Arial" w:cs="Arial" w:eastAsia="Arial" w:hAnsi="Arial"/>
                <w:sz w:val="22"/>
                <w:szCs w:val="22"/>
                <w:color w:val="auto"/>
              </w:rPr>
              <w:t>893,249</w:t>
            </w:r>
          </w:p>
        </w:tc>
      </w:tr>
      <w:tr>
        <w:trPr>
          <w:trHeight w:val="243"/>
        </w:trPr>
        <w:tc>
          <w:tcPr>
            <w:tcW w:w="784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Controlled, affiliated investments (amortized cost— $324,267 and $294,787,</w:t>
            </w: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4"/>
        </w:trPr>
        <w:tc>
          <w:tcPr>
            <w:tcW w:w="6400" w:type="dxa"/>
            <w:vAlign w:val="bottom"/>
          </w:tcPr>
          <w:p>
            <w:pPr>
              <w:ind w:left="200"/>
              <w:spacing w:after="0"/>
              <w:rPr>
                <w:sz w:val="20"/>
                <w:szCs w:val="20"/>
                <w:color w:val="auto"/>
              </w:rPr>
            </w:pPr>
            <w:r>
              <w:rPr>
                <w:rFonts w:ascii="Arial" w:cs="Arial" w:eastAsia="Arial" w:hAnsi="Arial"/>
                <w:sz w:val="22"/>
                <w:szCs w:val="22"/>
                <w:color w:val="auto"/>
              </w:rPr>
              <w:t>respectively)</w:t>
            </w:r>
          </w:p>
        </w:tc>
        <w:tc>
          <w:tcPr>
            <w:tcW w:w="13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290,657</w:t>
            </w:r>
          </w:p>
        </w:tc>
        <w:tc>
          <w:tcPr>
            <w:tcW w:w="2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271,005</w:t>
            </w:r>
          </w:p>
        </w:tc>
      </w:tr>
      <w:tr>
        <w:trPr>
          <w:trHeight w:val="271"/>
        </w:trPr>
        <w:tc>
          <w:tcPr>
            <w:tcW w:w="6400" w:type="dxa"/>
            <w:vAlign w:val="bottom"/>
          </w:tcPr>
          <w:p>
            <w:pPr>
              <w:ind w:left="200"/>
              <w:spacing w:after="0"/>
              <w:rPr>
                <w:sz w:val="20"/>
                <w:szCs w:val="20"/>
                <w:color w:val="auto"/>
              </w:rPr>
            </w:pPr>
            <w:r>
              <w:rPr>
                <w:rFonts w:ascii="Arial" w:cs="Arial" w:eastAsia="Arial" w:hAnsi="Arial"/>
                <w:sz w:val="22"/>
                <w:szCs w:val="22"/>
                <w:color w:val="auto"/>
                <w:w w:val="93"/>
              </w:rPr>
              <w:t>Total investments (cost— $1,140,433 and $1,177,357, respectively)</w:t>
            </w: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1,105,265</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1,164,254</w:t>
            </w:r>
          </w:p>
        </w:tc>
      </w:tr>
    </w:tbl>
    <w:p>
      <w:pPr>
        <w:sectPr>
          <w:pgSz w:w="11900" w:h="16838" w:orient="portrait"/>
          <w:cols w:equalWidth="0" w:num="1">
            <w:col w:w="11240"/>
          </w:cols>
          <w:pgMar w:left="320" w:top="118"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40" w:type="dxa"/>
            <w:vAlign w:val="bottom"/>
            <w:gridSpan w:val="4"/>
          </w:tcPr>
          <w:p>
            <w:pPr>
              <w:spacing w:after="0"/>
              <w:rPr>
                <w:sz w:val="20"/>
                <w:szCs w:val="20"/>
                <w:color w:val="auto"/>
              </w:rPr>
            </w:pPr>
            <w:r>
              <w:rPr>
                <w:rFonts w:ascii="Arial" w:cs="Arial" w:eastAsia="Arial" w:hAnsi="Arial"/>
                <w:sz w:val="22"/>
                <w:szCs w:val="22"/>
                <w:color w:val="auto"/>
                <w:w w:val="90"/>
              </w:rPr>
              <w:t>Cash and cash equivalents (cost— $59,092 and $47,916, respectively)</w:t>
            </w: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59,092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47,880</w:t>
            </w:r>
          </w:p>
        </w:tc>
        <w:tc>
          <w:tcPr>
            <w:tcW w:w="80" w:type="dxa"/>
            <w:vAlign w:val="bottom"/>
          </w:tcPr>
          <w:p>
            <w:pPr>
              <w:spacing w:after="0"/>
              <w:rPr>
                <w:sz w:val="23"/>
                <w:szCs w:val="23"/>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22"/>
                <w:szCs w:val="22"/>
                <w:color w:val="auto"/>
              </w:rPr>
              <w:t>Interest receivable</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10,005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7,543</w:t>
            </w:r>
          </w:p>
        </w:tc>
        <w:tc>
          <w:tcPr>
            <w:tcW w:w="80" w:type="dxa"/>
            <w:vAlign w:val="bottom"/>
          </w:tcPr>
          <w:p>
            <w:pPr>
              <w:spacing w:after="0"/>
              <w:rPr>
                <w:sz w:val="23"/>
                <w:szCs w:val="23"/>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7,352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3,441</w:t>
            </w:r>
          </w:p>
        </w:tc>
        <w:tc>
          <w:tcPr>
            <w:tcW w:w="80" w:type="dxa"/>
            <w:vAlign w:val="bottom"/>
          </w:tcPr>
          <w:p>
            <w:pPr>
              <w:spacing w:after="0"/>
              <w:rPr>
                <w:sz w:val="23"/>
                <w:szCs w:val="23"/>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22"/>
                <w:szCs w:val="22"/>
                <w:color w:val="auto"/>
              </w:rPr>
              <w:t>Distributions receivable</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692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8"/>
        </w:trPr>
        <w:tc>
          <w:tcPr>
            <w:tcW w:w="456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817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748</w:t>
            </w:r>
          </w:p>
        </w:tc>
        <w:tc>
          <w:tcPr>
            <w:tcW w:w="80" w:type="dxa"/>
            <w:vAlign w:val="bottom"/>
          </w:tcPr>
          <w:p>
            <w:pPr>
              <w:spacing w:after="0"/>
              <w:rPr>
                <w:sz w:val="24"/>
                <w:szCs w:val="24"/>
                <w:color w:val="auto"/>
              </w:rPr>
            </w:pPr>
          </w:p>
        </w:tc>
      </w:tr>
      <w:tr>
        <w:trPr>
          <w:trHeight w:val="264"/>
        </w:trPr>
        <w:tc>
          <w:tcPr>
            <w:tcW w:w="456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1,183,223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1,223,866</w:t>
            </w:r>
          </w:p>
        </w:tc>
        <w:tc>
          <w:tcPr>
            <w:tcW w:w="80" w:type="dxa"/>
            <w:vAlign w:val="bottom"/>
          </w:tcPr>
          <w:p>
            <w:pPr>
              <w:spacing w:after="0"/>
              <w:rPr>
                <w:sz w:val="22"/>
                <w:szCs w:val="22"/>
                <w:color w:val="auto"/>
              </w:rPr>
            </w:pPr>
          </w:p>
        </w:tc>
      </w:tr>
      <w:tr>
        <w:trPr>
          <w:trHeight w:val="256"/>
        </w:trPr>
        <w:tc>
          <w:tcPr>
            <w:tcW w:w="456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22"/>
                <w:szCs w:val="22"/>
                <w:color w:val="auto"/>
              </w:rPr>
              <w:t>Distributions payable</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5,499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4,308</w:t>
            </w:r>
          </w:p>
        </w:tc>
        <w:tc>
          <w:tcPr>
            <w:tcW w:w="80" w:type="dxa"/>
            <w:vAlign w:val="bottom"/>
          </w:tcPr>
          <w:p>
            <w:pPr>
              <w:spacing w:after="0"/>
              <w:rPr>
                <w:sz w:val="23"/>
                <w:szCs w:val="23"/>
                <w:color w:val="auto"/>
              </w:rPr>
            </w:pPr>
          </w:p>
        </w:tc>
      </w:tr>
      <w:tr>
        <w:trPr>
          <w:trHeight w:val="270"/>
        </w:trPr>
        <w:tc>
          <w:tcPr>
            <w:tcW w:w="7700" w:type="dxa"/>
            <w:vAlign w:val="bottom"/>
            <w:gridSpan w:val="6"/>
          </w:tcPr>
          <w:p>
            <w:pPr>
              <w:spacing w:after="0"/>
              <w:rPr>
                <w:sz w:val="20"/>
                <w:szCs w:val="20"/>
                <w:color w:val="auto"/>
              </w:rPr>
            </w:pPr>
            <w:r>
              <w:rPr>
                <w:rFonts w:ascii="Arial" w:cs="Arial" w:eastAsia="Arial" w:hAnsi="Arial"/>
                <w:sz w:val="22"/>
                <w:szCs w:val="22"/>
                <w:color w:val="auto"/>
                <w:w w:val="98"/>
              </w:rPr>
              <w:t>Credit Facility payable, at fair value (cost— $64,400 and $169,654, respectively)</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63,917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167,563</w:t>
            </w:r>
          </w:p>
        </w:tc>
        <w:tc>
          <w:tcPr>
            <w:tcW w:w="80" w:type="dxa"/>
            <w:vAlign w:val="bottom"/>
          </w:tcPr>
          <w:p>
            <w:pPr>
              <w:spacing w:after="0"/>
              <w:rPr>
                <w:sz w:val="23"/>
                <w:szCs w:val="23"/>
                <w:color w:val="auto"/>
              </w:rPr>
            </w:pPr>
          </w:p>
        </w:tc>
      </w:tr>
      <w:tr>
        <w:trPr>
          <w:trHeight w:val="270"/>
        </w:trPr>
        <w:tc>
          <w:tcPr>
            <w:tcW w:w="6720" w:type="dxa"/>
            <w:vAlign w:val="bottom"/>
            <w:gridSpan w:val="5"/>
          </w:tcPr>
          <w:p>
            <w:pPr>
              <w:spacing w:after="0"/>
              <w:rPr>
                <w:sz w:val="20"/>
                <w:szCs w:val="20"/>
                <w:color w:val="auto"/>
              </w:rPr>
            </w:pPr>
            <w:r>
              <w:rPr>
                <w:rFonts w:ascii="Arial" w:cs="Arial" w:eastAsia="Arial" w:hAnsi="Arial"/>
                <w:sz w:val="22"/>
                <w:szCs w:val="22"/>
                <w:color w:val="auto"/>
                <w:w w:val="91"/>
              </w:rPr>
              <w:t>2023 Notes payable, at fair value (par—$76,219 and $97,006, respectively)</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79,260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96,812</w:t>
            </w:r>
          </w:p>
        </w:tc>
        <w:tc>
          <w:tcPr>
            <w:tcW w:w="80" w:type="dxa"/>
            <w:vAlign w:val="bottom"/>
          </w:tcPr>
          <w:p>
            <w:pPr>
              <w:spacing w:after="0"/>
              <w:rPr>
                <w:sz w:val="23"/>
                <w:szCs w:val="23"/>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22"/>
                <w:szCs w:val="22"/>
                <w:color w:val="auto"/>
              </w:rPr>
              <w:t>2026 Notes payable, net (par—$185,000)</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182,860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182,276</w:t>
            </w:r>
          </w:p>
        </w:tc>
        <w:tc>
          <w:tcPr>
            <w:tcW w:w="80" w:type="dxa"/>
            <w:vAlign w:val="bottom"/>
          </w:tcPr>
          <w:p>
            <w:pPr>
              <w:spacing w:after="0"/>
              <w:rPr>
                <w:sz w:val="23"/>
                <w:szCs w:val="23"/>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22"/>
                <w:szCs w:val="22"/>
                <w:color w:val="auto"/>
              </w:rPr>
              <w:t>2031 Asset-Backed Debt, net (par—$228,000)</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226,601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226,128</w:t>
            </w:r>
          </w:p>
        </w:tc>
        <w:tc>
          <w:tcPr>
            <w:tcW w:w="80" w:type="dxa"/>
            <w:vAlign w:val="bottom"/>
          </w:tcPr>
          <w:p>
            <w:pPr>
              <w:spacing w:after="0"/>
              <w:rPr>
                <w:sz w:val="23"/>
                <w:szCs w:val="23"/>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6,138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8,163</w:t>
            </w:r>
          </w:p>
        </w:tc>
        <w:tc>
          <w:tcPr>
            <w:tcW w:w="80" w:type="dxa"/>
            <w:vAlign w:val="bottom"/>
          </w:tcPr>
          <w:p>
            <w:pPr>
              <w:spacing w:after="0"/>
              <w:rPr>
                <w:sz w:val="23"/>
                <w:szCs w:val="23"/>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22"/>
                <w:szCs w:val="22"/>
                <w:color w:val="auto"/>
              </w:rPr>
              <w:t>Base management fee payable</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2,840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3,027</w:t>
            </w:r>
          </w:p>
        </w:tc>
        <w:tc>
          <w:tcPr>
            <w:tcW w:w="80" w:type="dxa"/>
            <w:vAlign w:val="bottom"/>
          </w:tcPr>
          <w:p>
            <w:pPr>
              <w:spacing w:after="0"/>
              <w:rPr>
                <w:sz w:val="23"/>
                <w:szCs w:val="23"/>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22"/>
                <w:szCs w:val="22"/>
                <w:color w:val="auto"/>
              </w:rPr>
              <w:t>Incentive fee payable</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4,625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3,164</w:t>
            </w:r>
          </w:p>
        </w:tc>
        <w:tc>
          <w:tcPr>
            <w:tcW w:w="80" w:type="dxa"/>
            <w:vAlign w:val="bottom"/>
          </w:tcPr>
          <w:p>
            <w:pPr>
              <w:spacing w:after="0"/>
              <w:rPr>
                <w:sz w:val="23"/>
                <w:szCs w:val="23"/>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22"/>
                <w:szCs w:val="22"/>
                <w:color w:val="auto"/>
              </w:rPr>
              <w:t>Deferred tax liability</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1,640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4,568</w:t>
            </w:r>
          </w:p>
        </w:tc>
        <w:tc>
          <w:tcPr>
            <w:tcW w:w="80" w:type="dxa"/>
            <w:vAlign w:val="bottom"/>
          </w:tcPr>
          <w:p>
            <w:pPr>
              <w:spacing w:after="0"/>
              <w:rPr>
                <w:sz w:val="23"/>
                <w:szCs w:val="23"/>
                <w:color w:val="auto"/>
              </w:rPr>
            </w:pPr>
          </w:p>
        </w:tc>
      </w:tr>
      <w:tr>
        <w:trPr>
          <w:trHeight w:val="278"/>
        </w:trPr>
        <w:tc>
          <w:tcPr>
            <w:tcW w:w="4560" w:type="dxa"/>
            <w:vAlign w:val="bottom"/>
          </w:tcPr>
          <w:p>
            <w:pPr>
              <w:spacing w:after="0"/>
              <w:rPr>
                <w:sz w:val="20"/>
                <w:szCs w:val="20"/>
                <w:color w:val="auto"/>
              </w:rPr>
            </w:pPr>
            <w:r>
              <w:rPr>
                <w:rFonts w:ascii="Arial" w:cs="Arial" w:eastAsia="Arial" w:hAnsi="Arial"/>
                <w:sz w:val="22"/>
                <w:szCs w:val="22"/>
                <w:color w:val="auto"/>
              </w:rPr>
              <w:t>Accounts payable and accrued expenses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1,416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765</w:t>
            </w:r>
          </w:p>
        </w:tc>
        <w:tc>
          <w:tcPr>
            <w:tcW w:w="80" w:type="dxa"/>
            <w:vAlign w:val="bottom"/>
          </w:tcPr>
          <w:p>
            <w:pPr>
              <w:spacing w:after="0"/>
              <w:rPr>
                <w:sz w:val="24"/>
                <w:szCs w:val="24"/>
                <w:color w:val="auto"/>
              </w:rPr>
            </w:pPr>
          </w:p>
        </w:tc>
      </w:tr>
      <w:tr>
        <w:trPr>
          <w:trHeight w:val="263"/>
        </w:trPr>
        <w:tc>
          <w:tcPr>
            <w:tcW w:w="456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574,796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696,774</w:t>
            </w:r>
          </w:p>
        </w:tc>
        <w:tc>
          <w:tcPr>
            <w:tcW w:w="80" w:type="dxa"/>
            <w:vAlign w:val="bottom"/>
          </w:tcPr>
          <w:p>
            <w:pPr>
              <w:spacing w:after="0"/>
              <w:rPr>
                <w:sz w:val="22"/>
                <w:szCs w:val="22"/>
                <w:color w:val="auto"/>
              </w:rPr>
            </w:pPr>
          </w:p>
        </w:tc>
      </w:tr>
      <w:tr>
        <w:trPr>
          <w:trHeight w:val="526"/>
        </w:trPr>
        <w:tc>
          <w:tcPr>
            <w:tcW w:w="456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0"/>
        </w:trPr>
        <w:tc>
          <w:tcPr>
            <w:tcW w:w="7700" w:type="dxa"/>
            <w:vAlign w:val="bottom"/>
            <w:gridSpan w:val="6"/>
          </w:tcPr>
          <w:p>
            <w:pPr>
              <w:spacing w:after="0"/>
              <w:rPr>
                <w:sz w:val="20"/>
                <w:szCs w:val="20"/>
                <w:color w:val="auto"/>
              </w:rPr>
            </w:pPr>
            <w:r>
              <w:rPr>
                <w:rFonts w:ascii="Arial" w:cs="Arial" w:eastAsia="Arial" w:hAnsi="Arial"/>
                <w:sz w:val="22"/>
                <w:szCs w:val="22"/>
                <w:color w:val="auto"/>
                <w:w w:val="89"/>
              </w:rPr>
              <w:t>Common stock, 55,537,299 and 45,345,638 shares issued and outstanding, respectively</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6240" w:type="dxa"/>
            <w:vAlign w:val="bottom"/>
            <w:gridSpan w:val="4"/>
          </w:tcPr>
          <w:p>
            <w:pPr>
              <w:ind w:left="120"/>
              <w:spacing w:after="0"/>
              <w:rPr>
                <w:sz w:val="20"/>
                <w:szCs w:val="20"/>
                <w:color w:val="auto"/>
              </w:rPr>
            </w:pPr>
            <w:r>
              <w:rPr>
                <w:rFonts w:ascii="Arial" w:cs="Arial" w:eastAsia="Arial" w:hAnsi="Arial"/>
                <w:sz w:val="22"/>
                <w:szCs w:val="22"/>
                <w:color w:val="auto"/>
                <w:w w:val="98"/>
              </w:rPr>
              <w:t>Par value $0.001 per share and 100,000,000 shares authorized</w:t>
            </w: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56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45</w:t>
            </w:r>
          </w:p>
        </w:tc>
        <w:tc>
          <w:tcPr>
            <w:tcW w:w="80" w:type="dxa"/>
            <w:vAlign w:val="bottom"/>
          </w:tcPr>
          <w:p>
            <w:pPr>
              <w:spacing w:after="0"/>
              <w:rPr>
                <w:sz w:val="23"/>
                <w:szCs w:val="23"/>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730,528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618,028</w:t>
            </w:r>
          </w:p>
        </w:tc>
        <w:tc>
          <w:tcPr>
            <w:tcW w:w="80" w:type="dxa"/>
            <w:vAlign w:val="bottom"/>
          </w:tcPr>
          <w:p>
            <w:pPr>
              <w:spacing w:after="0"/>
              <w:rPr>
                <w:sz w:val="23"/>
                <w:szCs w:val="23"/>
                <w:color w:val="auto"/>
              </w:rPr>
            </w:pPr>
          </w:p>
        </w:tc>
      </w:tr>
      <w:tr>
        <w:trPr>
          <w:trHeight w:val="278"/>
        </w:trPr>
        <w:tc>
          <w:tcPr>
            <w:tcW w:w="4560" w:type="dxa"/>
            <w:vAlign w:val="bottom"/>
          </w:tcPr>
          <w:p>
            <w:pPr>
              <w:spacing w:after="0"/>
              <w:rPr>
                <w:sz w:val="20"/>
                <w:szCs w:val="20"/>
                <w:color w:val="auto"/>
              </w:rPr>
            </w:pPr>
            <w:r>
              <w:rPr>
                <w:rFonts w:ascii="Arial" w:cs="Arial" w:eastAsia="Arial" w:hAnsi="Arial"/>
                <w:sz w:val="22"/>
                <w:szCs w:val="22"/>
                <w:color w:val="auto"/>
              </w:rPr>
              <w:t>Accumulated deficit</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22"/>
                <w:szCs w:val="22"/>
                <w:color w:val="auto"/>
              </w:rPr>
              <w:t>(122,157 )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(90,981 )</w:t>
            </w:r>
          </w:p>
        </w:tc>
      </w:tr>
      <w:tr>
        <w:trPr>
          <w:trHeight w:val="263"/>
        </w:trPr>
        <w:tc>
          <w:tcPr>
            <w:tcW w:w="456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22"/>
                <w:szCs w:val="22"/>
                <w:color w:val="auto"/>
                <w:w w:val="81"/>
              </w:rPr>
              <w:t>$</w:t>
            </w: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608,427</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527,092</w:t>
            </w:r>
          </w:p>
        </w:tc>
        <w:tc>
          <w:tcPr>
            <w:tcW w:w="80" w:type="dxa"/>
            <w:vAlign w:val="bottom"/>
          </w:tcPr>
          <w:p>
            <w:pPr>
              <w:spacing w:after="0"/>
              <w:rPr>
                <w:sz w:val="22"/>
                <w:szCs w:val="22"/>
                <w:color w:val="auto"/>
              </w:rPr>
            </w:pPr>
          </w:p>
        </w:tc>
      </w:tr>
      <w:tr>
        <w:trPr>
          <w:trHeight w:val="264"/>
        </w:trPr>
        <w:tc>
          <w:tcPr>
            <w:tcW w:w="456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2"/>
                <w:szCs w:val="22"/>
                <w:color w:val="auto"/>
                <w:w w:val="81"/>
              </w:rPr>
              <w:t>$</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1,183,223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1,223,866</w:t>
            </w:r>
          </w:p>
        </w:tc>
        <w:tc>
          <w:tcPr>
            <w:tcW w:w="80" w:type="dxa"/>
            <w:vAlign w:val="bottom"/>
          </w:tcPr>
          <w:p>
            <w:pPr>
              <w:spacing w:after="0"/>
              <w:rPr>
                <w:sz w:val="22"/>
                <w:szCs w:val="22"/>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456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2"/>
                <w:szCs w:val="22"/>
                <w:color w:val="auto"/>
                <w:w w:val="81"/>
              </w:rPr>
              <w:t>$</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10.96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11.62</w:t>
            </w:r>
          </w:p>
        </w:tc>
        <w:tc>
          <w:tcPr>
            <w:tcW w:w="80" w:type="dxa"/>
            <w:vAlign w:val="bottom"/>
          </w:tcPr>
          <w:p>
            <w:pPr>
              <w:spacing w:after="0"/>
              <w:rPr>
                <w:sz w:val="22"/>
                <w:szCs w:val="22"/>
                <w:color w:val="auto"/>
              </w:rPr>
            </w:pPr>
          </w:p>
        </w:tc>
      </w:tr>
      <w:tr>
        <w:trPr>
          <w:trHeight w:val="21"/>
        </w:trPr>
        <w:tc>
          <w:tcPr>
            <w:tcW w:w="602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25"/>
        </w:trPr>
        <w:tc>
          <w:tcPr>
            <w:tcW w:w="9520" w:type="dxa"/>
            <w:vAlign w:val="bottom"/>
            <w:gridSpan w:val="12"/>
          </w:tcPr>
          <w:p>
            <w:pPr>
              <w:jc w:val="center"/>
              <w:ind w:left="1572"/>
              <w:spacing w:after="0"/>
              <w:rPr>
                <w:sz w:val="20"/>
                <w:szCs w:val="20"/>
                <w:color w:val="auto"/>
              </w:rPr>
            </w:pPr>
            <w:r>
              <w:rPr>
                <w:rFonts w:ascii="Arial" w:cs="Arial" w:eastAsia="Arial" w:hAnsi="Arial"/>
                <w:sz w:val="22"/>
                <w:szCs w:val="22"/>
                <w:b w:val="1"/>
                <w:bCs w:val="1"/>
                <w:color w:val="auto"/>
                <w:w w:val="97"/>
              </w:rPr>
              <w:t>PENNANTPARK FLOATING RATE CAPITAL LTD. AND SUBSIDIARIES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0"/>
        </w:trPr>
        <w:tc>
          <w:tcPr>
            <w:tcW w:w="8160" w:type="dxa"/>
            <w:vAlign w:val="bottom"/>
            <w:gridSpan w:val="9"/>
          </w:tcPr>
          <w:p>
            <w:pPr>
              <w:jc w:val="center"/>
              <w:ind w:left="2932"/>
              <w:spacing w:after="0"/>
              <w:rPr>
                <w:sz w:val="20"/>
                <w:szCs w:val="20"/>
                <w:color w:val="auto"/>
              </w:rPr>
            </w:pPr>
            <w:r>
              <w:rPr>
                <w:rFonts w:ascii="Arial" w:cs="Arial" w:eastAsia="Arial" w:hAnsi="Arial"/>
                <w:sz w:val="22"/>
                <w:szCs w:val="22"/>
                <w:b w:val="1"/>
                <w:bCs w:val="1"/>
                <w:color w:val="auto"/>
                <w:w w:val="97"/>
              </w:rPr>
              <w:t>CONSOLIDATED STATEMENTS OF OPERATIONS</w:t>
            </w: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80"/>
        </w:trPr>
        <w:tc>
          <w:tcPr>
            <w:tcW w:w="7700" w:type="dxa"/>
            <w:vAlign w:val="bottom"/>
            <w:gridSpan w:val="6"/>
          </w:tcPr>
          <w:p>
            <w:pPr>
              <w:jc w:val="center"/>
              <w:ind w:left="3392"/>
              <w:spacing w:after="0"/>
              <w:rPr>
                <w:sz w:val="20"/>
                <w:szCs w:val="20"/>
                <w:color w:val="auto"/>
              </w:rPr>
            </w:pPr>
            <w:r>
              <w:rPr>
                <w:rFonts w:ascii="Arial" w:cs="Arial" w:eastAsia="Arial" w:hAnsi="Arial"/>
                <w:sz w:val="22"/>
                <w:szCs w:val="22"/>
                <w:b w:val="1"/>
                <w:bCs w:val="1"/>
                <w:color w:val="auto"/>
                <w:w w:val="87"/>
              </w:rPr>
              <w:t>(in thousands, except per share data)</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03"/>
        </w:trPr>
        <w:tc>
          <w:tcPr>
            <w:tcW w:w="4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4"/>
          </w:tcPr>
          <w:p>
            <w:pPr>
              <w:jc w:val="center"/>
              <w:ind w:right="32"/>
              <w:spacing w:after="0"/>
              <w:rPr>
                <w:sz w:val="20"/>
                <w:szCs w:val="20"/>
                <w:color w:val="auto"/>
              </w:rPr>
            </w:pPr>
            <w:r>
              <w:rPr>
                <w:rFonts w:ascii="Arial" w:cs="Arial" w:eastAsia="Arial" w:hAnsi="Arial"/>
                <w:sz w:val="22"/>
                <w:szCs w:val="22"/>
                <w:b w:val="1"/>
                <w:bCs w:val="1"/>
                <w:color w:val="auto"/>
                <w:w w:val="89"/>
              </w:rPr>
              <w:t>Three Months Ended June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7"/>
          </w:tcPr>
          <w:p>
            <w:pPr>
              <w:jc w:val="center"/>
              <w:ind w:right="320"/>
              <w:spacing w:after="0"/>
              <w:rPr>
                <w:sz w:val="20"/>
                <w:szCs w:val="20"/>
                <w:color w:val="auto"/>
              </w:rPr>
            </w:pPr>
            <w:r>
              <w:rPr>
                <w:rFonts w:ascii="Arial" w:cs="Arial" w:eastAsia="Arial" w:hAnsi="Arial"/>
                <w:sz w:val="22"/>
                <w:szCs w:val="22"/>
                <w:b w:val="1"/>
                <w:bCs w:val="1"/>
                <w:color w:val="auto"/>
                <w:w w:val="89"/>
              </w:rPr>
              <w:t>Nine Months Ended June 30,</w:t>
            </w:r>
          </w:p>
        </w:tc>
      </w:tr>
      <w:tr>
        <w:trPr>
          <w:trHeight w:val="282"/>
        </w:trPr>
        <w:tc>
          <w:tcPr>
            <w:tcW w:w="4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left="732"/>
              <w:spacing w:after="0"/>
              <w:rPr>
                <w:sz w:val="20"/>
                <w:szCs w:val="20"/>
                <w:color w:val="auto"/>
              </w:rPr>
            </w:pPr>
            <w:r>
              <w:rPr>
                <w:rFonts w:ascii="Arial" w:cs="Arial" w:eastAsia="Arial" w:hAnsi="Arial"/>
                <w:sz w:val="22"/>
                <w:szCs w:val="22"/>
                <w:b w:val="1"/>
                <w:bCs w:val="1"/>
                <w:color w:val="auto"/>
                <w:w w:val="89"/>
              </w:rPr>
              <w:t>(Unaudited)</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center"/>
              <w:ind w:left="652"/>
              <w:spacing w:after="0"/>
              <w:rPr>
                <w:sz w:val="20"/>
                <w:szCs w:val="20"/>
                <w:color w:val="auto"/>
              </w:rPr>
            </w:pPr>
            <w:r>
              <w:rPr>
                <w:rFonts w:ascii="Arial" w:cs="Arial" w:eastAsia="Arial" w:hAnsi="Arial"/>
                <w:sz w:val="22"/>
                <w:szCs w:val="22"/>
                <w:b w:val="1"/>
                <w:bCs w:val="1"/>
                <w:color w:val="auto"/>
                <w:w w:val="91"/>
              </w:rPr>
              <w:t>(Unaudited)</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65"/>
        </w:trPr>
        <w:tc>
          <w:tcPr>
            <w:tcW w:w="45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2023</w:t>
            </w:r>
          </w:p>
        </w:tc>
        <w:tc>
          <w:tcPr>
            <w:tcW w:w="2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w w:val="93"/>
              </w:rPr>
              <w:t>2022</w:t>
            </w:r>
          </w:p>
        </w:tc>
        <w:tc>
          <w:tcPr>
            <w:tcW w:w="2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2023</w:t>
            </w:r>
          </w:p>
        </w:tc>
        <w:tc>
          <w:tcPr>
            <w:tcW w:w="1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w w:val="89"/>
              </w:rPr>
              <w:t>2022</w:t>
            </w:r>
          </w:p>
        </w:tc>
        <w:tc>
          <w:tcPr>
            <w:tcW w:w="80" w:type="dxa"/>
            <w:vAlign w:val="bottom"/>
          </w:tcPr>
          <w:p>
            <w:pPr>
              <w:spacing w:after="0"/>
              <w:rPr>
                <w:sz w:val="23"/>
                <w:szCs w:val="23"/>
                <w:color w:val="auto"/>
              </w:rPr>
            </w:pPr>
          </w:p>
        </w:tc>
      </w:tr>
      <w:tr>
        <w:trPr>
          <w:trHeight w:val="256"/>
        </w:trPr>
        <w:tc>
          <w:tcPr>
            <w:tcW w:w="456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22"/>
                <w:szCs w:val="22"/>
                <w:color w:val="auto"/>
                <w:w w:val="97"/>
              </w:rPr>
              <w:t>From non-controlled, non-affiliated investments:</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22"/>
                <w:szCs w:val="22"/>
                <w:color w:val="auto"/>
              </w:rPr>
              <w:t>Interest</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320" w:type="dxa"/>
            <w:vAlign w:val="bottom"/>
          </w:tcPr>
          <w:p>
            <w:pPr>
              <w:jc w:val="right"/>
              <w:spacing w:after="0"/>
              <w:rPr>
                <w:sz w:val="20"/>
                <w:szCs w:val="20"/>
                <w:color w:val="auto"/>
              </w:rPr>
            </w:pPr>
            <w:r>
              <w:rPr>
                <w:rFonts w:ascii="Arial" w:cs="Arial" w:eastAsia="Arial" w:hAnsi="Arial"/>
                <w:sz w:val="22"/>
                <w:szCs w:val="22"/>
                <w:color w:val="auto"/>
              </w:rPr>
              <w:t>21,988</w:t>
            </w:r>
          </w:p>
        </w:tc>
        <w:tc>
          <w:tcPr>
            <w:tcW w:w="220" w:type="dxa"/>
            <w:vAlign w:val="bottom"/>
          </w:tcPr>
          <w:p>
            <w:pPr>
              <w:spacing w:after="0"/>
              <w:rPr>
                <w:sz w:val="23"/>
                <w:szCs w:val="23"/>
                <w:color w:val="auto"/>
              </w:rPr>
            </w:pPr>
          </w:p>
        </w:tc>
        <w:tc>
          <w:tcPr>
            <w:tcW w:w="480" w:type="dxa"/>
            <w:vAlign w:val="bottom"/>
          </w:tcPr>
          <w:p>
            <w:pPr>
              <w:jc w:val="right"/>
              <w:ind w:right="25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16,701</w:t>
            </w:r>
          </w:p>
        </w:tc>
        <w:tc>
          <w:tcPr>
            <w:tcW w:w="460" w:type="dxa"/>
            <w:vAlign w:val="bottom"/>
            <w:gridSpan w:val="3"/>
          </w:tcPr>
          <w:p>
            <w:pPr>
              <w:jc w:val="right"/>
              <w:ind w:right="100"/>
              <w:spacing w:after="0"/>
              <w:rPr>
                <w:sz w:val="20"/>
                <w:szCs w:val="20"/>
                <w:color w:val="auto"/>
              </w:rPr>
            </w:pPr>
            <w:r>
              <w:rPr>
                <w:rFonts w:ascii="Arial" w:cs="Arial" w:eastAsia="Arial" w:hAnsi="Arial"/>
                <w:sz w:val="22"/>
                <w:szCs w:val="22"/>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22"/>
                <w:szCs w:val="22"/>
                <w:color w:val="auto"/>
              </w:rPr>
              <w:t>65,440</w:t>
            </w:r>
          </w:p>
        </w:tc>
        <w:tc>
          <w:tcPr>
            <w:tcW w:w="100" w:type="dxa"/>
            <w:vAlign w:val="bottom"/>
          </w:tcPr>
          <w:p>
            <w:pPr>
              <w:spacing w:after="0"/>
              <w:rPr>
                <w:sz w:val="23"/>
                <w:szCs w:val="23"/>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49,753</w:t>
            </w:r>
          </w:p>
        </w:tc>
        <w:tc>
          <w:tcPr>
            <w:tcW w:w="80" w:type="dxa"/>
            <w:vAlign w:val="bottom"/>
          </w:tcPr>
          <w:p>
            <w:pPr>
              <w:spacing w:after="0"/>
              <w:rPr>
                <w:sz w:val="23"/>
                <w:szCs w:val="23"/>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22"/>
                <w:szCs w:val="22"/>
                <w:color w:val="auto"/>
              </w:rPr>
              <w:t>Dividend</w:t>
            </w: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4,390</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577</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22"/>
                <w:szCs w:val="22"/>
                <w:color w:val="auto"/>
              </w:rPr>
              <w:t>5,602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1,731</w:t>
            </w:r>
          </w:p>
        </w:tc>
        <w:tc>
          <w:tcPr>
            <w:tcW w:w="80" w:type="dxa"/>
            <w:vAlign w:val="bottom"/>
          </w:tcPr>
          <w:p>
            <w:pPr>
              <w:spacing w:after="0"/>
              <w:rPr>
                <w:sz w:val="23"/>
                <w:szCs w:val="23"/>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22"/>
                <w:szCs w:val="22"/>
                <w:color w:val="auto"/>
              </w:rPr>
              <w:t>Other income</w:t>
            </w: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734</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285</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22"/>
                <w:szCs w:val="22"/>
                <w:color w:val="auto"/>
              </w:rPr>
              <w:t>1,460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3,795</w:t>
            </w:r>
          </w:p>
        </w:tc>
        <w:tc>
          <w:tcPr>
            <w:tcW w:w="80" w:type="dxa"/>
            <w:vAlign w:val="bottom"/>
          </w:tcPr>
          <w:p>
            <w:pPr>
              <w:spacing w:after="0"/>
              <w:rPr>
                <w:sz w:val="23"/>
                <w:szCs w:val="23"/>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22"/>
                <w:szCs w:val="22"/>
                <w:color w:val="auto"/>
              </w:rPr>
              <w:t>Interest</w:t>
            </w:r>
          </w:p>
        </w:tc>
        <w:tc>
          <w:tcPr>
            <w:tcW w:w="140" w:type="dxa"/>
            <w:vAlign w:val="bottom"/>
          </w:tcPr>
          <w:p>
            <w:pPr>
              <w:spacing w:after="0"/>
              <w:rPr>
                <w:sz w:val="23"/>
                <w:szCs w:val="23"/>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112</w:t>
            </w:r>
          </w:p>
        </w:tc>
        <w:tc>
          <w:tcPr>
            <w:tcW w:w="80" w:type="dxa"/>
            <w:vAlign w:val="bottom"/>
          </w:tcPr>
          <w:p>
            <w:pPr>
              <w:spacing w:after="0"/>
              <w:rPr>
                <w:sz w:val="23"/>
                <w:szCs w:val="23"/>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22"/>
                <w:szCs w:val="22"/>
                <w:color w:val="auto"/>
              </w:rPr>
              <w:t>Other income</w:t>
            </w:r>
          </w:p>
        </w:tc>
        <w:tc>
          <w:tcPr>
            <w:tcW w:w="140" w:type="dxa"/>
            <w:vAlign w:val="bottom"/>
          </w:tcPr>
          <w:p>
            <w:pPr>
              <w:spacing w:after="0"/>
              <w:rPr>
                <w:sz w:val="23"/>
                <w:szCs w:val="23"/>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0"/>
        </w:trPr>
        <w:tc>
          <w:tcPr>
            <w:tcW w:w="456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22"/>
                <w:szCs w:val="22"/>
                <w:color w:val="auto"/>
              </w:rPr>
              <w:t>Interest</w:t>
            </w: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8,151</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4,228</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22"/>
                <w:szCs w:val="22"/>
                <w:color w:val="auto"/>
              </w:rPr>
              <w:t>22,701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10,633</w:t>
            </w:r>
          </w:p>
        </w:tc>
        <w:tc>
          <w:tcPr>
            <w:tcW w:w="80" w:type="dxa"/>
            <w:vAlign w:val="bottom"/>
          </w:tcPr>
          <w:p>
            <w:pPr>
              <w:spacing w:after="0"/>
              <w:rPr>
                <w:sz w:val="23"/>
                <w:szCs w:val="23"/>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22"/>
                <w:szCs w:val="22"/>
                <w:color w:val="auto"/>
              </w:rPr>
              <w:t>Dividend</w:t>
            </w: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2,450</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3,938</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22"/>
                <w:szCs w:val="22"/>
                <w:color w:val="auto"/>
              </w:rPr>
              <w:t>8,400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10,675</w:t>
            </w:r>
          </w:p>
        </w:tc>
        <w:tc>
          <w:tcPr>
            <w:tcW w:w="80" w:type="dxa"/>
            <w:vAlign w:val="bottom"/>
          </w:tcPr>
          <w:p>
            <w:pPr>
              <w:spacing w:after="0"/>
              <w:rPr>
                <w:sz w:val="23"/>
                <w:szCs w:val="23"/>
                <w:color w:val="auto"/>
              </w:rPr>
            </w:pPr>
          </w:p>
        </w:tc>
      </w:tr>
      <w:tr>
        <w:trPr>
          <w:trHeight w:val="274"/>
        </w:trPr>
        <w:tc>
          <w:tcPr>
            <w:tcW w:w="4560" w:type="dxa"/>
            <w:vAlign w:val="bottom"/>
          </w:tcPr>
          <w:p>
            <w:pPr>
              <w:ind w:left="200"/>
              <w:spacing w:after="0"/>
              <w:rPr>
                <w:sz w:val="20"/>
                <w:szCs w:val="20"/>
                <w:color w:val="auto"/>
              </w:rPr>
            </w:pPr>
            <w:r>
              <w:rPr>
                <w:rFonts w:ascii="Arial" w:cs="Arial" w:eastAsia="Arial" w:hAnsi="Arial"/>
                <w:sz w:val="22"/>
                <w:szCs w:val="22"/>
                <w:color w:val="auto"/>
              </w:rPr>
              <w:t>Other Income</w:t>
            </w:r>
          </w:p>
        </w:tc>
        <w:tc>
          <w:tcPr>
            <w:tcW w:w="140" w:type="dxa"/>
            <w:vAlign w:val="bottom"/>
          </w:tcPr>
          <w:p>
            <w:pPr>
              <w:spacing w:after="0"/>
              <w:rPr>
                <w:sz w:val="23"/>
                <w:szCs w:val="23"/>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67"/>
        </w:trPr>
        <w:tc>
          <w:tcPr>
            <w:tcW w:w="4560" w:type="dxa"/>
            <w:vAlign w:val="bottom"/>
          </w:tcPr>
          <w:p>
            <w:pPr>
              <w:ind w:left="200"/>
              <w:spacing w:after="0"/>
              <w:rPr>
                <w:sz w:val="20"/>
                <w:szCs w:val="20"/>
                <w:color w:val="auto"/>
              </w:rPr>
            </w:pPr>
            <w:r>
              <w:rPr>
                <w:rFonts w:ascii="Arial" w:cs="Arial" w:eastAsia="Arial" w:hAnsi="Arial"/>
                <w:sz w:val="22"/>
                <w:szCs w:val="22"/>
                <w:b w:val="1"/>
                <w:bCs w:val="1"/>
                <w:color w:val="auto"/>
              </w:rPr>
              <w:t>Total investment income</w:t>
            </w:r>
          </w:p>
        </w:tc>
        <w:tc>
          <w:tcPr>
            <w:tcW w:w="14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37,713</w:t>
            </w:r>
          </w:p>
        </w:tc>
        <w:tc>
          <w:tcPr>
            <w:tcW w:w="220" w:type="dxa"/>
            <w:vAlign w:val="bottom"/>
          </w:tcPr>
          <w:p>
            <w:pPr>
              <w:spacing w:after="0"/>
              <w:rPr>
                <w:sz w:val="23"/>
                <w:szCs w:val="23"/>
                <w:color w:val="auto"/>
              </w:rPr>
            </w:pPr>
          </w:p>
        </w:tc>
        <w:tc>
          <w:tcPr>
            <w:tcW w:w="48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25,729</w:t>
            </w:r>
          </w:p>
        </w:tc>
        <w:tc>
          <w:tcPr>
            <w:tcW w:w="20" w:type="dxa"/>
            <w:vAlign w:val="bottom"/>
            <w:tcBorders>
              <w:top w:val="single" w:sz="8" w:color="auto"/>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103,603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76,699</w:t>
            </w:r>
          </w:p>
        </w:tc>
        <w:tc>
          <w:tcPr>
            <w:tcW w:w="80" w:type="dxa"/>
            <w:vAlign w:val="bottom"/>
          </w:tcPr>
          <w:p>
            <w:pPr>
              <w:spacing w:after="0"/>
              <w:rPr>
                <w:sz w:val="23"/>
                <w:szCs w:val="23"/>
                <w:color w:val="auto"/>
              </w:rPr>
            </w:pPr>
          </w:p>
        </w:tc>
      </w:tr>
      <w:tr>
        <w:trPr>
          <w:trHeight w:val="256"/>
        </w:trPr>
        <w:tc>
          <w:tcPr>
            <w:tcW w:w="456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22"/>
                <w:szCs w:val="22"/>
                <w:color w:val="auto"/>
              </w:rPr>
              <w:t>Base management fee</w:t>
            </w: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2,840</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3,062</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22"/>
                <w:szCs w:val="22"/>
                <w:color w:val="auto"/>
              </w:rPr>
              <w:t>8,643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8,904</w:t>
            </w:r>
          </w:p>
        </w:tc>
        <w:tc>
          <w:tcPr>
            <w:tcW w:w="80" w:type="dxa"/>
            <w:vAlign w:val="bottom"/>
          </w:tcPr>
          <w:p>
            <w:pPr>
              <w:spacing w:after="0"/>
              <w:rPr>
                <w:sz w:val="23"/>
                <w:szCs w:val="23"/>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22"/>
                <w:szCs w:val="22"/>
                <w:color w:val="auto"/>
              </w:rPr>
              <w:t>Performance-based incentive fee</w:t>
            </w: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4,625</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2,576</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22"/>
                <w:szCs w:val="22"/>
                <w:color w:val="auto"/>
              </w:rPr>
              <w:t>12,245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8,461</w:t>
            </w:r>
          </w:p>
        </w:tc>
        <w:tc>
          <w:tcPr>
            <w:tcW w:w="80" w:type="dxa"/>
            <w:vAlign w:val="bottom"/>
          </w:tcPr>
          <w:p>
            <w:pPr>
              <w:spacing w:after="0"/>
              <w:rPr>
                <w:sz w:val="23"/>
                <w:szCs w:val="23"/>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22"/>
                <w:szCs w:val="22"/>
                <w:color w:val="auto"/>
              </w:rPr>
              <w:t>Interest and expenses on debt</w:t>
            </w: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9,985</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7,369</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22"/>
                <w:szCs w:val="22"/>
                <w:color w:val="auto"/>
              </w:rPr>
              <w:t>29,595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20,713</w:t>
            </w:r>
          </w:p>
        </w:tc>
        <w:tc>
          <w:tcPr>
            <w:tcW w:w="80" w:type="dxa"/>
            <w:vAlign w:val="bottom"/>
          </w:tcPr>
          <w:p>
            <w:pPr>
              <w:spacing w:after="0"/>
              <w:rPr>
                <w:sz w:val="23"/>
                <w:szCs w:val="23"/>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22"/>
                <w:szCs w:val="22"/>
                <w:color w:val="auto"/>
              </w:rPr>
              <w:t>Administrative services expenses</w:t>
            </w: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477</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144</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22"/>
                <w:szCs w:val="22"/>
                <w:color w:val="auto"/>
              </w:rPr>
              <w:t>764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431</w:t>
            </w:r>
          </w:p>
        </w:tc>
        <w:tc>
          <w:tcPr>
            <w:tcW w:w="80" w:type="dxa"/>
            <w:vAlign w:val="bottom"/>
          </w:tcPr>
          <w:p>
            <w:pPr>
              <w:spacing w:after="0"/>
              <w:rPr>
                <w:sz w:val="23"/>
                <w:szCs w:val="23"/>
                <w:color w:val="auto"/>
              </w:rPr>
            </w:pPr>
          </w:p>
        </w:tc>
      </w:tr>
      <w:tr>
        <w:trPr>
          <w:trHeight w:val="274"/>
        </w:trPr>
        <w:tc>
          <w:tcPr>
            <w:tcW w:w="4560" w:type="dxa"/>
            <w:vAlign w:val="bottom"/>
          </w:tcPr>
          <w:p>
            <w:pPr>
              <w:ind w:left="200"/>
              <w:spacing w:after="0"/>
              <w:rPr>
                <w:sz w:val="20"/>
                <w:szCs w:val="20"/>
                <w:color w:val="auto"/>
              </w:rPr>
            </w:pPr>
            <w:r>
              <w:rPr>
                <w:rFonts w:ascii="Arial" w:cs="Arial" w:eastAsia="Arial" w:hAnsi="Arial"/>
                <w:sz w:val="22"/>
                <w:szCs w:val="22"/>
                <w:color w:val="auto"/>
              </w:rPr>
              <w:t>General and administrative expenses</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1,134</w:t>
            </w:r>
          </w:p>
        </w:tc>
        <w:tc>
          <w:tcPr>
            <w:tcW w:w="2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655</w:t>
            </w:r>
          </w:p>
        </w:tc>
        <w:tc>
          <w:tcPr>
            <w:tcW w:w="2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2,545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1,964</w:t>
            </w:r>
          </w:p>
        </w:tc>
        <w:tc>
          <w:tcPr>
            <w:tcW w:w="80" w:type="dxa"/>
            <w:vAlign w:val="bottom"/>
          </w:tcPr>
          <w:p>
            <w:pPr>
              <w:spacing w:after="0"/>
              <w:rPr>
                <w:sz w:val="23"/>
                <w:szCs w:val="23"/>
                <w:color w:val="auto"/>
              </w:rPr>
            </w:pPr>
          </w:p>
        </w:tc>
      </w:tr>
      <w:tr>
        <w:trPr>
          <w:trHeight w:val="267"/>
        </w:trPr>
        <w:tc>
          <w:tcPr>
            <w:tcW w:w="4560" w:type="dxa"/>
            <w:vAlign w:val="bottom"/>
          </w:tcPr>
          <w:p>
            <w:pPr>
              <w:ind w:left="200"/>
              <w:spacing w:after="0"/>
              <w:rPr>
                <w:sz w:val="20"/>
                <w:szCs w:val="20"/>
                <w:color w:val="auto"/>
              </w:rPr>
            </w:pPr>
            <w:r>
              <w:rPr>
                <w:rFonts w:ascii="Arial" w:cs="Arial" w:eastAsia="Arial" w:hAnsi="Arial"/>
                <w:sz w:val="22"/>
                <w:szCs w:val="22"/>
                <w:b w:val="1"/>
                <w:bCs w:val="1"/>
                <w:color w:val="auto"/>
              </w:rPr>
              <w:t>Expenses before provision for taxes</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19,061</w:t>
            </w:r>
          </w:p>
        </w:tc>
        <w:tc>
          <w:tcPr>
            <w:tcW w:w="2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13,806</w:t>
            </w:r>
          </w:p>
        </w:tc>
        <w:tc>
          <w:tcPr>
            <w:tcW w:w="2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53,792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40,473</w:t>
            </w:r>
          </w:p>
        </w:tc>
        <w:tc>
          <w:tcPr>
            <w:tcW w:w="80" w:type="dxa"/>
            <w:vAlign w:val="bottom"/>
          </w:tcPr>
          <w:p>
            <w:pPr>
              <w:spacing w:after="0"/>
              <w:rPr>
                <w:sz w:val="23"/>
                <w:szCs w:val="23"/>
                <w:color w:val="auto"/>
              </w:rPr>
            </w:pPr>
          </w:p>
        </w:tc>
      </w:tr>
      <w:tr>
        <w:trPr>
          <w:trHeight w:val="264"/>
        </w:trPr>
        <w:tc>
          <w:tcPr>
            <w:tcW w:w="4560" w:type="dxa"/>
            <w:vAlign w:val="bottom"/>
          </w:tcPr>
          <w:p>
            <w:pPr>
              <w:ind w:left="200"/>
              <w:spacing w:after="0"/>
              <w:rPr>
                <w:sz w:val="20"/>
                <w:szCs w:val="20"/>
                <w:color w:val="auto"/>
              </w:rPr>
            </w:pPr>
            <w:r>
              <w:rPr>
                <w:rFonts w:ascii="Arial" w:cs="Arial" w:eastAsia="Arial" w:hAnsi="Arial"/>
                <w:sz w:val="22"/>
                <w:szCs w:val="22"/>
                <w:color w:val="auto"/>
                <w:w w:val="99"/>
              </w:rPr>
              <w:t>Provision for taxes on net investment income</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150</w:t>
            </w:r>
          </w:p>
        </w:tc>
        <w:tc>
          <w:tcPr>
            <w:tcW w:w="2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100</w:t>
            </w:r>
          </w:p>
        </w:tc>
        <w:tc>
          <w:tcPr>
            <w:tcW w:w="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834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300</w:t>
            </w:r>
          </w:p>
        </w:tc>
        <w:tc>
          <w:tcPr>
            <w:tcW w:w="80" w:type="dxa"/>
            <w:vAlign w:val="bottom"/>
          </w:tcPr>
          <w:p>
            <w:pPr>
              <w:spacing w:after="0"/>
              <w:rPr>
                <w:sz w:val="22"/>
                <w:szCs w:val="22"/>
                <w:color w:val="auto"/>
              </w:rPr>
            </w:pPr>
          </w:p>
        </w:tc>
      </w:tr>
      <w:tr>
        <w:trPr>
          <w:trHeight w:val="264"/>
        </w:trPr>
        <w:tc>
          <w:tcPr>
            <w:tcW w:w="4560" w:type="dxa"/>
            <w:vAlign w:val="bottom"/>
          </w:tcPr>
          <w:p>
            <w:pPr>
              <w:ind w:left="200"/>
              <w:spacing w:after="0"/>
              <w:rPr>
                <w:sz w:val="20"/>
                <w:szCs w:val="20"/>
                <w:color w:val="auto"/>
              </w:rPr>
            </w:pPr>
            <w:r>
              <w:rPr>
                <w:rFonts w:ascii="Arial" w:cs="Arial" w:eastAsia="Arial" w:hAnsi="Arial"/>
                <w:sz w:val="22"/>
                <w:szCs w:val="22"/>
                <w:b w:val="1"/>
                <w:bCs w:val="1"/>
                <w:color w:val="auto"/>
              </w:rPr>
              <w:t>Total expenses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19,211</w:t>
            </w:r>
          </w:p>
        </w:tc>
        <w:tc>
          <w:tcPr>
            <w:tcW w:w="2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13,906</w:t>
            </w:r>
          </w:p>
        </w:tc>
        <w:tc>
          <w:tcPr>
            <w:tcW w:w="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54,626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40,773</w:t>
            </w:r>
          </w:p>
        </w:tc>
        <w:tc>
          <w:tcPr>
            <w:tcW w:w="80" w:type="dxa"/>
            <w:vAlign w:val="bottom"/>
          </w:tcPr>
          <w:p>
            <w:pPr>
              <w:spacing w:after="0"/>
              <w:rPr>
                <w:sz w:val="22"/>
                <w:szCs w:val="22"/>
                <w:color w:val="auto"/>
              </w:rPr>
            </w:pPr>
          </w:p>
        </w:tc>
      </w:tr>
      <w:tr>
        <w:trPr>
          <w:trHeight w:val="264"/>
        </w:trPr>
        <w:tc>
          <w:tcPr>
            <w:tcW w:w="4560" w:type="dxa"/>
            <w:vAlign w:val="bottom"/>
          </w:tcPr>
          <w:p>
            <w:pPr>
              <w:ind w:left="200"/>
              <w:spacing w:after="0"/>
              <w:rPr>
                <w:sz w:val="20"/>
                <w:szCs w:val="20"/>
                <w:color w:val="auto"/>
              </w:rPr>
            </w:pPr>
            <w:r>
              <w:rPr>
                <w:rFonts w:ascii="Arial" w:cs="Arial" w:eastAsia="Arial" w:hAnsi="Arial"/>
                <w:sz w:val="22"/>
                <w:szCs w:val="22"/>
                <w:b w:val="1"/>
                <w:bCs w:val="1"/>
                <w:color w:val="auto"/>
              </w:rPr>
              <w:t>Net investment income</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18,502</w:t>
            </w:r>
          </w:p>
        </w:tc>
        <w:tc>
          <w:tcPr>
            <w:tcW w:w="2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11,823</w:t>
            </w:r>
          </w:p>
        </w:tc>
        <w:tc>
          <w:tcPr>
            <w:tcW w:w="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48,977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35,926</w:t>
            </w:r>
          </w:p>
        </w:tc>
        <w:tc>
          <w:tcPr>
            <w:tcW w:w="80" w:type="dxa"/>
            <w:vAlign w:val="bottom"/>
          </w:tcPr>
          <w:p>
            <w:pPr>
              <w:spacing w:after="0"/>
              <w:rPr>
                <w:sz w:val="22"/>
                <w:szCs w:val="22"/>
                <w:color w:val="auto"/>
              </w:rPr>
            </w:pPr>
          </w:p>
        </w:tc>
      </w:tr>
    </w:tbl>
    <w:p>
      <w:pPr>
        <w:sectPr>
          <w:pgSz w:w="11900" w:h="16838" w:orient="portrait"/>
          <w:cols w:equalWidth="0" w:num="1">
            <w:col w:w="11200"/>
          </w:cols>
          <w:pgMar w:left="340" w:top="132" w:right="359" w:bottom="0" w:gutter="0" w:footer="0" w:header="0"/>
        </w:sectPr>
      </w:pPr>
    </w:p>
    <w:bookmarkStart w:id="8" w:name="page9"/>
    <w:bookmarkEnd w:id="8"/>
    <w:p>
      <w:pPr>
        <w:ind w:left="20"/>
        <w:spacing w:after="0"/>
        <w:rPr>
          <w:sz w:val="20"/>
          <w:szCs w:val="20"/>
          <w:color w:val="auto"/>
        </w:rPr>
      </w:pPr>
      <w:r>
        <w:rPr>
          <w:rFonts w:ascii="Arial" w:cs="Arial" w:eastAsia="Arial" w:hAnsi="Arial"/>
          <w:sz w:val="22"/>
          <w:szCs w:val="22"/>
          <w:b w:val="1"/>
          <w:bCs w:val="1"/>
          <w:color w:val="auto"/>
        </w:rPr>
        <w:t>Realized and unrealized gain (loss)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-151130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22"/>
          <w:szCs w:val="22"/>
          <w:b w:val="1"/>
          <w:bCs w:val="1"/>
          <w:color w:val="auto"/>
        </w:rPr>
        <w:t>investments and debt:</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4560" w:type="dxa"/>
            <w:vAlign w:val="bottom"/>
          </w:tcPr>
          <w:p>
            <w:pPr>
              <w:spacing w:after="0"/>
              <w:rPr>
                <w:sz w:val="20"/>
                <w:szCs w:val="20"/>
                <w:color w:val="auto"/>
              </w:rPr>
            </w:pPr>
            <w:r>
              <w:rPr>
                <w:rFonts w:ascii="Arial" w:cs="Arial" w:eastAsia="Arial" w:hAnsi="Arial"/>
                <w:sz w:val="22"/>
                <w:szCs w:val="22"/>
                <w:color w:val="auto"/>
              </w:rPr>
              <w:t>Net realized gain (loss) on:</w:t>
            </w: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22"/>
                <w:szCs w:val="22"/>
                <w:color w:val="auto"/>
              </w:rPr>
              <w:t>Non-controlled, non-affiliated investments</w:t>
            </w:r>
          </w:p>
        </w:tc>
        <w:tc>
          <w:tcPr>
            <w:tcW w:w="44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2"/>
                <w:szCs w:val="22"/>
                <w:color w:val="auto"/>
              </w:rPr>
              <w:t>(6,065)</w:t>
            </w: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701</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2"/>
                <w:szCs w:val="22"/>
                <w:color w:val="auto"/>
              </w:rPr>
              <w:t>(13,520)</w:t>
            </w: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10,694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0"/>
              <w:spacing w:after="0" w:line="243" w:lineRule="exact"/>
              <w:rPr>
                <w:sz w:val="20"/>
                <w:szCs w:val="20"/>
                <w:color w:val="auto"/>
              </w:rPr>
            </w:pPr>
            <w:r>
              <w:rPr>
                <w:rFonts w:ascii="Arial" w:cs="Arial" w:eastAsia="Arial" w:hAnsi="Arial"/>
                <w:sz w:val="22"/>
                <w:szCs w:val="22"/>
                <w:color w:val="auto"/>
              </w:rPr>
              <w:t>Non-controlled and controlled, affiliated</w:t>
            </w: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22"/>
                <w:szCs w:val="22"/>
                <w:color w:val="auto"/>
              </w:rPr>
              <w:t>investments</w:t>
            </w:r>
          </w:p>
        </w:tc>
        <w:tc>
          <w:tcPr>
            <w:tcW w:w="44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(22,315)</w:t>
            </w:r>
          </w:p>
        </w:tc>
        <w:tc>
          <w:tcPr>
            <w:tcW w:w="0" w:type="dxa"/>
            <w:vAlign w:val="bottom"/>
          </w:tcPr>
          <w:p>
            <w:pPr>
              <w:spacing w:after="0"/>
              <w:rPr>
                <w:sz w:val="1"/>
                <w:szCs w:val="1"/>
                <w:color w:val="auto"/>
              </w:rPr>
            </w:pPr>
          </w:p>
        </w:tc>
      </w:tr>
      <w:tr>
        <w:trPr>
          <w:trHeight w:val="243"/>
        </w:trPr>
        <w:tc>
          <w:tcPr>
            <w:tcW w:w="4560" w:type="dxa"/>
            <w:vAlign w:val="bottom"/>
          </w:tcPr>
          <w:p>
            <w:pPr>
              <w:ind w:left="200"/>
              <w:spacing w:after="0" w:line="243" w:lineRule="exact"/>
              <w:rPr>
                <w:sz w:val="20"/>
                <w:szCs w:val="20"/>
                <w:color w:val="auto"/>
              </w:rPr>
            </w:pPr>
            <w:r>
              <w:rPr>
                <w:rFonts w:ascii="Arial" w:cs="Arial" w:eastAsia="Arial" w:hAnsi="Arial"/>
                <w:sz w:val="22"/>
                <w:szCs w:val="22"/>
                <w:color w:val="auto"/>
              </w:rPr>
              <w:t>Provision for taxes on realized gain on</w:t>
            </w: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560" w:type="dxa"/>
            <w:vAlign w:val="bottom"/>
          </w:tcPr>
          <w:p>
            <w:pPr>
              <w:ind w:left="200"/>
              <w:spacing w:after="0"/>
              <w:rPr>
                <w:sz w:val="20"/>
                <w:szCs w:val="20"/>
                <w:color w:val="auto"/>
              </w:rPr>
            </w:pPr>
            <w:r>
              <w:rPr>
                <w:rFonts w:ascii="Arial" w:cs="Arial" w:eastAsia="Arial" w:hAnsi="Arial"/>
                <w:sz w:val="22"/>
                <w:szCs w:val="22"/>
                <w:color w:val="auto"/>
              </w:rPr>
              <w:t>investments</w:t>
            </w:r>
          </w:p>
        </w:tc>
        <w:tc>
          <w:tcPr>
            <w:tcW w:w="44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2"/>
                <w:szCs w:val="22"/>
                <w:color w:val="auto"/>
              </w:rPr>
              <w:t>(300)</w:t>
            </w:r>
          </w:p>
        </w:tc>
        <w:tc>
          <w:tcPr>
            <w:tcW w:w="46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7"/>
        </w:trPr>
        <w:tc>
          <w:tcPr>
            <w:tcW w:w="4560" w:type="dxa"/>
            <w:vAlign w:val="bottom"/>
          </w:tcPr>
          <w:p>
            <w:pPr>
              <w:ind w:left="200"/>
              <w:spacing w:after="0"/>
              <w:rPr>
                <w:sz w:val="20"/>
                <w:szCs w:val="20"/>
                <w:color w:val="auto"/>
              </w:rPr>
            </w:pPr>
            <w:r>
              <w:rPr>
                <w:rFonts w:ascii="Arial" w:cs="Arial" w:eastAsia="Arial" w:hAnsi="Arial"/>
                <w:sz w:val="22"/>
                <w:szCs w:val="22"/>
                <w:b w:val="1"/>
                <w:bCs w:val="1"/>
                <w:color w:val="auto"/>
              </w:rPr>
              <w:t>Net realized gain (loss) on investments</w:t>
            </w:r>
          </w:p>
        </w:tc>
        <w:tc>
          <w:tcPr>
            <w:tcW w:w="44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(6,065)</w:t>
            </w:r>
          </w:p>
        </w:tc>
        <w:tc>
          <w:tcPr>
            <w:tcW w:w="220" w:type="dxa"/>
            <w:vAlign w:val="bottom"/>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701</w:t>
            </w:r>
          </w:p>
        </w:tc>
        <w:tc>
          <w:tcPr>
            <w:tcW w:w="240" w:type="dxa"/>
            <w:vAlign w:val="bottom"/>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(13,820)</w:t>
            </w:r>
          </w:p>
        </w:tc>
        <w:tc>
          <w:tcPr>
            <w:tcW w:w="220" w:type="dxa"/>
            <w:vAlign w:val="bottom"/>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(11,621)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560" w:type="dxa"/>
            <w:vAlign w:val="bottom"/>
          </w:tcPr>
          <w:p>
            <w:pPr>
              <w:spacing w:after="0" w:line="216" w:lineRule="exact"/>
              <w:rPr>
                <w:sz w:val="20"/>
                <w:szCs w:val="20"/>
                <w:color w:val="auto"/>
              </w:rPr>
            </w:pPr>
            <w:r>
              <w:rPr>
                <w:rFonts w:ascii="Arial" w:cs="Arial" w:eastAsia="Arial" w:hAnsi="Arial"/>
                <w:sz w:val="22"/>
                <w:szCs w:val="22"/>
                <w:color w:val="auto"/>
              </w:rPr>
              <w:t>Net change in unrealized appreciation</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22"/>
                <w:szCs w:val="22"/>
                <w:color w:val="auto"/>
              </w:rPr>
              <w:t>(depreciation) on:</w:t>
            </w: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22"/>
                <w:szCs w:val="22"/>
                <w:color w:val="auto"/>
              </w:rPr>
              <w:t>Non-controlled, non-affiliated investments</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3,051</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2"/>
                <w:szCs w:val="22"/>
                <w:color w:val="auto"/>
              </w:rPr>
              <w:t>(11,204)</w:t>
            </w:r>
          </w:p>
        </w:tc>
        <w:tc>
          <w:tcPr>
            <w:tcW w:w="46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2"/>
                <w:szCs w:val="22"/>
                <w:color w:val="auto"/>
              </w:rPr>
              <w:t>(12,204)</w:t>
            </w:r>
          </w:p>
        </w:tc>
        <w:tc>
          <w:tcPr>
            <w:tcW w:w="46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(12,243)</w:t>
            </w:r>
          </w:p>
        </w:tc>
        <w:tc>
          <w:tcPr>
            <w:tcW w:w="0" w:type="dxa"/>
            <w:vAlign w:val="bottom"/>
          </w:tcPr>
          <w:p>
            <w:pPr>
              <w:spacing w:after="0"/>
              <w:rPr>
                <w:sz w:val="1"/>
                <w:szCs w:val="1"/>
                <w:color w:val="auto"/>
              </w:rPr>
            </w:pPr>
          </w:p>
        </w:tc>
      </w:tr>
      <w:tr>
        <w:trPr>
          <w:trHeight w:val="243"/>
        </w:trPr>
        <w:tc>
          <w:tcPr>
            <w:tcW w:w="4560" w:type="dxa"/>
            <w:vAlign w:val="bottom"/>
          </w:tcPr>
          <w:p>
            <w:pPr>
              <w:ind w:left="200"/>
              <w:spacing w:after="0" w:line="243" w:lineRule="exact"/>
              <w:rPr>
                <w:sz w:val="20"/>
                <w:szCs w:val="20"/>
                <w:color w:val="auto"/>
              </w:rPr>
            </w:pPr>
            <w:r>
              <w:rPr>
                <w:rFonts w:ascii="Arial" w:cs="Arial" w:eastAsia="Arial" w:hAnsi="Arial"/>
                <w:sz w:val="22"/>
                <w:szCs w:val="22"/>
                <w:color w:val="auto"/>
              </w:rPr>
              <w:t>Controlled and non-controlled, affiliated</w:t>
            </w: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22"/>
                <w:szCs w:val="22"/>
                <w:color w:val="auto"/>
              </w:rPr>
              <w:t>investments</w:t>
            </w:r>
          </w:p>
        </w:tc>
        <w:tc>
          <w:tcPr>
            <w:tcW w:w="44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2"/>
                <w:szCs w:val="22"/>
                <w:color w:val="auto"/>
              </w:rPr>
              <w:t>(4,143)</w:t>
            </w:r>
          </w:p>
        </w:tc>
        <w:tc>
          <w:tcPr>
            <w:tcW w:w="46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2"/>
                <w:szCs w:val="22"/>
                <w:color w:val="auto"/>
              </w:rPr>
              <w:t>(6,431)</w:t>
            </w:r>
          </w:p>
        </w:tc>
        <w:tc>
          <w:tcPr>
            <w:tcW w:w="46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2"/>
                <w:szCs w:val="22"/>
                <w:color w:val="auto"/>
              </w:rPr>
              <w:t>(9,825)</w:t>
            </w: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8,597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0"/>
              <w:spacing w:after="0" w:line="243" w:lineRule="exact"/>
              <w:rPr>
                <w:sz w:val="20"/>
                <w:szCs w:val="20"/>
                <w:color w:val="auto"/>
              </w:rPr>
            </w:pPr>
            <w:r>
              <w:rPr>
                <w:rFonts w:ascii="Arial" w:cs="Arial" w:eastAsia="Arial" w:hAnsi="Arial"/>
                <w:sz w:val="22"/>
                <w:szCs w:val="22"/>
                <w:color w:val="auto"/>
                <w:w w:val="97"/>
              </w:rPr>
              <w:t>Provision for taxes on unrealized appreciation</w:t>
            </w: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22"/>
                <w:szCs w:val="22"/>
                <w:color w:val="auto"/>
              </w:rPr>
              <w:t>(depreciation) on investments</w:t>
            </w:r>
          </w:p>
        </w:tc>
        <w:tc>
          <w:tcPr>
            <w:tcW w:w="44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2,929</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(5,340)</w:t>
            </w:r>
          </w:p>
        </w:tc>
        <w:tc>
          <w:tcPr>
            <w:tcW w:w="0" w:type="dxa"/>
            <w:vAlign w:val="bottom"/>
          </w:tcPr>
          <w:p>
            <w:pPr>
              <w:spacing w:after="0"/>
              <w:rPr>
                <w:sz w:val="1"/>
                <w:szCs w:val="1"/>
                <w:color w:val="auto"/>
              </w:rPr>
            </w:pPr>
          </w:p>
        </w:tc>
      </w:tr>
      <w:tr>
        <w:trPr>
          <w:trHeight w:val="278"/>
        </w:trPr>
        <w:tc>
          <w:tcPr>
            <w:tcW w:w="4560" w:type="dxa"/>
            <w:vAlign w:val="bottom"/>
          </w:tcPr>
          <w:p>
            <w:pPr>
              <w:ind w:left="200"/>
              <w:spacing w:after="0"/>
              <w:rPr>
                <w:sz w:val="20"/>
                <w:szCs w:val="20"/>
                <w:color w:val="auto"/>
              </w:rPr>
            </w:pPr>
            <w:r>
              <w:rPr>
                <w:rFonts w:ascii="Arial" w:cs="Arial" w:eastAsia="Arial" w:hAnsi="Arial"/>
                <w:sz w:val="22"/>
                <w:szCs w:val="22"/>
                <w:color w:val="auto"/>
              </w:rPr>
              <w:t>Debt (appreciation) depreciation</w:t>
            </w:r>
          </w:p>
        </w:tc>
        <w:tc>
          <w:tcPr>
            <w:tcW w:w="44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2"/>
                <w:szCs w:val="22"/>
                <w:color w:val="auto"/>
              </w:rPr>
              <w:t>(5,752 )</w:t>
            </w: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26</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2"/>
                <w:szCs w:val="22"/>
                <w:color w:val="auto"/>
              </w:rPr>
              <w:t>(4,842 )</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1,273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200"/>
              <w:spacing w:after="0" w:line="243" w:lineRule="exact"/>
              <w:rPr>
                <w:sz w:val="20"/>
                <w:szCs w:val="20"/>
                <w:color w:val="auto"/>
              </w:rPr>
            </w:pPr>
            <w:r>
              <w:rPr>
                <w:rFonts w:ascii="Arial" w:cs="Arial" w:eastAsia="Arial" w:hAnsi="Arial"/>
                <w:sz w:val="22"/>
                <w:szCs w:val="22"/>
                <w:b w:val="1"/>
                <w:bCs w:val="1"/>
                <w:color w:val="auto"/>
              </w:rPr>
              <w:t>Net change in unrealized appreciation</w:t>
            </w: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6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22"/>
                <w:szCs w:val="22"/>
                <w:color w:val="auto"/>
              </w:rPr>
              <w:t>(6,844 )</w:t>
            </w:r>
          </w:p>
        </w:tc>
        <w:tc>
          <w:tcPr>
            <w:tcW w:w="460" w:type="dxa"/>
            <w:vAlign w:val="bottom"/>
          </w:tcPr>
          <w:p>
            <w:pPr>
              <w:spacing w:after="0"/>
              <w:rPr>
                <w:sz w:val="19"/>
                <w:szCs w:val="19"/>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22"/>
                <w:szCs w:val="22"/>
                <w:color w:val="auto"/>
              </w:rPr>
              <w:t>(17,609 )</w:t>
            </w:r>
          </w:p>
        </w:tc>
        <w:tc>
          <w:tcPr>
            <w:tcW w:w="460" w:type="dxa"/>
            <w:vAlign w:val="bottom"/>
          </w:tcPr>
          <w:p>
            <w:pPr>
              <w:spacing w:after="0"/>
              <w:rPr>
                <w:sz w:val="19"/>
                <w:szCs w:val="19"/>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22"/>
                <w:szCs w:val="22"/>
                <w:color w:val="auto"/>
              </w:rPr>
              <w:t>(23,942 )</w:t>
            </w:r>
          </w:p>
        </w:tc>
        <w:tc>
          <w:tcPr>
            <w:tcW w:w="460" w:type="dxa"/>
            <w:vAlign w:val="bottom"/>
          </w:tcPr>
          <w:p>
            <w:pPr>
              <w:spacing w:after="0"/>
              <w:rPr>
                <w:sz w:val="19"/>
                <w:szCs w:val="19"/>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22"/>
                <w:szCs w:val="22"/>
                <w:color w:val="auto"/>
              </w:rPr>
              <w:t>(7,713 )</w:t>
            </w:r>
          </w:p>
        </w:tc>
        <w:tc>
          <w:tcPr>
            <w:tcW w:w="0" w:type="dxa"/>
            <w:vAlign w:val="bottom"/>
          </w:tcPr>
          <w:p>
            <w:pPr>
              <w:spacing w:after="0"/>
              <w:rPr>
                <w:sz w:val="1"/>
                <w:szCs w:val="1"/>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22"/>
                <w:szCs w:val="22"/>
                <w:b w:val="1"/>
                <w:bCs w:val="1"/>
                <w:color w:val="auto"/>
              </w:rPr>
              <w:t>(depreciation) on investments and debt</w:t>
            </w:r>
          </w:p>
        </w:tc>
        <w:tc>
          <w:tcPr>
            <w:tcW w:w="440" w:type="dxa"/>
            <w:vAlign w:val="bottom"/>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w w:val="99"/>
              </w:rPr>
              <w:t>Net realized and unrealized gain (loss) from</w:t>
            </w: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6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22"/>
                <w:szCs w:val="22"/>
                <w:color w:val="auto"/>
              </w:rPr>
              <w:t>(12,909 )</w:t>
            </w:r>
          </w:p>
        </w:tc>
        <w:tc>
          <w:tcPr>
            <w:tcW w:w="460" w:type="dxa"/>
            <w:vAlign w:val="bottom"/>
          </w:tcPr>
          <w:p>
            <w:pPr>
              <w:spacing w:after="0"/>
              <w:rPr>
                <w:sz w:val="19"/>
                <w:szCs w:val="19"/>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22"/>
                <w:szCs w:val="22"/>
                <w:color w:val="auto"/>
              </w:rPr>
              <w:t>(16,908 )</w:t>
            </w:r>
          </w:p>
        </w:tc>
        <w:tc>
          <w:tcPr>
            <w:tcW w:w="460" w:type="dxa"/>
            <w:vAlign w:val="bottom"/>
          </w:tcPr>
          <w:p>
            <w:pPr>
              <w:spacing w:after="0"/>
              <w:rPr>
                <w:sz w:val="19"/>
                <w:szCs w:val="19"/>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22"/>
                <w:szCs w:val="22"/>
                <w:color w:val="auto"/>
              </w:rPr>
              <w:t>(37,762 )</w:t>
            </w:r>
          </w:p>
        </w:tc>
        <w:tc>
          <w:tcPr>
            <w:tcW w:w="460" w:type="dxa"/>
            <w:vAlign w:val="bottom"/>
          </w:tcPr>
          <w:p>
            <w:pPr>
              <w:spacing w:after="0"/>
              <w:rPr>
                <w:sz w:val="19"/>
                <w:szCs w:val="19"/>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22"/>
                <w:szCs w:val="22"/>
                <w:color w:val="auto"/>
              </w:rPr>
              <w:t>(19,334 )</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22"/>
                <w:szCs w:val="22"/>
                <w:b w:val="1"/>
                <w:bCs w:val="1"/>
                <w:color w:val="auto"/>
              </w:rPr>
              <w:t>investments and debt</w:t>
            </w:r>
          </w:p>
        </w:tc>
        <w:tc>
          <w:tcPr>
            <w:tcW w:w="440" w:type="dxa"/>
            <w:vAlign w:val="bottom"/>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w w:val="93"/>
              </w:rPr>
              <w:t>Net increase (decrease) in net assets resulting</w:t>
            </w: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6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22"/>
                <w:szCs w:val="22"/>
                <w:color w:val="auto"/>
              </w:rPr>
              <w:t>5,593</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22"/>
                <w:szCs w:val="22"/>
                <w:color w:val="auto"/>
              </w:rPr>
              <w:t>(5,085 )</w:t>
            </w:r>
          </w:p>
        </w:tc>
        <w:tc>
          <w:tcPr>
            <w:tcW w:w="460" w:type="dxa"/>
            <w:vAlign w:val="bottom"/>
            <w:vMerge w:val="restart"/>
          </w:tcPr>
          <w:p>
            <w:pPr>
              <w:jc w:val="right"/>
              <w:ind w:right="232"/>
              <w:spacing w:after="0"/>
              <w:rPr>
                <w:sz w:val="20"/>
                <w:szCs w:val="20"/>
                <w:color w:val="auto"/>
              </w:rPr>
            </w:pPr>
            <w:r>
              <w:rPr>
                <w:rFonts w:ascii="Arial" w:cs="Arial" w:eastAsia="Arial" w:hAnsi="Arial"/>
                <w:sz w:val="22"/>
                <w:szCs w:val="22"/>
                <w:color w:val="auto"/>
                <w:w w:val="81"/>
              </w:rPr>
              <w:t>$</w:t>
            </w:r>
          </w:p>
        </w:tc>
        <w:tc>
          <w:tcPr>
            <w:tcW w:w="1020" w:type="dxa"/>
            <w:vAlign w:val="bottom"/>
            <w:vMerge w:val="restart"/>
          </w:tcPr>
          <w:p>
            <w:pPr>
              <w:jc w:val="right"/>
              <w:spacing w:after="0"/>
              <w:rPr>
                <w:sz w:val="20"/>
                <w:szCs w:val="20"/>
                <w:color w:val="auto"/>
              </w:rPr>
            </w:pPr>
            <w:r>
              <w:rPr>
                <w:rFonts w:ascii="Arial" w:cs="Arial" w:eastAsia="Arial" w:hAnsi="Arial"/>
                <w:sz w:val="22"/>
                <w:szCs w:val="22"/>
                <w:color w:val="auto"/>
              </w:rPr>
              <w:t>11,215</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22"/>
                <w:szCs w:val="22"/>
                <w:color w:val="auto"/>
              </w:rPr>
              <w:t>16,592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60" w:type="dxa"/>
            <w:vAlign w:val="bottom"/>
          </w:tcPr>
          <w:p>
            <w:pPr>
              <w:spacing w:after="0"/>
              <w:rPr>
                <w:sz w:val="20"/>
                <w:szCs w:val="20"/>
                <w:color w:val="auto"/>
              </w:rPr>
            </w:pPr>
            <w:r>
              <w:rPr>
                <w:rFonts w:ascii="Arial" w:cs="Arial" w:eastAsia="Arial" w:hAnsi="Arial"/>
                <w:sz w:val="22"/>
                <w:szCs w:val="22"/>
                <w:b w:val="1"/>
                <w:bCs w:val="1"/>
                <w:color w:val="auto"/>
              </w:rPr>
              <w:t>from operations</w:t>
            </w:r>
          </w:p>
        </w:tc>
        <w:tc>
          <w:tcPr>
            <w:tcW w:w="4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line="236" w:lineRule="exact"/>
              <w:rPr>
                <w:sz w:val="20"/>
                <w:szCs w:val="20"/>
                <w:color w:val="auto"/>
              </w:rPr>
            </w:pPr>
            <w:r>
              <w:rPr>
                <w:rFonts w:ascii="Arial" w:cs="Arial" w:eastAsia="Arial" w:hAnsi="Arial"/>
                <w:sz w:val="22"/>
                <w:szCs w:val="22"/>
                <w:b w:val="1"/>
                <w:bCs w:val="1"/>
                <w:color w:val="auto"/>
                <w:w w:val="93"/>
              </w:rPr>
              <w:t>Net increase (decrease) in net assets resulting</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560" w:type="dxa"/>
            <w:vAlign w:val="bottom"/>
            <w:vMerge w:val="continue"/>
          </w:tcPr>
          <w:p>
            <w:pPr>
              <w:spacing w:after="0"/>
              <w:rPr>
                <w:sz w:val="17"/>
                <w:szCs w:val="17"/>
                <w:color w:val="auto"/>
              </w:rPr>
            </w:pPr>
          </w:p>
        </w:tc>
        <w:tc>
          <w:tcPr>
            <w:tcW w:w="440" w:type="dxa"/>
            <w:vAlign w:val="bottom"/>
            <w:vMerge w:val="restart"/>
          </w:tcPr>
          <w:p>
            <w:pPr>
              <w:jc w:val="right"/>
              <w:ind w:right="243"/>
              <w:spacing w:after="0"/>
              <w:rPr>
                <w:sz w:val="20"/>
                <w:szCs w:val="20"/>
                <w:color w:val="auto"/>
              </w:rPr>
            </w:pPr>
            <w:r>
              <w:rPr>
                <w:rFonts w:ascii="Arial" w:cs="Arial" w:eastAsia="Arial" w:hAnsi="Arial"/>
                <w:sz w:val="19"/>
                <w:szCs w:val="19"/>
                <w:color w:val="auto"/>
                <w:w w:val="75"/>
              </w:rPr>
              <w:t>$</w:t>
            </w:r>
          </w:p>
        </w:tc>
        <w:tc>
          <w:tcPr>
            <w:tcW w:w="1020" w:type="dxa"/>
            <w:vAlign w:val="bottom"/>
            <w:vMerge w:val="restart"/>
          </w:tcPr>
          <w:p>
            <w:pPr>
              <w:jc w:val="right"/>
              <w:spacing w:after="0"/>
              <w:rPr>
                <w:sz w:val="20"/>
                <w:szCs w:val="20"/>
                <w:color w:val="auto"/>
              </w:rPr>
            </w:pPr>
            <w:r>
              <w:rPr>
                <w:rFonts w:ascii="Arial" w:cs="Arial" w:eastAsia="Arial" w:hAnsi="Arial"/>
                <w:sz w:val="22"/>
                <w:szCs w:val="22"/>
                <w:color w:val="auto"/>
              </w:rPr>
              <w:t>0.11</w:t>
            </w:r>
          </w:p>
        </w:tc>
        <w:tc>
          <w:tcPr>
            <w:tcW w:w="220" w:type="dxa"/>
            <w:vAlign w:val="bottom"/>
          </w:tcPr>
          <w:p>
            <w:pPr>
              <w:spacing w:after="0"/>
              <w:rPr>
                <w:sz w:val="17"/>
                <w:szCs w:val="17"/>
                <w:color w:val="auto"/>
              </w:rPr>
            </w:pPr>
          </w:p>
        </w:tc>
        <w:tc>
          <w:tcPr>
            <w:tcW w:w="460" w:type="dxa"/>
            <w:vAlign w:val="bottom"/>
            <w:vMerge w:val="restart"/>
          </w:tcPr>
          <w:p>
            <w:pPr>
              <w:jc w:val="right"/>
              <w:ind w:right="232"/>
              <w:spacing w:after="0"/>
              <w:rPr>
                <w:sz w:val="20"/>
                <w:szCs w:val="20"/>
                <w:color w:val="auto"/>
              </w:rPr>
            </w:pPr>
            <w:r>
              <w:rPr>
                <w:rFonts w:ascii="Arial" w:cs="Arial" w:eastAsia="Arial" w:hAnsi="Arial"/>
                <w:sz w:val="22"/>
                <w:szCs w:val="22"/>
                <w:color w:val="auto"/>
                <w:w w:val="81"/>
              </w:rPr>
              <w:t>$</w:t>
            </w: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22"/>
                <w:szCs w:val="22"/>
                <w:color w:val="auto"/>
              </w:rPr>
              <w:t>(0.12 )</w:t>
            </w:r>
          </w:p>
        </w:tc>
        <w:tc>
          <w:tcPr>
            <w:tcW w:w="460" w:type="dxa"/>
            <w:vAlign w:val="bottom"/>
            <w:vMerge w:val="restart"/>
          </w:tcPr>
          <w:p>
            <w:pPr>
              <w:jc w:val="right"/>
              <w:ind w:right="232"/>
              <w:spacing w:after="0"/>
              <w:rPr>
                <w:sz w:val="20"/>
                <w:szCs w:val="20"/>
                <w:color w:val="auto"/>
              </w:rPr>
            </w:pPr>
            <w:r>
              <w:rPr>
                <w:rFonts w:ascii="Arial" w:cs="Arial" w:eastAsia="Arial" w:hAnsi="Arial"/>
                <w:sz w:val="22"/>
                <w:szCs w:val="22"/>
                <w:color w:val="auto"/>
                <w:w w:val="81"/>
              </w:rPr>
              <w:t>$</w:t>
            </w:r>
          </w:p>
        </w:tc>
        <w:tc>
          <w:tcPr>
            <w:tcW w:w="1020" w:type="dxa"/>
            <w:vAlign w:val="bottom"/>
            <w:vMerge w:val="restart"/>
          </w:tcPr>
          <w:p>
            <w:pPr>
              <w:jc w:val="right"/>
              <w:spacing w:after="0"/>
              <w:rPr>
                <w:sz w:val="20"/>
                <w:szCs w:val="20"/>
                <w:color w:val="auto"/>
              </w:rPr>
            </w:pPr>
            <w:r>
              <w:rPr>
                <w:rFonts w:ascii="Arial" w:cs="Arial" w:eastAsia="Arial" w:hAnsi="Arial"/>
                <w:sz w:val="22"/>
                <w:szCs w:val="22"/>
                <w:color w:val="auto"/>
              </w:rPr>
              <w:t>0.23</w:t>
            </w:r>
          </w:p>
        </w:tc>
        <w:tc>
          <w:tcPr>
            <w:tcW w:w="220" w:type="dxa"/>
            <w:vAlign w:val="bottom"/>
          </w:tcPr>
          <w:p>
            <w:pPr>
              <w:spacing w:after="0"/>
              <w:rPr>
                <w:sz w:val="17"/>
                <w:szCs w:val="17"/>
                <w:color w:val="auto"/>
              </w:rPr>
            </w:pPr>
          </w:p>
        </w:tc>
        <w:tc>
          <w:tcPr>
            <w:tcW w:w="460" w:type="dxa"/>
            <w:vAlign w:val="bottom"/>
            <w:vMerge w:val="restart"/>
          </w:tcPr>
          <w:p>
            <w:pPr>
              <w:jc w:val="right"/>
              <w:ind w:right="232"/>
              <w:spacing w:after="0"/>
              <w:rPr>
                <w:sz w:val="20"/>
                <w:szCs w:val="20"/>
                <w:color w:val="auto"/>
              </w:rPr>
            </w:pPr>
            <w:r>
              <w:rPr>
                <w:rFonts w:ascii="Arial" w:cs="Arial" w:eastAsia="Arial" w:hAnsi="Arial"/>
                <w:sz w:val="22"/>
                <w:szCs w:val="22"/>
                <w:color w:val="auto"/>
                <w:w w:val="81"/>
              </w:rPr>
              <w:t>$</w:t>
            </w:r>
          </w:p>
        </w:tc>
        <w:tc>
          <w:tcPr>
            <w:tcW w:w="1020" w:type="dxa"/>
            <w:vAlign w:val="bottom"/>
            <w:vMerge w:val="restart"/>
          </w:tcPr>
          <w:p>
            <w:pPr>
              <w:jc w:val="right"/>
              <w:spacing w:after="0"/>
              <w:rPr>
                <w:sz w:val="20"/>
                <w:szCs w:val="20"/>
                <w:color w:val="auto"/>
              </w:rPr>
            </w:pPr>
            <w:r>
              <w:rPr>
                <w:rFonts w:ascii="Arial" w:cs="Arial" w:eastAsia="Arial" w:hAnsi="Arial"/>
                <w:sz w:val="22"/>
                <w:szCs w:val="22"/>
                <w:color w:val="auto"/>
              </w:rPr>
              <w:t>0.42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560" w:type="dxa"/>
            <w:vAlign w:val="bottom"/>
          </w:tcPr>
          <w:p>
            <w:pPr>
              <w:spacing w:after="0"/>
              <w:rPr>
                <w:sz w:val="20"/>
                <w:szCs w:val="20"/>
                <w:color w:val="auto"/>
              </w:rPr>
            </w:pPr>
            <w:r>
              <w:rPr>
                <w:rFonts w:ascii="Arial" w:cs="Arial" w:eastAsia="Arial" w:hAnsi="Arial"/>
                <w:sz w:val="22"/>
                <w:szCs w:val="22"/>
                <w:b w:val="1"/>
                <w:bCs w:val="1"/>
                <w:color w:val="auto"/>
              </w:rPr>
              <w:t>from operations per common share</w:t>
            </w:r>
          </w:p>
        </w:tc>
        <w:tc>
          <w:tcPr>
            <w:tcW w:w="44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560" w:type="dxa"/>
            <w:vAlign w:val="bottom"/>
            <w:vMerge w:val="restart"/>
          </w:tcPr>
          <w:p>
            <w:pPr>
              <w:spacing w:after="0"/>
              <w:rPr>
                <w:sz w:val="20"/>
                <w:szCs w:val="20"/>
                <w:color w:val="auto"/>
              </w:rPr>
            </w:pPr>
            <w:r>
              <w:rPr>
                <w:rFonts w:ascii="Arial" w:cs="Arial" w:eastAsia="Arial" w:hAnsi="Arial"/>
                <w:sz w:val="22"/>
                <w:szCs w:val="22"/>
                <w:color w:val="auto"/>
              </w:rPr>
              <w:t>Net investment income per common share</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560" w:type="dxa"/>
            <w:vAlign w:val="bottom"/>
            <w:vMerge w:val="continue"/>
          </w:tcPr>
          <w:p>
            <w:pPr>
              <w:spacing w:after="0"/>
              <w:rPr>
                <w:sz w:val="22"/>
                <w:szCs w:val="22"/>
                <w:color w:val="auto"/>
              </w:rPr>
            </w:pPr>
          </w:p>
        </w:tc>
        <w:tc>
          <w:tcPr>
            <w:tcW w:w="440" w:type="dxa"/>
            <w:vAlign w:val="bottom"/>
            <w:tcBorders>
              <w:bottom w:val="single" w:sz="8" w:color="auto"/>
            </w:tcBorders>
          </w:tcPr>
          <w:p>
            <w:pPr>
              <w:jc w:val="right"/>
              <w:ind w:right="243"/>
              <w:spacing w:after="0"/>
              <w:rPr>
                <w:sz w:val="20"/>
                <w:szCs w:val="20"/>
                <w:color w:val="auto"/>
              </w:rPr>
            </w:pPr>
            <w:r>
              <w:rPr>
                <w:rFonts w:ascii="Arial" w:cs="Arial" w:eastAsia="Arial" w:hAnsi="Arial"/>
                <w:sz w:val="19"/>
                <w:szCs w:val="19"/>
                <w:color w:val="auto"/>
                <w:w w:val="7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0.36</w:t>
            </w:r>
          </w:p>
        </w:tc>
        <w:tc>
          <w:tcPr>
            <w:tcW w:w="220" w:type="dxa"/>
            <w:vAlign w:val="bottom"/>
          </w:tcPr>
          <w:p>
            <w:pPr>
              <w:spacing w:after="0"/>
              <w:rPr>
                <w:sz w:val="22"/>
                <w:szCs w:val="22"/>
                <w:color w:val="auto"/>
              </w:rPr>
            </w:pP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0.29</w:t>
            </w:r>
          </w:p>
        </w:tc>
        <w:tc>
          <w:tcPr>
            <w:tcW w:w="240" w:type="dxa"/>
            <w:vAlign w:val="bottom"/>
          </w:tcPr>
          <w:p>
            <w:pPr>
              <w:spacing w:after="0"/>
              <w:rPr>
                <w:sz w:val="22"/>
                <w:szCs w:val="22"/>
                <w:color w:val="auto"/>
              </w:rPr>
            </w:pP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1.02</w:t>
            </w:r>
          </w:p>
        </w:tc>
        <w:tc>
          <w:tcPr>
            <w:tcW w:w="220" w:type="dxa"/>
            <w:vAlign w:val="bottom"/>
          </w:tcPr>
          <w:p>
            <w:pPr>
              <w:spacing w:after="0"/>
              <w:rPr>
                <w:sz w:val="22"/>
                <w:szCs w:val="22"/>
                <w:color w:val="auto"/>
              </w:rPr>
            </w:pP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0.90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or the Company, is a business development company that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middle-market credit platform, managing $6.6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(2)(B) of the Securities Exchange Act of 1934, as amended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CONTACT:Richard T. Allorto, Jr.</w:t>
      </w:r>
    </w:p>
    <w:p>
      <w:pPr>
        <w:sectPr>
          <w:pgSz w:w="11900" w:h="16838" w:orient="portrait"/>
          <w:cols w:equalWidth="0" w:num="1">
            <w:col w:w="11240"/>
          </w:cols>
          <w:pgMar w:left="320" w:top="126" w:right="339" w:bottom="0" w:gutter="0" w:footer="0" w:header="0"/>
        </w:sectPr>
      </w:pPr>
    </w:p>
    <w:bookmarkStart w:id="9" w:name="page10"/>
    <w:bookmarkEnd w:id="9"/>
    <w:p>
      <w:pPr>
        <w:spacing w:after="0"/>
        <w:rPr>
          <w:sz w:val="20"/>
          <w:szCs w:val="20"/>
          <w:color w:val="auto"/>
        </w:rPr>
      </w:pPr>
      <w:r>
        <w:rPr>
          <w:rFonts w:ascii="Arial" w:cs="Arial" w:eastAsia="Arial" w:hAnsi="Arial"/>
          <w:sz w:val="19"/>
          <w:szCs w:val="19"/>
          <w:color w:val="auto"/>
        </w:rPr>
        <w:t>PennantPark Floating Rate Capital Ltd.</w:t>
      </w:r>
    </w:p>
    <w:p>
      <w:pPr>
        <w:spacing w:after="0" w:line="56" w:lineRule="exact"/>
        <w:rPr>
          <w:sz w:val="20"/>
          <w:szCs w:val="20"/>
          <w:color w:val="auto"/>
        </w:rPr>
      </w:pPr>
    </w:p>
    <w:p>
      <w:pPr>
        <w:ind w:right="7039"/>
        <w:spacing w:after="0" w:line="353" w:lineRule="auto"/>
        <w:tabs>
          <w:tab w:leader="none" w:pos="522" w:val="left"/>
        </w:tabs>
        <w:numPr>
          <w:ilvl w:val="0"/>
          <w:numId w:val="4"/>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9039"/>
      </w:cols>
      <w:pgMar w:left="142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2023-08-09T15:19:38Z</dcterms:created>
  <dcterms:modified xsi:type="dcterms:W3CDTF">2023-08-09T15:19:38Z</dcterms:modified>
</cp:coreProperties>
</file>