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333-235532</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the Prospectus dated January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160020</wp:posOffset>
            </wp:positionV>
            <wp:extent cx="221996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Up to $75 million</w:t>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8" w:lineRule="exact"/>
        <w:rPr>
          <w:sz w:val="24"/>
          <w:szCs w:val="24"/>
          <w:color w:val="auto"/>
        </w:rPr>
      </w:pPr>
    </w:p>
    <w:p>
      <w:pPr>
        <w:ind w:left="120" w:right="160"/>
        <w:spacing w:after="0" w:line="247" w:lineRule="auto"/>
        <w:rPr>
          <w:sz w:val="20"/>
          <w:szCs w:val="20"/>
          <w:color w:val="auto"/>
        </w:rPr>
      </w:pPr>
      <w:r>
        <w:rPr>
          <w:rFonts w:ascii="Arial" w:cs="Arial" w:eastAsia="Arial" w:hAnsi="Arial"/>
          <w:sz w:val="13"/>
          <w:szCs w:val="13"/>
          <w:color w:val="auto"/>
        </w:rPr>
        <w:t>PennantPark Floating Rate Capital Ltd. (“we”, “our”, or “us”) has entered into separate equity distribution agreements, each dated August 20, 2021, with JMP Securities LLC and Raymond James &amp; Associates, Inc., each, a sales agent, relating to the shares of our common stock offered by this prospectus supplement and the accompanying prospectus. The equity distribution agreements provide that we may offer and sell shares of our common stock having an aggregate offering price of up to $75 million from time to time through the sales agents. Sales of our common stock, if any, under this prospectus supplement and the accompanying prospectus may be made in negotiated transactions or transactions that are deemed to be “at the market,” as defined in Rule 415 under the Securities Act of 1933, as amended, or the Securities Act, including sales made directly on The Nasdaq Global Select Market, or Nasdaq, or any similar securities exchange or sales made to or through a market maker other than on a securities exchange, at prices related to the prevailing market prices or at negotiated prices. See “Plan of Distribution.” As of the date of this prospectus supplement, we have not sold any shares of common stock under the equity distribution agreements.</w:t>
      </w:r>
    </w:p>
    <w:p>
      <w:pPr>
        <w:spacing w:after="0" w:line="71" w:lineRule="exact"/>
        <w:rPr>
          <w:sz w:val="24"/>
          <w:szCs w:val="24"/>
          <w:color w:val="auto"/>
        </w:rPr>
      </w:pPr>
    </w:p>
    <w:p>
      <w:pPr>
        <w:ind w:left="120" w:right="320"/>
        <w:spacing w:after="0" w:line="273" w:lineRule="auto"/>
        <w:rPr>
          <w:sz w:val="20"/>
          <w:szCs w:val="20"/>
          <w:color w:val="auto"/>
        </w:rPr>
      </w:pPr>
      <w:r>
        <w:rPr>
          <w:rFonts w:ascii="Arial" w:cs="Arial" w:eastAsia="Arial" w:hAnsi="Arial"/>
          <w:sz w:val="12"/>
          <w:szCs w:val="12"/>
          <w:color w:val="auto"/>
        </w:rPr>
        <w:t>PennantPark Floating Rate Capital Ltd.,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57" w:lineRule="exact"/>
        <w:rPr>
          <w:sz w:val="24"/>
          <w:szCs w:val="24"/>
          <w:color w:val="auto"/>
        </w:rPr>
      </w:pPr>
    </w:p>
    <w:p>
      <w:pPr>
        <w:ind w:left="120" w:right="460"/>
        <w:spacing w:after="0" w:line="238" w:lineRule="auto"/>
        <w:rPr>
          <w:sz w:val="20"/>
          <w:szCs w:val="20"/>
          <w:color w:val="auto"/>
        </w:rPr>
      </w:pPr>
      <w:r>
        <w:rPr>
          <w:rFonts w:ascii="Arial" w:cs="Arial" w:eastAsia="Arial" w:hAnsi="Arial"/>
          <w:sz w:val="14"/>
          <w:szCs w:val="14"/>
          <w:color w:val="auto"/>
        </w:rPr>
        <w:t>Our common stock is traded on Nasdaq and The Tel Aviv Stock Exchange, or TASE, under the symbol “PFLT”. The last reported closing price for our common stock on Nasdaq on August 19, 2021 was $12.51 per share. The net asset value, or NAV, of our common stock as of June 30, 2021 (the last date prior to the date of this prospectus supplement on which we determined NAV) was $12.81 per share.</w:t>
      </w:r>
    </w:p>
    <w:p>
      <w:pPr>
        <w:spacing w:after="0" w:line="75" w:lineRule="exact"/>
        <w:rPr>
          <w:sz w:val="24"/>
          <w:szCs w:val="24"/>
          <w:color w:val="auto"/>
        </w:rPr>
      </w:pPr>
    </w:p>
    <w:p>
      <w:pPr>
        <w:ind w:left="120" w:right="100"/>
        <w:spacing w:after="0" w:line="227" w:lineRule="auto"/>
        <w:rPr>
          <w:sz w:val="20"/>
          <w:szCs w:val="20"/>
          <w:color w:val="auto"/>
        </w:rPr>
      </w:pPr>
      <w:r>
        <w:rPr>
          <w:rFonts w:ascii="Arial" w:cs="Arial" w:eastAsia="Arial" w:hAnsi="Arial"/>
          <w:sz w:val="14"/>
          <w:szCs w:val="14"/>
          <w:color w:val="auto"/>
        </w:rPr>
        <w:t>Under the terms of the equity distribution agreements, each sales agent will receive a commission from us of up to 2.0% of the gross sales price of any shares of common stock sold through such sales agent under the applicable equity distribution agreement. The sales agents are not required to sell any specific number or dollar amount of common stock but will use their commercially reasonable efforts consistent with their respective sales and trading practices to sell the shares of our common stock offered by this prospectus supplement and the accompanying prospectus. We may also sell shares of common stock to a sales agent, as principal for its own account, at a price agreed upon at the time of sale. If we sell shares to a sales agent as principal, we will enter into a separate agreement with such sales agent, setting forth the terms of such transaction, and we will describe such agreement in a separate prospectus supplement. See “Plan of Distribution” beginning on page S-14 of this prospectus supplement. The sales price per share of our common stock offered by this prospectus supplement and the accompanying prospectus, less commissions payable under the applicable equity distribution agreement and discounts, if any, will not be less than the NAV per share of our common stock at the time of such sale.</w:t>
      </w:r>
    </w:p>
    <w:p>
      <w:pPr>
        <w:spacing w:after="0" w:line="78" w:lineRule="exact"/>
        <w:rPr>
          <w:sz w:val="24"/>
          <w:szCs w:val="24"/>
          <w:color w:val="auto"/>
        </w:rPr>
      </w:pPr>
    </w:p>
    <w:p>
      <w:pPr>
        <w:ind w:left="120" w:right="40"/>
        <w:spacing w:after="0" w:line="244" w:lineRule="auto"/>
        <w:rPr>
          <w:sz w:val="20"/>
          <w:szCs w:val="20"/>
          <w:color w:val="auto"/>
        </w:rPr>
      </w:pPr>
      <w:r>
        <w:rPr>
          <w:rFonts w:ascii="Arial" w:cs="Arial" w:eastAsia="Arial" w:hAnsi="Arial"/>
          <w:sz w:val="13"/>
          <w:szCs w:val="13"/>
          <w:color w:val="auto"/>
        </w:rPr>
        <w:t>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15</w:t>
      </w:r>
      <w:r>
        <w:rPr>
          <w:rFonts w:ascii="Arial" w:cs="Arial" w:eastAsia="Arial" w:hAnsi="Arial"/>
          <w:sz w:val="11"/>
          <w:szCs w:val="11"/>
          <w:color w:val="auto"/>
        </w:rPr>
        <w:t>th Floor, New York, NY 10022, by calling us collect at (212) 905-1000 or by visiting our</w:t>
      </w:r>
    </w:p>
    <w:p>
      <w:pPr>
        <w:ind w:left="120" w:right="200"/>
        <w:spacing w:after="0" w:line="181" w:lineRule="auto"/>
        <w:rPr>
          <w:sz w:val="20"/>
          <w:szCs w:val="20"/>
          <w:color w:val="auto"/>
        </w:rPr>
      </w:pPr>
      <w:r>
        <w:rPr>
          <w:rFonts w:ascii="Arial" w:cs="Arial" w:eastAsia="Arial" w:hAnsi="Arial"/>
          <w:sz w:val="20"/>
          <w:szCs w:val="20"/>
          <w:color w:val="auto"/>
          <w:vertAlign w:val="subscript"/>
        </w:rPr>
        <w:t>website at</w:t>
      </w:r>
      <w:r>
        <w:rPr>
          <w:rFonts w:ascii="Arial" w:cs="Arial" w:eastAsia="Arial" w:hAnsi="Arial"/>
          <w:sz w:val="8"/>
          <w:szCs w:val="8"/>
          <w:i w:val="1"/>
          <w:iCs w:val="1"/>
          <w:color w:val="auto"/>
        </w:rPr>
        <w:t xml:space="preserve"> </w:t>
      </w:r>
      <w:r>
        <w:rPr>
          <w:rFonts w:ascii="Arial" w:cs="Arial" w:eastAsia="Arial" w:hAnsi="Arial"/>
          <w:sz w:val="8"/>
          <w:szCs w:val="8"/>
          <w:i w:val="1"/>
          <w:iCs w:val="1"/>
          <w:u w:val="single" w:color="auto"/>
          <w:color w:val="auto"/>
        </w:rPr>
        <w:t>www.pennantpark.com</w:t>
      </w:r>
      <w:r>
        <w:rPr>
          <w:rFonts w:ascii="Arial" w:cs="Arial" w:eastAsia="Arial" w:hAnsi="Arial"/>
          <w:sz w:val="8"/>
          <w:szCs w:val="8"/>
          <w:color w:val="auto"/>
        </w:rPr>
        <w:t>. Except for the documents incorporated by reference into this prospectus supplement and the accompanying prospectus, the information on our website is not part of this prospectus supplement or the accompanying prospectus. The SEC also maintains a website at</w:t>
      </w:r>
      <w:r>
        <w:rPr>
          <w:rFonts w:ascii="Arial" w:cs="Arial" w:eastAsia="Arial" w:hAnsi="Arial"/>
          <w:sz w:val="8"/>
          <w:szCs w:val="8"/>
          <w:i w:val="1"/>
          <w:iCs w:val="1"/>
          <w:color w:val="auto"/>
        </w:rPr>
        <w:t xml:space="preserve"> </w:t>
      </w:r>
      <w:r>
        <w:rPr>
          <w:rFonts w:ascii="Arial" w:cs="Arial" w:eastAsia="Arial" w:hAnsi="Arial"/>
          <w:sz w:val="8"/>
          <w:szCs w:val="8"/>
          <w:i w:val="1"/>
          <w:iCs w:val="1"/>
          <w:u w:val="single" w:color="auto"/>
          <w:color w:val="auto"/>
        </w:rPr>
        <w:t>www.sec.gov</w:t>
      </w:r>
      <w:r>
        <w:rPr>
          <w:rFonts w:ascii="Arial" w:cs="Arial" w:eastAsia="Arial" w:hAnsi="Arial"/>
          <w:sz w:val="8"/>
          <w:szCs w:val="8"/>
          <w:i w:val="1"/>
          <w:iCs w:val="1"/>
          <w:color w:val="auto"/>
        </w:rPr>
        <w:t xml:space="preserve"> </w:t>
      </w:r>
      <w:r>
        <w:rPr>
          <w:rFonts w:ascii="Arial" w:cs="Arial" w:eastAsia="Arial" w:hAnsi="Arial"/>
          <w:sz w:val="8"/>
          <w:szCs w:val="8"/>
          <w:color w:val="auto"/>
        </w:rPr>
        <w:t>that contains such information free of charge.</w:t>
      </w:r>
    </w:p>
    <w:p>
      <w:pPr>
        <w:spacing w:after="0" w:line="122" w:lineRule="exact"/>
        <w:rPr>
          <w:sz w:val="24"/>
          <w:szCs w:val="24"/>
          <w:color w:val="auto"/>
        </w:rPr>
      </w:pPr>
    </w:p>
    <w:p>
      <w:pPr>
        <w:ind w:left="120" w:right="20"/>
        <w:spacing w:after="0" w:line="275"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common stock involves a high degree of risk, including the risk of leverage. Before buying any shares of our common stock, you should read the discussion of the material risks of investing in us described in the section titled “Risk Factors” in our most recent Annual Report on </w:t>
      </w:r>
      <w:hyperlink r:id="rId10">
        <w:r>
          <w:rPr>
            <w:rFonts w:ascii="Arial" w:cs="Arial" w:eastAsia="Arial" w:hAnsi="Arial"/>
            <w:sz w:val="16"/>
            <w:szCs w:val="16"/>
            <w:b w:val="1"/>
            <w:bCs w:val="1"/>
            <w:u w:val="single" w:color="auto"/>
            <w:color w:val="0000EE"/>
          </w:rPr>
          <w:t>Form 10-K</w:t>
        </w:r>
      </w:hyperlink>
      <w:r>
        <w:rPr>
          <w:rFonts w:ascii="Arial" w:cs="Arial" w:eastAsia="Arial" w:hAnsi="Arial"/>
          <w:sz w:val="16"/>
          <w:szCs w:val="16"/>
          <w:b w:val="1"/>
          <w:bCs w:val="1"/>
          <w:color w:val="auto"/>
        </w:rPr>
        <w:t xml:space="preserve">, our most recent Quarterly Report on </w:t>
      </w:r>
      <w:hyperlink r:id="rId11">
        <w:r>
          <w:rPr>
            <w:rFonts w:ascii="Arial" w:cs="Arial" w:eastAsia="Arial" w:hAnsi="Arial"/>
            <w:sz w:val="16"/>
            <w:szCs w:val="16"/>
            <w:b w:val="1"/>
            <w:bCs w:val="1"/>
            <w:u w:val="single" w:color="auto"/>
            <w:color w:val="0000EE"/>
          </w:rPr>
          <w:t>Form 10-Q</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and under similar headings in other documents that are filed with the SEC on or after the date hereof and incorporated by reference into this prospectus supplement and the accompanying prospectus.</w:t>
      </w:r>
    </w:p>
    <w:p>
      <w:pPr>
        <w:spacing w:after="0" w:line="66" w:lineRule="exact"/>
        <w:rPr>
          <w:sz w:val="20"/>
          <w:szCs w:val="20"/>
          <w:color w:val="auto"/>
        </w:rPr>
      </w:pPr>
    </w:p>
    <w:p>
      <w:pPr>
        <w:ind w:left="120" w:right="240"/>
        <w:spacing w:after="0" w:line="258" w:lineRule="auto"/>
        <w:rPr>
          <w:sz w:val="20"/>
          <w:szCs w:val="20"/>
          <w:color w:val="auto"/>
        </w:rPr>
      </w:pPr>
      <w:r>
        <w:rPr>
          <w:rFonts w:ascii="Arial" w:cs="Arial" w:eastAsia="Arial" w:hAnsi="Arial"/>
          <w:sz w:val="14"/>
          <w:szCs w:val="14"/>
          <w:b w:val="1"/>
          <w:bCs w:val="1"/>
          <w:color w:val="auto"/>
        </w:rPr>
        <w:t>Shares of closed-end investment companies, including BDCs, frequently trade at a discount to their NAV. If our shares trade at a discount to our NAV, it may increase the risk of loss for purchasers in this offering.</w:t>
      </w:r>
    </w:p>
    <w:p>
      <w:pPr>
        <w:spacing w:after="0" w:line="59" w:lineRule="exact"/>
        <w:rPr>
          <w:sz w:val="20"/>
          <w:szCs w:val="20"/>
          <w:color w:val="auto"/>
        </w:rPr>
      </w:pPr>
    </w:p>
    <w:p>
      <w:pPr>
        <w:ind w:left="120" w:right="180"/>
        <w:spacing w:after="0" w:line="258"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68" w:lineRule="exact"/>
        <w:rPr>
          <w:sz w:val="20"/>
          <w:szCs w:val="20"/>
          <w:color w:val="auto"/>
        </w:rPr>
      </w:pPr>
    </w:p>
    <w:p>
      <w:pPr>
        <w:ind w:left="2180"/>
        <w:spacing w:after="0"/>
        <w:tabs>
          <w:tab w:leader="none" w:pos="7660" w:val="left"/>
        </w:tabs>
        <w:rPr>
          <w:sz w:val="20"/>
          <w:szCs w:val="20"/>
          <w:color w:val="auto"/>
        </w:rPr>
      </w:pPr>
      <w:r>
        <w:rPr>
          <w:rFonts w:ascii="Arial" w:cs="Arial" w:eastAsia="Arial" w:hAnsi="Arial"/>
          <w:sz w:val="22"/>
          <w:szCs w:val="22"/>
          <w:b w:val="1"/>
          <w:bCs w:val="1"/>
          <w:color w:val="auto"/>
        </w:rPr>
        <w:t>JMP Securities</w:t>
      </w:r>
      <w:r>
        <w:rPr>
          <w:sz w:val="20"/>
          <w:szCs w:val="20"/>
          <w:color w:val="auto"/>
        </w:rPr>
        <w:tab/>
      </w:r>
      <w:r>
        <w:rPr>
          <w:rFonts w:ascii="Arial" w:cs="Arial" w:eastAsia="Arial" w:hAnsi="Arial"/>
          <w:sz w:val="19"/>
          <w:szCs w:val="19"/>
          <w:b w:val="1"/>
          <w:bCs w:val="1"/>
          <w:color w:val="auto"/>
        </w:rPr>
        <w:t>Raymond James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The date of this prospectus supplement is August 20, 2021.</w:t>
      </w:r>
    </w:p>
    <w:p>
      <w:pPr>
        <w:sectPr>
          <w:pgSz w:w="11900" w:h="16838" w:orient="portrait"/>
          <w:cols w:equalWidth="0" w:num="1">
            <w:col w:w="11140"/>
          </w:cols>
          <w:pgMar w:left="320" w:top="230"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0" w:type="dxa"/>
            <w:vAlign w:val="bottom"/>
            <w:gridSpan w:val="2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8"/>
              </w:rPr>
              <w:t>TABLE OF CONTENTS</w:t>
            </w:r>
          </w:p>
        </w:tc>
        <w:tc>
          <w:tcPr>
            <w:tcW w:w="228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7"/>
              </w:rPr>
              <w:t>PROSPECTUS SUPPLEMENT</w:t>
            </w:r>
          </w:p>
        </w:tc>
        <w:tc>
          <w:tcPr>
            <w:tcW w:w="2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80" w:type="dxa"/>
            <w:vAlign w:val="bottom"/>
            <w:gridSpan w:val="27"/>
          </w:tcPr>
          <w:p>
            <w:pPr>
              <w:spacing w:after="0"/>
              <w:rPr>
                <w:sz w:val="20"/>
                <w:szCs w:val="20"/>
                <w:color w:val="auto"/>
              </w:rPr>
            </w:pPr>
            <w:r>
              <w:rPr>
                <w:rFonts w:ascii="Arial" w:cs="Arial" w:eastAsia="Arial" w:hAnsi="Arial"/>
                <w:sz w:val="18"/>
                <w:szCs w:val="18"/>
                <w:color w:val="0000EE"/>
              </w:rPr>
              <w:t>TABLE OF CONTENTS</w:t>
            </w:r>
          </w:p>
        </w:tc>
        <w:tc>
          <w:tcPr>
            <w:tcW w:w="2280" w:type="dxa"/>
            <w:vAlign w:val="bottom"/>
          </w:tcPr>
          <w:p>
            <w:pPr>
              <w:jc w:val="right"/>
              <w:spacing w:after="0"/>
              <w:rPr>
                <w:sz w:val="20"/>
                <w:szCs w:val="20"/>
                <w:color w:val="auto"/>
              </w:rPr>
            </w:pPr>
            <w:r>
              <w:rPr>
                <w:rFonts w:ascii="Arial" w:cs="Arial" w:eastAsia="Arial" w:hAnsi="Arial"/>
                <w:sz w:val="18"/>
                <w:szCs w:val="18"/>
                <w:color w:val="auto"/>
              </w:rPr>
              <w:t>S-i</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44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5240" w:type="dxa"/>
            <w:vAlign w:val="bottom"/>
            <w:gridSpan w:val="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THE OFFERING</w:t>
              </w:r>
            </w:hyperlink>
          </w:p>
        </w:tc>
        <w:tc>
          <w:tcPr>
            <w:tcW w:w="2000" w:type="dxa"/>
            <w:vAlign w:val="bottom"/>
            <w:tcBorders>
              <w:top w:val="single" w:sz="8" w:color="0000EE"/>
            </w:tcBorders>
            <w:gridSpan w:val="15"/>
          </w:tcPr>
          <w:p>
            <w:pPr>
              <w:spacing w:after="0"/>
              <w:rPr>
                <w:sz w:val="17"/>
                <w:szCs w:val="17"/>
                <w:color w:val="auto"/>
              </w:rPr>
            </w:pPr>
          </w:p>
        </w:tc>
        <w:tc>
          <w:tcPr>
            <w:tcW w:w="5400" w:type="dxa"/>
            <w:vAlign w:val="bottom"/>
            <w:gridSpan w:val="10"/>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FEES AND EXPENSES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20" w:type="dxa"/>
            <w:vAlign w:val="bottom"/>
          </w:tcPr>
          <w:p>
            <w:pPr>
              <w:spacing w:after="0"/>
              <w:rPr>
                <w:sz w:val="17"/>
                <w:szCs w:val="17"/>
                <w:color w:val="auto"/>
              </w:rPr>
            </w:pPr>
          </w:p>
        </w:tc>
        <w:tc>
          <w:tcPr>
            <w:tcW w:w="18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6860" w:type="dxa"/>
            <w:vAlign w:val="bottom"/>
            <w:gridSpan w:val="20"/>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10"/>
          </w:tcPr>
          <w:p>
            <w:pPr>
              <w:spacing w:after="0"/>
              <w:rPr>
                <w:sz w:val="17"/>
                <w:szCs w:val="17"/>
                <w:color w:val="auto"/>
              </w:rPr>
            </w:pPr>
          </w:p>
        </w:tc>
        <w:tc>
          <w:tcPr>
            <w:tcW w:w="576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PLAN OF DISTRIBUTION</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6640" w:type="dxa"/>
            <w:vAlign w:val="bottom"/>
            <w:gridSpan w:val="1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196"/>
        </w:trPr>
        <w:tc>
          <w:tcPr>
            <w:tcW w:w="120" w:type="dxa"/>
            <w:vAlign w:val="bottom"/>
          </w:tcPr>
          <w:p>
            <w:pPr>
              <w:spacing w:after="0"/>
              <w:rPr>
                <w:sz w:val="17"/>
                <w:szCs w:val="17"/>
                <w:color w:val="auto"/>
              </w:rPr>
            </w:pPr>
          </w:p>
        </w:tc>
        <w:tc>
          <w:tcPr>
            <w:tcW w:w="480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INDEPENDENT REGISTERED PUBLIC ACCOUNTING FIRM</w:t>
              </w:r>
            </w:hyperlink>
          </w:p>
        </w:tc>
        <w:tc>
          <w:tcPr>
            <w:tcW w:w="388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196"/>
        </w:trPr>
        <w:tc>
          <w:tcPr>
            <w:tcW w:w="12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INDEPENDENT AUDITOR</w:t>
              </w:r>
            </w:hyperlink>
          </w:p>
        </w:tc>
        <w:tc>
          <w:tcPr>
            <w:tcW w:w="6580" w:type="dxa"/>
            <w:vAlign w:val="bottom"/>
            <w:gridSpan w:val="1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INCORPORATION BY REFERENCE</w:t>
              </w:r>
            </w:hyperlink>
          </w:p>
        </w:tc>
        <w:tc>
          <w:tcPr>
            <w:tcW w:w="586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AVAILABLE INFORMATION</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668"/>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20" w:type="dxa"/>
            <w:vAlign w:val="bottom"/>
            <w:gridSpan w:val="2"/>
          </w:tcPr>
          <w:p>
            <w:pPr>
              <w:jc w:val="center"/>
              <w:ind w:right="2540"/>
              <w:spacing w:after="0"/>
              <w:rPr>
                <w:sz w:val="20"/>
                <w:szCs w:val="20"/>
                <w:color w:val="auto"/>
              </w:rPr>
            </w:pPr>
            <w:r>
              <w:rPr>
                <w:rFonts w:ascii="Arial" w:cs="Arial" w:eastAsia="Arial" w:hAnsi="Arial"/>
                <w:sz w:val="18"/>
                <w:szCs w:val="18"/>
                <w:b w:val="1"/>
                <w:bCs w:val="1"/>
                <w:color w:val="auto"/>
                <w:w w:val="96"/>
              </w:rPr>
              <w:t>PROSPECTUS</w:t>
            </w:r>
          </w:p>
        </w:tc>
        <w:tc>
          <w:tcPr>
            <w:tcW w:w="2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80" w:type="dxa"/>
            <w:vAlign w:val="bottom"/>
            <w:gridSpan w:val="2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PROSPECTUS SUMMARY</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FEES AND EXPENSES</w:t>
              </w:r>
            </w:hyperlink>
          </w:p>
        </w:tc>
        <w:tc>
          <w:tcPr>
            <w:tcW w:w="6600" w:type="dxa"/>
            <w:vAlign w:val="bottom"/>
            <w:gridSpan w:val="1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18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860" w:type="dxa"/>
            <w:vAlign w:val="bottom"/>
            <w:gridSpan w:val="20"/>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FORWARD-LOOKING STATEMENTS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10"/>
          </w:tcPr>
          <w:p>
            <w:pPr>
              <w:spacing w:after="0"/>
              <w:rPr>
                <w:sz w:val="17"/>
                <w:szCs w:val="17"/>
                <w:color w:val="auto"/>
              </w:rPr>
            </w:pPr>
          </w:p>
        </w:tc>
        <w:tc>
          <w:tcPr>
            <w:tcW w:w="576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SENIOR SECURITIES</w:t>
              </w:r>
            </w:hyperlink>
          </w:p>
        </w:tc>
        <w:tc>
          <w:tcPr>
            <w:tcW w:w="6960" w:type="dxa"/>
            <w:vAlign w:val="bottom"/>
            <w:gridSpan w:val="2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PRICE RANGE OF COMMON STOCK</w:t>
              </w:r>
            </w:hyperlink>
          </w:p>
        </w:tc>
        <w:tc>
          <w:tcPr>
            <w:tcW w:w="5720" w:type="dxa"/>
            <w:vAlign w:val="bottom"/>
            <w:gridSpan w:val="1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464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SALES OF COMMON STOCK BELOW NET ASSET VALUE</w:t>
              </w:r>
            </w:hyperlink>
          </w:p>
        </w:tc>
        <w:tc>
          <w:tcPr>
            <w:tcW w:w="4040" w:type="dxa"/>
            <w:vAlign w:val="bottom"/>
            <w:gridSpan w:val="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13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DISTRIBUTIONS</w:t>
              </w:r>
            </w:hyperlink>
          </w:p>
        </w:tc>
        <w:tc>
          <w:tcPr>
            <w:tcW w:w="7320" w:type="dxa"/>
            <w:vAlign w:val="bottom"/>
            <w:gridSpan w:val="2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PORTFOLIO COMPANIES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PORTFOLIO MANAGEMENT</w:t>
              </w:r>
            </w:hyperlink>
          </w:p>
        </w:tc>
        <w:tc>
          <w:tcPr>
            <w:tcW w:w="6360" w:type="dxa"/>
            <w:vAlign w:val="bottom"/>
            <w:gridSpan w:val="1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DETERMINATION OF NET ASSET VALUE</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20" w:type="dxa"/>
            <w:vAlign w:val="bottom"/>
          </w:tcPr>
          <w:p>
            <w:pPr>
              <w:spacing w:after="0"/>
              <w:rPr>
                <w:sz w:val="17"/>
                <w:szCs w:val="17"/>
                <w:color w:val="auto"/>
              </w:rPr>
            </w:pPr>
          </w:p>
        </w:tc>
        <w:tc>
          <w:tcPr>
            <w:tcW w:w="3360" w:type="dxa"/>
            <w:vAlign w:val="bottom"/>
            <w:tcBorders>
              <w:top w:val="single" w:sz="8" w:color="0000EE"/>
            </w:tcBorders>
            <w:gridSpan w:val="18"/>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DESCRIPTION OF OUR CAPITAL STOCK</w:t>
              </w:r>
            </w:hyperlink>
          </w:p>
        </w:tc>
        <w:tc>
          <w:tcPr>
            <w:tcW w:w="5320" w:type="dxa"/>
            <w:vAlign w:val="bottom"/>
            <w:gridSpan w:val="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DESCRIPTION OF OUR PREFERRED STOCK</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35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OUR WARRANTS</w:t>
              </w:r>
            </w:hyperlink>
          </w:p>
        </w:tc>
        <w:tc>
          <w:tcPr>
            <w:tcW w:w="5120" w:type="dxa"/>
            <w:vAlign w:val="bottom"/>
            <w:gridSpan w:val="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DESCRIPTION OF OUR SUBSCRIPTION RIGHTS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20" w:type="dxa"/>
            <w:vAlign w:val="bottom"/>
          </w:tcPr>
          <w:p>
            <w:pPr>
              <w:spacing w:after="0"/>
              <w:rPr>
                <w:sz w:val="17"/>
                <w:szCs w:val="17"/>
                <w:color w:val="auto"/>
              </w:rPr>
            </w:pPr>
          </w:p>
        </w:tc>
        <w:tc>
          <w:tcPr>
            <w:tcW w:w="38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OUR DEBT SECURITIES</w:t>
              </w:r>
            </w:hyperlink>
          </w:p>
        </w:tc>
        <w:tc>
          <w:tcPr>
            <w:tcW w:w="4800" w:type="dxa"/>
            <w:vAlign w:val="bottom"/>
            <w:gridSpan w:val="6"/>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2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48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BROKERAGE ALLOCATIONS AND OTHER PRACTICES</w:t>
              </w:r>
            </w:hyperlink>
          </w:p>
        </w:tc>
        <w:tc>
          <w:tcPr>
            <w:tcW w:w="4200" w:type="dxa"/>
            <w:vAlign w:val="bottom"/>
            <w:gridSpan w:val="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MATERIAL U.S. FEDERAL INCOME TAX CONSIDERATIONS</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20" w:type="dxa"/>
            <w:vAlign w:val="bottom"/>
          </w:tcPr>
          <w:p>
            <w:pPr>
              <w:spacing w:after="0"/>
              <w:rPr>
                <w:sz w:val="17"/>
                <w:szCs w:val="17"/>
                <w:color w:val="auto"/>
              </w:rPr>
            </w:pPr>
          </w:p>
        </w:tc>
        <w:tc>
          <w:tcPr>
            <w:tcW w:w="48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PLAN OF DISTRIBUTION</w:t>
              </w:r>
            </w:hyperlink>
          </w:p>
        </w:tc>
        <w:tc>
          <w:tcPr>
            <w:tcW w:w="382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12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80" w:type="dxa"/>
            <w:vAlign w:val="bottom"/>
            <w:gridSpan w:val="1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94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SUB-ADMINISTRATOR, CUSTODIAN, TRANSFER AGENT AND TRUSTEE</w:t>
              </w:r>
            </w:hyperlink>
          </w:p>
        </w:tc>
        <w:tc>
          <w:tcPr>
            <w:tcW w:w="274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LEGAL MATTERS</w:t>
              </w:r>
            </w:hyperlink>
          </w:p>
        </w:tc>
        <w:tc>
          <w:tcPr>
            <w:tcW w:w="7220" w:type="dxa"/>
            <w:vAlign w:val="bottom"/>
            <w:gridSpan w:val="2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20" w:type="dxa"/>
            <w:vAlign w:val="bottom"/>
          </w:tcPr>
          <w:p>
            <w:pPr>
              <w:spacing w:after="0"/>
              <w:rPr>
                <w:sz w:val="17"/>
                <w:szCs w:val="17"/>
                <w:color w:val="auto"/>
              </w:rPr>
            </w:pPr>
          </w:p>
        </w:tc>
        <w:tc>
          <w:tcPr>
            <w:tcW w:w="480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90">
              <w:r>
                <w:rPr>
                  <w:rFonts w:ascii="Arial" w:cs="Arial" w:eastAsia="Arial" w:hAnsi="Arial"/>
                  <w:sz w:val="18"/>
                  <w:szCs w:val="18"/>
                  <w:color w:val="0000EE"/>
                  <w:w w:val="96"/>
                </w:rPr>
                <w:t>INDEPENDENT REGISTERED PUBLIC ACCOUNTING FIRM</w:t>
              </w:r>
            </w:hyperlink>
          </w:p>
        </w:tc>
        <w:tc>
          <w:tcPr>
            <w:tcW w:w="388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INCORPORATION BY REFERENCE</w:t>
              </w:r>
            </w:hyperlink>
          </w:p>
        </w:tc>
        <w:tc>
          <w:tcPr>
            <w:tcW w:w="5860" w:type="dxa"/>
            <w:vAlign w:val="bottom"/>
            <w:gridSpan w:val="1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20" w:type="dxa"/>
            <w:vAlign w:val="bottom"/>
          </w:tcPr>
          <w:p>
            <w:pPr>
              <w:spacing w:after="0"/>
              <w:rPr>
                <w:sz w:val="17"/>
                <w:szCs w:val="17"/>
                <w:color w:val="auto"/>
              </w:rPr>
            </w:pPr>
          </w:p>
        </w:tc>
        <w:tc>
          <w:tcPr>
            <w:tcW w:w="8680" w:type="dxa"/>
            <w:vAlign w:val="bottom"/>
            <w:gridSpan w:val="2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AVAILABLE INFORMATION</w:t>
              </w:r>
            </w:hyperlink>
          </w:p>
        </w:tc>
        <w:tc>
          <w:tcPr>
            <w:tcW w:w="2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This document is in two parts. The first part is this prospectus supplement, which describes specific details regarding the terms of this offering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or any exhibits and documents incorporated by reference.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w:t>
      </w:r>
    </w:p>
    <w:p>
      <w:pPr>
        <w:spacing w:after="0" w:line="178"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b w:val="1"/>
          <w:bCs w:val="1"/>
          <w:color w:val="auto"/>
        </w:rPr>
        <w:t>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SALES AGENT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SALES AGENTS ARE NOT, MAKING AN OFFER TO SELL SHARES OF OUR COMMON STOCK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SHARES OF OUR COMMON STOCK. OUR BUSINESS, FINANCIAL CONDITION, RESULTS OF OPERATIONS AND PROSPECTS MAY HAVE CHANGED SINCE THOSE DATES.</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the section titled “Risk Factors” in our most recent Annual Report on Form 10-K, our most recent Quarterly Report on Form 10-Q and elsewhere in this prospectus supplement and the accompanying prospectus. You should read carefully the more detailed information set forth under “Risk Factors” and the other information included in this prospectus supplement and accompanying prospectus.</w:t>
      </w:r>
    </w:p>
    <w:p>
      <w:pPr>
        <w:spacing w:after="0" w:line="181" w:lineRule="exact"/>
        <w:rPr>
          <w:sz w:val="20"/>
          <w:szCs w:val="20"/>
          <w:color w:val="auto"/>
        </w:rPr>
      </w:pPr>
    </w:p>
    <w:p>
      <w:pPr>
        <w:ind w:left="300" w:right="40"/>
        <w:spacing w:after="0" w:line="284" w:lineRule="auto"/>
        <w:rPr>
          <w:sz w:val="20"/>
          <w:szCs w:val="20"/>
          <w:color w:val="auto"/>
        </w:rPr>
      </w:pPr>
      <w:r>
        <w:rPr>
          <w:rFonts w:ascii="Arial" w:cs="Arial" w:eastAsia="Arial" w:hAnsi="Arial"/>
          <w:sz w:val="16"/>
          <w:szCs w:val="16"/>
          <w:i w:val="1"/>
          <w:iCs w:val="1"/>
          <w:color w:val="auto"/>
        </w:rPr>
        <w:t>In this prospectus supplement and the accompanying prospectus,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refers to PennantPark Investment Advisers, LLC; “Administrator” refers to PennantPark Investment Administration, LLC; “2023 Notes” refers to our 4.3% Series A notes due 2023; “2026 Notes” refers to our</w:t>
      </w:r>
    </w:p>
    <w:p>
      <w:pPr>
        <w:spacing w:after="0" w:line="4" w:lineRule="exact"/>
        <w:rPr>
          <w:sz w:val="20"/>
          <w:szCs w:val="20"/>
          <w:color w:val="auto"/>
        </w:rPr>
      </w:pPr>
    </w:p>
    <w:p>
      <w:pPr>
        <w:ind w:left="300"/>
        <w:spacing w:after="0" w:line="285" w:lineRule="auto"/>
        <w:rPr>
          <w:sz w:val="20"/>
          <w:szCs w:val="20"/>
          <w:color w:val="auto"/>
        </w:rPr>
      </w:pPr>
      <w:r>
        <w:rPr>
          <w:rFonts w:ascii="Arial" w:cs="Arial" w:eastAsia="Arial" w:hAnsi="Arial"/>
          <w:sz w:val="16"/>
          <w:szCs w:val="16"/>
          <w:i w:val="1"/>
          <w:iCs w:val="1"/>
          <w:color w:val="auto"/>
        </w:rPr>
        <w:t>4.25% notes due 2026; “Code” refers to the Internal Revenue Code of 1986, as amended; “RIC” refers to a regulated investment company under the Code; “BDC” refers to a business development company under the 1940 Act; “TASE” refers to the Tel Aviv Stock Exchange; “Credit Facility” refers to our former multi-currency senior secured revolving credit facility, as amended and restated from time to time, with Truist Bank (formerly SunTrust Bank) and other lenders, originally entered into on June 23, 2011 and terminated on August 12, 2021; “New Credit Facility” refers to our multi-currency senior secured revolving credit facility, as amended from time to time, with Truist Bank, as administrative agent, and other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Loans due 2031 by the Securitization Issuers in connection with the Debt Securitization. References to our portfolio, our investments, our New Credit Facility, and our business include investments we make through our subsidiaries.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private companies whose debt is rated below investment grade.</w:t>
      </w:r>
    </w:p>
    <w:p>
      <w:pPr>
        <w:spacing w:after="0" w:line="184" w:lineRule="exact"/>
        <w:rPr>
          <w:sz w:val="20"/>
          <w:szCs w:val="20"/>
          <w:color w:val="auto"/>
        </w:rPr>
      </w:pPr>
    </w:p>
    <w:p>
      <w:pPr>
        <w:jc w:val="both"/>
        <w:ind w:left="300" w:right="220"/>
        <w:spacing w:after="0" w:line="263" w:lineRule="auto"/>
        <w:rPr>
          <w:sz w:val="20"/>
          <w:szCs w:val="20"/>
          <w:color w:val="auto"/>
        </w:rPr>
      </w:pPr>
      <w:r>
        <w:rPr>
          <w:rFonts w:ascii="Arial" w:cs="Arial" w:eastAsia="Arial" w:hAnsi="Arial"/>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54" w:lineRule="auto"/>
        <w:rPr>
          <w:sz w:val="20"/>
          <w:szCs w:val="20"/>
          <w:color w:val="auto"/>
        </w:rPr>
      </w:pPr>
      <w:r>
        <w:rPr>
          <w:rFonts w:ascii="Arial" w:cs="Arial" w:eastAsia="Arial" w:hAnsi="Arial"/>
          <w:sz w:val="18"/>
          <w:szCs w:val="18"/>
          <w:color w:val="auto"/>
        </w:rPr>
        <w:t>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95" w:lineRule="exact"/>
        <w:rPr>
          <w:sz w:val="20"/>
          <w:szCs w:val="20"/>
          <w:color w:val="auto"/>
        </w:rPr>
      </w:pPr>
    </w:p>
    <w:p>
      <w:pPr>
        <w:ind w:left="300" w:right="140"/>
        <w:spacing w:after="0" w:line="273" w:lineRule="auto"/>
        <w:rPr>
          <w:sz w:val="20"/>
          <w:szCs w:val="20"/>
          <w:color w:val="auto"/>
        </w:rPr>
      </w:pPr>
      <w:r>
        <w:rPr>
          <w:rFonts w:ascii="Arial" w:cs="Arial" w:eastAsia="Arial" w:hAnsi="Arial"/>
          <w:sz w:val="17"/>
          <w:szCs w:val="17"/>
          <w:color w:val="auto"/>
        </w:rPr>
        <w:t>Under normal market conditions, we generally expect that at least 80% of the value of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78"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color w:val="auto"/>
        </w:rPr>
        <w:t>We have entered into an investment management agreement, or the Investment Management Agreement, with the Investment Adviser, an external adviser that manages our day-to-day 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65" w:lineRule="exact"/>
        <w:rPr>
          <w:sz w:val="20"/>
          <w:szCs w:val="20"/>
          <w:color w:val="auto"/>
        </w:rPr>
      </w:pPr>
    </w:p>
    <w:p>
      <w:pPr>
        <w:ind w:left="300" w:right="220"/>
        <w:spacing w:after="0" w:line="263"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the Credit Facility. Funding I also serves as borrower under our New Credit Facility. See “Recent Developments” for more information.</w:t>
      </w:r>
    </w:p>
    <w:p>
      <w:pPr>
        <w:spacing w:after="0" w:line="184" w:lineRule="exact"/>
        <w:rPr>
          <w:sz w:val="20"/>
          <w:szCs w:val="20"/>
          <w:color w:val="auto"/>
        </w:rPr>
      </w:pPr>
    </w:p>
    <w:p>
      <w:pPr>
        <w:ind w:left="300" w:right="780"/>
        <w:spacing w:after="0" w:line="277"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These taxable subsidiaries allow us to hold equity securities of certain</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portfolio companies treated as pass-through entities for U.S. federal income tax purposes while facilitating our ability to qualify as a RIC under the Code.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$13.1 billion in 566 companies with approximately 195 different financial sponsors through its managed funds.</w:t>
      </w:r>
    </w:p>
    <w:p>
      <w:pPr>
        <w:spacing w:after="0" w:line="166"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Arial" w:cs="Arial" w:eastAsia="Arial" w:hAnsi="Arial"/>
          <w:sz w:val="18"/>
          <w:szCs w:val="18"/>
          <w:i w:val="1"/>
          <w:iCs w:val="1"/>
          <w:color w:val="auto"/>
        </w:rPr>
        <w:t>Risk Factors—Risks Relating to our Business and Structure—There are</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potential conflicts of interest which could impact our investment returns</w:t>
      </w:r>
      <w:r>
        <w:rPr>
          <w:rFonts w:ascii="Arial" w:cs="Arial" w:eastAsia="Arial" w:hAnsi="Arial"/>
          <w:sz w:val="18"/>
          <w:szCs w:val="18"/>
          <w:color w:val="auto"/>
        </w:rPr>
        <w:t>” in our most recent Annual Report on Form 10-K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right="40"/>
        <w:spacing w:after="0" w:line="291" w:lineRule="auto"/>
        <w:rPr>
          <w:sz w:val="20"/>
          <w:szCs w:val="20"/>
          <w:color w:val="auto"/>
        </w:rPr>
      </w:pPr>
      <w:r>
        <w:rPr>
          <w:rFonts w:ascii="Arial" w:cs="Arial" w:eastAsia="Arial" w:hAnsi="Arial"/>
          <w:sz w:val="16"/>
          <w:szCs w:val="16"/>
          <w:color w:val="auto"/>
        </w:rPr>
        <w:t>Our administrative and principal executive offices are located at 590 Madison Avenue, 15th Floor, New York, NY 10022. Our common stock is quoted on the Nasdaq Global Select Market and the TASE under the symbol “PFLT.” Our 2023 Notes are listed on the TASE. Our phone number is</w:t>
      </w:r>
    </w:p>
    <w:p>
      <w:pPr>
        <w:ind w:left="300" w:right="40" w:hanging="2"/>
        <w:spacing w:after="0" w:line="271" w:lineRule="auto"/>
        <w:tabs>
          <w:tab w:leader="none" w:pos="735"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Except for the documents incorporated by reference into this prospectus supplement and the accompanying prospectus, the 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right="20"/>
        <w:spacing w:after="0" w:line="301" w:lineRule="auto"/>
        <w:rPr>
          <w:sz w:val="20"/>
          <w:szCs w:val="20"/>
          <w:color w:val="auto"/>
        </w:rPr>
      </w:pPr>
      <w:r>
        <w:rPr>
          <w:rFonts w:ascii="Arial" w:cs="Arial" w:eastAsia="Arial" w:hAnsi="Arial"/>
          <w:sz w:val="16"/>
          <w:szCs w:val="16"/>
          <w:color w:val="auto"/>
        </w:rPr>
        <w:t>On August 12, 2021, we terminated the Credit Facility, and Funding I, as borrower, entered into the New Credit Facility with PennantPark Investment Advisers, as collateral manager, the lenders from time to time party thereto, Truist Bank, as administrative agent, Truist Securities, Inc., as lead arranger, and U.S. Bank National Association, as collateral agent, collateral administration, backup collateral manager and custodian, which provides the ability for Funding I to borrow up to $300 million. The New Credit Facility is secured by all of the assets of Funding I.</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200"/>
        <w:spacing w:after="0" w:line="259" w:lineRule="auto"/>
        <w:rPr>
          <w:sz w:val="20"/>
          <w:szCs w:val="20"/>
          <w:color w:val="auto"/>
        </w:rPr>
      </w:pPr>
      <w:r>
        <w:rPr>
          <w:rFonts w:ascii="Arial" w:cs="Arial" w:eastAsia="Arial" w:hAnsi="Arial"/>
          <w:sz w:val="18"/>
          <w:szCs w:val="18"/>
          <w:color w:val="auto"/>
        </w:rPr>
        <w:t>This section outlines the specific legal and financial terms of this offering. You should read this section together with the more general description of our common stock in the accompanying prospectus under the heading “Description of Our Capital Stock” before investing in our common stock. Capitalized terms used in this prospectus supplement and not otherwise defined shall have the meanings ascribed to them in the accompanying prospectus or in the equity distribution agreements, as applicable.</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Common stock offered by the Company</w:t>
            </w:r>
          </w:p>
        </w:tc>
        <w:tc>
          <w:tcPr>
            <w:tcW w:w="7020" w:type="dxa"/>
            <w:vAlign w:val="bottom"/>
          </w:tcPr>
          <w:p>
            <w:pPr>
              <w:ind w:left="220"/>
              <w:spacing w:after="0"/>
              <w:rPr>
                <w:sz w:val="20"/>
                <w:szCs w:val="20"/>
                <w:color w:val="auto"/>
              </w:rPr>
            </w:pPr>
            <w:r>
              <w:rPr>
                <w:rFonts w:ascii="Arial" w:cs="Arial" w:eastAsia="Arial" w:hAnsi="Arial"/>
                <w:sz w:val="18"/>
                <w:szCs w:val="18"/>
                <w:color w:val="auto"/>
              </w:rPr>
              <w:t>Up to $75 million of our common stock</w:t>
            </w:r>
          </w:p>
        </w:tc>
      </w:tr>
      <w:tr>
        <w:trPr>
          <w:trHeight w:val="351"/>
        </w:trPr>
        <w:tc>
          <w:tcPr>
            <w:tcW w:w="4000" w:type="dxa"/>
            <w:vAlign w:val="bottom"/>
          </w:tcPr>
          <w:p>
            <w:pPr>
              <w:ind w:left="180"/>
              <w:spacing w:after="0"/>
              <w:rPr>
                <w:sz w:val="20"/>
                <w:szCs w:val="20"/>
                <w:color w:val="auto"/>
              </w:rPr>
            </w:pPr>
            <w:r>
              <w:rPr>
                <w:rFonts w:ascii="Arial" w:cs="Arial" w:eastAsia="Arial" w:hAnsi="Arial"/>
                <w:sz w:val="18"/>
                <w:szCs w:val="18"/>
                <w:color w:val="auto"/>
                <w:w w:val="95"/>
              </w:rPr>
              <w:t>Common stock outstanding as of August 19, 2021</w:t>
            </w:r>
          </w:p>
        </w:tc>
        <w:tc>
          <w:tcPr>
            <w:tcW w:w="7020" w:type="dxa"/>
            <w:vAlign w:val="bottom"/>
          </w:tcPr>
          <w:p>
            <w:pPr>
              <w:ind w:left="220"/>
              <w:spacing w:after="0"/>
              <w:rPr>
                <w:sz w:val="20"/>
                <w:szCs w:val="20"/>
                <w:color w:val="auto"/>
              </w:rPr>
            </w:pPr>
            <w:r>
              <w:rPr>
                <w:rFonts w:ascii="Arial" w:cs="Arial" w:eastAsia="Arial" w:hAnsi="Arial"/>
                <w:sz w:val="18"/>
                <w:szCs w:val="18"/>
                <w:color w:val="auto"/>
              </w:rPr>
              <w:t>38,772,074</w:t>
            </w:r>
          </w:p>
        </w:tc>
      </w:tr>
      <w:tr>
        <w:trPr>
          <w:trHeight w:val="337"/>
        </w:trPr>
        <w:tc>
          <w:tcPr>
            <w:tcW w:w="4000" w:type="dxa"/>
            <w:vAlign w:val="bottom"/>
          </w:tcPr>
          <w:p>
            <w:pPr>
              <w:ind w:left="180"/>
              <w:spacing w:after="0"/>
              <w:rPr>
                <w:sz w:val="20"/>
                <w:szCs w:val="20"/>
                <w:color w:val="auto"/>
              </w:rPr>
            </w:pPr>
            <w:r>
              <w:rPr>
                <w:rFonts w:ascii="Arial" w:cs="Arial" w:eastAsia="Arial" w:hAnsi="Arial"/>
                <w:sz w:val="18"/>
                <w:szCs w:val="18"/>
                <w:color w:val="auto"/>
              </w:rPr>
              <w:t>Manner of offering</w:t>
            </w: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“At the market offering” that may be made from time to time through JMP Securities LLC</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and Raymond James &amp; Associates, Inc., the sales agents, using commercially reasonable</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efforts. See “Plan of Distribution.”</w:t>
            </w:r>
          </w:p>
        </w:tc>
      </w:tr>
      <w:tr>
        <w:trPr>
          <w:trHeight w:val="338"/>
        </w:trPr>
        <w:tc>
          <w:tcPr>
            <w:tcW w:w="4000" w:type="dxa"/>
            <w:vAlign w:val="bottom"/>
          </w:tcPr>
          <w:p>
            <w:pPr>
              <w:ind w:left="180"/>
              <w:spacing w:after="0"/>
              <w:rPr>
                <w:sz w:val="20"/>
                <w:szCs w:val="20"/>
                <w:color w:val="auto"/>
              </w:rPr>
            </w:pPr>
            <w:r>
              <w:rPr>
                <w:rFonts w:ascii="Arial" w:cs="Arial" w:eastAsia="Arial" w:hAnsi="Arial"/>
                <w:sz w:val="18"/>
                <w:szCs w:val="18"/>
                <w:color w:val="auto"/>
              </w:rPr>
              <w:t>Nasdaq symbol</w:t>
            </w:r>
          </w:p>
        </w:tc>
        <w:tc>
          <w:tcPr>
            <w:tcW w:w="7020" w:type="dxa"/>
            <w:vAlign w:val="bottom"/>
          </w:tcPr>
          <w:p>
            <w:pPr>
              <w:ind w:left="220"/>
              <w:spacing w:after="0"/>
              <w:rPr>
                <w:sz w:val="20"/>
                <w:szCs w:val="20"/>
                <w:color w:val="auto"/>
              </w:rPr>
            </w:pPr>
            <w:r>
              <w:rPr>
                <w:rFonts w:ascii="Arial" w:cs="Arial" w:eastAsia="Arial" w:hAnsi="Arial"/>
                <w:sz w:val="18"/>
                <w:szCs w:val="18"/>
                <w:color w:val="auto"/>
              </w:rPr>
              <w:t>“PFLT”</w:t>
            </w:r>
          </w:p>
        </w:tc>
      </w:tr>
      <w:tr>
        <w:trPr>
          <w:trHeight w:val="337"/>
        </w:trPr>
        <w:tc>
          <w:tcPr>
            <w:tcW w:w="4000" w:type="dxa"/>
            <w:vAlign w:val="bottom"/>
          </w:tcPr>
          <w:p>
            <w:pPr>
              <w:spacing w:after="0"/>
              <w:rPr>
                <w:sz w:val="24"/>
                <w:szCs w:val="24"/>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7"/>
              </w:rPr>
              <w:t>Common stock issued in this offering will be dual listed on Nasdaq and the TASE under</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the symbol “PFLT”.</w:t>
            </w:r>
          </w:p>
        </w:tc>
      </w:tr>
      <w:tr>
        <w:trPr>
          <w:trHeight w:val="323"/>
        </w:trPr>
        <w:tc>
          <w:tcPr>
            <w:tcW w:w="40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If we sell shares of our common stock with an aggregate offering price of $75 million, we</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anticipate that our net proceeds, after deducting an assumed maximum sales agents’</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commissions and estimated expenses payable by us, will be approximately $73,150,000.</w:t>
            </w:r>
          </w:p>
        </w:tc>
      </w:tr>
      <w:tr>
        <w:trPr>
          <w:trHeight w:val="323"/>
        </w:trPr>
        <w:tc>
          <w:tcPr>
            <w:tcW w:w="4000" w:type="dxa"/>
            <w:vAlign w:val="bottom"/>
          </w:tcPr>
          <w:p>
            <w:pPr>
              <w:spacing w:after="0"/>
              <w:rPr>
                <w:sz w:val="24"/>
                <w:szCs w:val="24"/>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We expect to use the net proceeds from this offering to invest in new or existing portfolio</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3"/>
              </w:rPr>
              <w:t>companies or for other general corporate or strategic purposes, including repaying amounts</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outstanding under our existing indebtedness.</w:t>
            </w:r>
          </w:p>
        </w:tc>
      </w:tr>
      <w:tr>
        <w:trPr>
          <w:trHeight w:val="337"/>
        </w:trPr>
        <w:tc>
          <w:tcPr>
            <w:tcW w:w="4000" w:type="dxa"/>
            <w:vAlign w:val="bottom"/>
          </w:tcPr>
          <w:p>
            <w:pPr>
              <w:spacing w:after="0"/>
              <w:rPr>
                <w:sz w:val="24"/>
                <w:szCs w:val="24"/>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See “Use of Proceeds” for more information.</w:t>
            </w:r>
          </w:p>
        </w:tc>
      </w:tr>
      <w:tr>
        <w:trPr>
          <w:trHeight w:val="323"/>
        </w:trPr>
        <w:tc>
          <w:tcPr>
            <w:tcW w:w="4000" w:type="dxa"/>
            <w:vAlign w:val="bottom"/>
          </w:tcPr>
          <w:p>
            <w:pPr>
              <w:ind w:left="180"/>
              <w:spacing w:after="0"/>
              <w:rPr>
                <w:sz w:val="20"/>
                <w:szCs w:val="20"/>
                <w:color w:val="auto"/>
              </w:rPr>
            </w:pPr>
            <w:r>
              <w:rPr>
                <w:rFonts w:ascii="Arial" w:cs="Arial" w:eastAsia="Arial" w:hAnsi="Arial"/>
                <w:sz w:val="18"/>
                <w:szCs w:val="18"/>
                <w:color w:val="auto"/>
              </w:rPr>
              <w:t>Trading at a Discount</w:t>
            </w:r>
          </w:p>
        </w:tc>
        <w:tc>
          <w:tcPr>
            <w:tcW w:w="7020" w:type="dxa"/>
            <w:vAlign w:val="bottom"/>
          </w:tcPr>
          <w:p>
            <w:pPr>
              <w:ind w:left="220"/>
              <w:spacing w:after="0"/>
              <w:rPr>
                <w:sz w:val="20"/>
                <w:szCs w:val="20"/>
                <w:color w:val="auto"/>
              </w:rPr>
            </w:pPr>
            <w:r>
              <w:rPr>
                <w:rFonts w:ascii="Arial" w:cs="Arial" w:eastAsia="Arial" w:hAnsi="Arial"/>
                <w:sz w:val="18"/>
                <w:szCs w:val="18"/>
                <w:color w:val="auto"/>
                <w:w w:val="92"/>
              </w:rPr>
              <w:t>Shares of closed-end investment companies, including BDCs, frequently trade at a discount</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to their NAV. The risk that our shares may trade at a discount to our NAV is separate and</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6"/>
              </w:rPr>
              <w:t>distinct from the risk that our NAV per share may decline. We cannot predict whether our</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shares will trade above, at or below NAV.</w:t>
            </w:r>
          </w:p>
        </w:tc>
      </w:tr>
      <w:tr>
        <w:trPr>
          <w:trHeight w:val="323"/>
        </w:trPr>
        <w:tc>
          <w:tcPr>
            <w:tcW w:w="4000" w:type="dxa"/>
            <w:vAlign w:val="bottom"/>
          </w:tcPr>
          <w:p>
            <w:pPr>
              <w:ind w:left="180"/>
              <w:spacing w:after="0"/>
              <w:rPr>
                <w:sz w:val="20"/>
                <w:szCs w:val="20"/>
                <w:color w:val="auto"/>
              </w:rPr>
            </w:pPr>
            <w:r>
              <w:rPr>
                <w:rFonts w:ascii="Arial" w:cs="Arial" w:eastAsia="Arial" w:hAnsi="Arial"/>
                <w:sz w:val="18"/>
                <w:szCs w:val="18"/>
                <w:color w:val="auto"/>
              </w:rPr>
              <w:t>Distributions on Common Stock</w:t>
            </w: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The timing and amount of our monthly distributions to stockholders, if any, are determined</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by our board of directors. While we intend to make distributions on a monthly basis to our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stockholders out of assets legally available for distribution, we may not be able to achieve</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7"/>
              </w:rPr>
              <w:t>operating results that will allow us to make distributions at a specific level or to increase</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9"/>
              </w:rPr>
              <w:t>the amount of our distributions from time to time. In addition, we may be limited in our</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5"/>
              </w:rPr>
              <w:t>ability to make distributions due to the asset coverage requirements applicable to us as a</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BDC under the 1940 Act. If we do not distribute a certain percentage of our income</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4"/>
              </w:rPr>
              <w:t>annually, we will suffer adverse tax consequences, including the possible loss of our ability</w:t>
            </w:r>
          </w:p>
        </w:tc>
      </w:tr>
      <w:tr>
        <w:trPr>
          <w:trHeight w:val="216"/>
        </w:trPr>
        <w:tc>
          <w:tcPr>
            <w:tcW w:w="4000" w:type="dxa"/>
            <w:vAlign w:val="bottom"/>
          </w:tcPr>
          <w:p>
            <w:pPr>
              <w:spacing w:after="0"/>
              <w:rPr>
                <w:sz w:val="18"/>
                <w:szCs w:val="18"/>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w w:val="98"/>
              </w:rPr>
              <w:t>to be subject to tax as a RIC. We cannot assure stockholders that they will receive any</w:t>
            </w:r>
          </w:p>
        </w:tc>
      </w:tr>
      <w:tr>
        <w:trPr>
          <w:trHeight w:val="230"/>
        </w:trPr>
        <w:tc>
          <w:tcPr>
            <w:tcW w:w="4000" w:type="dxa"/>
            <w:vAlign w:val="bottom"/>
          </w:tcPr>
          <w:p>
            <w:pPr>
              <w:spacing w:after="0"/>
              <w:rPr>
                <w:sz w:val="20"/>
                <w:szCs w:val="20"/>
                <w:color w:val="auto"/>
              </w:rPr>
            </w:pPr>
          </w:p>
        </w:tc>
        <w:tc>
          <w:tcPr>
            <w:tcW w:w="7020" w:type="dxa"/>
            <w:vAlign w:val="bottom"/>
          </w:tcPr>
          <w:p>
            <w:pPr>
              <w:ind w:left="220"/>
              <w:spacing w:after="0"/>
              <w:rPr>
                <w:sz w:val="20"/>
                <w:szCs w:val="20"/>
                <w:color w:val="auto"/>
              </w:rPr>
            </w:pPr>
            <w:r>
              <w:rPr>
                <w:rFonts w:ascii="Arial" w:cs="Arial" w:eastAsia="Arial" w:hAnsi="Arial"/>
                <w:sz w:val="18"/>
                <w:szCs w:val="18"/>
                <w:color w:val="auto"/>
              </w:rPr>
              <w:t>distributions.</w:t>
            </w:r>
          </w:p>
        </w:tc>
      </w:tr>
      <w:tr>
        <w:trPr>
          <w:trHeight w:val="240"/>
        </w:trPr>
        <w:tc>
          <w:tcPr>
            <w:tcW w:w="400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tcPr>
          <w:p>
            <w:pPr>
              <w:spacing w:after="0"/>
              <w:rPr>
                <w:sz w:val="20"/>
                <w:szCs w:val="20"/>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38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6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Taxation</w:t>
            </w:r>
          </w:p>
        </w:tc>
        <w:tc>
          <w:tcPr>
            <w:tcW w:w="8380" w:type="dxa"/>
            <w:vAlign w:val="bottom"/>
            <w:tcBorders>
              <w:top w:val="single" w:sz="8" w:color="auto"/>
              <w:right w:val="single" w:sz="8" w:color="auto"/>
            </w:tcBorders>
          </w:tcPr>
          <w:p>
            <w:pPr>
              <w:ind w:left="1580"/>
              <w:spacing w:after="0"/>
              <w:rPr>
                <w:sz w:val="20"/>
                <w:szCs w:val="20"/>
                <w:color w:val="auto"/>
              </w:rPr>
            </w:pPr>
            <w:r>
              <w:rPr>
                <w:rFonts w:ascii="Arial" w:cs="Arial" w:eastAsia="Arial" w:hAnsi="Arial"/>
                <w:sz w:val="18"/>
                <w:szCs w:val="18"/>
                <w:color w:val="auto"/>
                <w:w w:val="93"/>
              </w:rPr>
              <w:t>We have elected to be treated, and intend to qualify annually to maintain our election to be</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6"/>
              </w:rPr>
              <w:t>treated, as a RIC under Subchapter M of the Code. To maintain our RIC tax election, we</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2"/>
              </w:rPr>
              <w:t>must, among other requirements, meet certain annual source-of-income and quarterly asset</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7"/>
              </w:rPr>
              <w:t>diversification requirements. We also must annually distribute dividends for U.S. federal</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5"/>
              </w:rPr>
              <w:t>income tax purposes to our stockholders out of the assets legally available for distribution</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7"/>
              </w:rPr>
              <w:t>of an amount generally at least equal to 90% of the sum of our net ordinary income and</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6"/>
              </w:rPr>
              <w:t>realized net short-term capital gains in excess of realized net long-term capital losses, or</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investment company taxable income, determined without regard to any deduction for</w:t>
            </w:r>
          </w:p>
        </w:tc>
      </w:tr>
      <w:tr>
        <w:trPr>
          <w:trHeight w:val="230"/>
        </w:trPr>
        <w:tc>
          <w:tcPr>
            <w:tcW w:w="2640" w:type="dxa"/>
            <w:vAlign w:val="bottom"/>
            <w:tcBorders>
              <w:left w:val="single" w:sz="8" w:color="auto"/>
            </w:tcBorders>
          </w:tcPr>
          <w:p>
            <w:pPr>
              <w:spacing w:after="0"/>
              <w:rPr>
                <w:sz w:val="20"/>
                <w:szCs w:val="20"/>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dividends paid.</w:t>
            </w:r>
          </w:p>
        </w:tc>
      </w:tr>
      <w:tr>
        <w:trPr>
          <w:trHeight w:val="323"/>
        </w:trPr>
        <w:tc>
          <w:tcPr>
            <w:tcW w:w="2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5"/>
              </w:rPr>
              <w:t>Investing in our common stock involves risks. See “Risk Factors” our most recent Annual</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5"/>
              </w:rPr>
              <w:t>Report on Form 10-K and our most recent Quarterly Report on Form 10-Q, each of which</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are incorporated by reference to this prospectus supplement, and in any free writing</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3"/>
              </w:rPr>
              <w:t>prospectuses we have authorized for use in connection with this offering, and under similar</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5"/>
              </w:rPr>
              <w:t>headings in the documents that are filed with the SEC on or after the date hereof and are</w:t>
            </w:r>
          </w:p>
        </w:tc>
      </w:tr>
      <w:tr>
        <w:trPr>
          <w:trHeight w:val="216"/>
        </w:trPr>
        <w:tc>
          <w:tcPr>
            <w:tcW w:w="264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incorporated by reference into this prospectus supplement and the accompanying</w:t>
            </w:r>
          </w:p>
        </w:tc>
      </w:tr>
      <w:tr>
        <w:trPr>
          <w:trHeight w:val="230"/>
        </w:trPr>
        <w:tc>
          <w:tcPr>
            <w:tcW w:w="2640" w:type="dxa"/>
            <w:vAlign w:val="bottom"/>
            <w:tcBorders>
              <w:left w:val="single" w:sz="8" w:color="auto"/>
            </w:tcBorders>
          </w:tcPr>
          <w:p>
            <w:pPr>
              <w:spacing w:after="0"/>
              <w:rPr>
                <w:sz w:val="20"/>
                <w:szCs w:val="20"/>
                <w:color w:val="auto"/>
              </w:rPr>
            </w:pPr>
          </w:p>
        </w:tc>
        <w:tc>
          <w:tcPr>
            <w:tcW w:w="838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prospectus.</w:t>
            </w:r>
          </w:p>
        </w:tc>
      </w:tr>
      <w:tr>
        <w:trPr>
          <w:trHeight w:val="240"/>
        </w:trPr>
        <w:tc>
          <w:tcPr>
            <w:tcW w:w="2640" w:type="dxa"/>
            <w:vAlign w:val="bottom"/>
            <w:tcBorders>
              <w:left w:val="single" w:sz="8" w:color="auto"/>
              <w:bottom w:val="single" w:sz="8" w:color="auto"/>
            </w:tcBorders>
          </w:tcPr>
          <w:p>
            <w:pPr>
              <w:spacing w:after="0"/>
              <w:rPr>
                <w:sz w:val="20"/>
                <w:szCs w:val="20"/>
                <w:color w:val="auto"/>
              </w:rPr>
            </w:pPr>
          </w:p>
        </w:tc>
        <w:tc>
          <w:tcPr>
            <w:tcW w:w="8380" w:type="dxa"/>
            <w:vAlign w:val="bottom"/>
            <w:tcBorders>
              <w:bottom w:val="single" w:sz="8" w:color="auto"/>
              <w:right w:val="single" w:sz="8" w:color="auto"/>
            </w:tcBorders>
          </w:tcPr>
          <w:p>
            <w:pPr>
              <w:spacing w:after="0"/>
              <w:rPr>
                <w:sz w:val="20"/>
                <w:szCs w:val="20"/>
                <w:color w:val="auto"/>
              </w:rPr>
            </w:pPr>
          </w:p>
        </w:tc>
      </w:tr>
      <w:tr>
        <w:trPr>
          <w:trHeight w:val="361"/>
        </w:trPr>
        <w:tc>
          <w:tcPr>
            <w:tcW w:w="2640" w:type="dxa"/>
            <w:vAlign w:val="bottom"/>
          </w:tcPr>
          <w:p>
            <w:pPr>
              <w:spacing w:after="0"/>
              <w:rPr>
                <w:sz w:val="24"/>
                <w:szCs w:val="24"/>
                <w:color w:val="auto"/>
              </w:rPr>
            </w:pPr>
          </w:p>
        </w:tc>
        <w:tc>
          <w:tcPr>
            <w:tcW w:w="8380" w:type="dxa"/>
            <w:vAlign w:val="bottom"/>
          </w:tcPr>
          <w:p>
            <w:pPr>
              <w:ind w:left="274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supplement contains a reference to fees or expenses paid by “you” or “us” or that “we” will pay, stockholders will indirectly bear such fees or expenses as investors in us.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11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r>
              <w:rPr>
                <w:rFonts w:ascii="Arial" w:cs="Arial" w:eastAsia="Arial" w:hAnsi="Arial"/>
                <w:sz w:val="15"/>
                <w:szCs w:val="15"/>
                <w:color w:val="auto"/>
              </w:rPr>
              <w:t>(1)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0.47</w:t>
            </w:r>
            <w:r>
              <w:rPr>
                <w:rFonts w:ascii="Arial" w:cs="Arial" w:eastAsia="Arial" w:hAnsi="Arial"/>
                <w:sz w:val="15"/>
                <w:szCs w:val="15"/>
                <w:color w:val="auto"/>
              </w:rPr>
              <w:t>(2)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Total stockholder expenses (as a percentage of offering price)</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2.47</w:t>
            </w:r>
          </w:p>
        </w:tc>
      </w:tr>
      <w:tr>
        <w:trPr>
          <w:trHeight w:val="198"/>
        </w:trPr>
        <w:tc>
          <w:tcPr>
            <w:tcW w:w="6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Estimated annual expenses (as a percentage of average net assets attributable</w:t>
            </w:r>
          </w:p>
        </w:tc>
        <w:tc>
          <w:tcPr>
            <w:tcW w:w="116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 common shares)</w:t>
            </w:r>
            <w:r>
              <w:rPr>
                <w:rFonts w:ascii="Arial" w:cs="Arial" w:eastAsia="Arial" w:hAnsi="Arial"/>
                <w:sz w:val="15"/>
                <w:szCs w:val="15"/>
                <w:b w:val="1"/>
                <w:bCs w:val="1"/>
                <w:color w:val="auto"/>
              </w:rPr>
              <w:t>(3)</w:t>
            </w:r>
          </w:p>
        </w:tc>
        <w:tc>
          <w:tcPr>
            <w:tcW w:w="1160" w:type="dxa"/>
            <w:vAlign w:val="bottom"/>
            <w:shd w:val="clear" w:color="auto" w:fill="CCEEFF"/>
          </w:tcPr>
          <w:p>
            <w:pPr>
              <w:spacing w:after="0"/>
              <w:rPr>
                <w:sz w:val="20"/>
                <w:szCs w:val="20"/>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Management fees</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2.03</w:t>
            </w:r>
            <w:r>
              <w:rPr>
                <w:rFonts w:ascii="Arial" w:cs="Arial" w:eastAsia="Arial" w:hAnsi="Arial"/>
                <w:sz w:val="15"/>
                <w:szCs w:val="15"/>
                <w:color w:val="auto"/>
              </w:rPr>
              <w:t>(4)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w:t>
            </w:r>
            <w:r>
              <w:rPr>
                <w:rFonts w:ascii="Arial" w:cs="Arial" w:eastAsia="Arial" w:hAnsi="Arial"/>
                <w:sz w:val="15"/>
                <w:szCs w:val="15"/>
                <w:color w:val="auto"/>
              </w:rPr>
              <w:t>(5)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4.58</w:t>
            </w:r>
            <w:r>
              <w:rPr>
                <w:rFonts w:ascii="Arial" w:cs="Arial" w:eastAsia="Arial" w:hAnsi="Arial"/>
                <w:sz w:val="15"/>
                <w:szCs w:val="15"/>
                <w:color w:val="auto"/>
              </w:rPr>
              <w:t>(6)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4.53</w:t>
            </w:r>
            <w:r>
              <w:rPr>
                <w:rFonts w:ascii="Arial" w:cs="Arial" w:eastAsia="Arial" w:hAnsi="Arial"/>
                <w:sz w:val="15"/>
                <w:szCs w:val="15"/>
                <w:color w:val="auto"/>
              </w:rPr>
              <w:t>(7)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expenses</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0.35</w:t>
            </w:r>
            <w:r>
              <w:rPr>
                <w:rFonts w:ascii="Arial" w:cs="Arial" w:eastAsia="Arial" w:hAnsi="Arial"/>
                <w:sz w:val="15"/>
                <w:szCs w:val="15"/>
                <w:color w:val="auto"/>
              </w:rPr>
              <w:t>(8)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r>
              <w:rPr>
                <w:rFonts w:ascii="Arial" w:cs="Arial" w:eastAsia="Arial" w:hAnsi="Arial"/>
                <w:sz w:val="15"/>
                <w:szCs w:val="15"/>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520" w:hanging="424"/>
        <w:spacing w:after="0" w:line="291"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the maximum sales agents’ commission with respect to the shares of our common stock sold by us in this offering. There is no guarantee that there will be any sales of our common stock pursuant to this prospectus supplement and the accompanying prospectus.</w:t>
      </w:r>
    </w:p>
    <w:p>
      <w:pPr>
        <w:ind w:left="540" w:hanging="424"/>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percentage reflects estimated offering expenses payable by us of approximately $350,000 for the estimated duration of this offering.</w:t>
      </w:r>
    </w:p>
    <w:p>
      <w:pPr>
        <w:spacing w:after="0" w:line="20" w:lineRule="exact"/>
        <w:rPr>
          <w:rFonts w:ascii="Arial" w:cs="Arial" w:eastAsia="Arial" w:hAnsi="Arial"/>
          <w:sz w:val="17"/>
          <w:szCs w:val="17"/>
          <w:color w:val="auto"/>
        </w:rPr>
      </w:pPr>
    </w:p>
    <w:p>
      <w:pPr>
        <w:jc w:val="both"/>
        <w:ind w:left="540" w:right="20" w:hanging="424"/>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June 30, 2021 and includes the estimated net proceeds of this offering to be received by the Company. There is no guarantee that there will be any sales of our common stock pursuant to this prospectus supplement and the accompanying prospectus.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June 30, 2021.</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quarter ended June 30, 2021,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the U.S. generally accepted accounting principles. As we cannot predict our future net investment income or capital gains, the incentive fee paid in future periods, if any, may be substantially different than the fee earned during the fiscal quarter ended June 30, 2021. For more detailed information about the incentive fee, please see “Item 1. Business-Investment Management Agreement” and “Item 1. Business-Investment Advisory Fees” in our most recent Annual Report on Form 10-K.</w:t>
      </w:r>
    </w:p>
    <w:p>
      <w:pPr>
        <w:spacing w:after="0" w:line="1" w:lineRule="exact"/>
        <w:rPr>
          <w:rFonts w:ascii="Arial" w:cs="Arial" w:eastAsia="Arial" w:hAnsi="Arial"/>
          <w:sz w:val="17"/>
          <w:szCs w:val="17"/>
          <w:color w:val="auto"/>
        </w:rPr>
      </w:pPr>
    </w:p>
    <w:p>
      <w:pPr>
        <w:ind w:left="540" w:right="380" w:hanging="424"/>
        <w:spacing w:after="0" w:line="26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June 30, 2021, we had $133.4 million in borrowings outstanding under our Credit Facility, $117.8 million outstanding under our 2023 Notes, $100.0 million outstanding under our 2026 Notes and</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00"/>
          </w:cols>
          <w:pgMar w:left="320" w:top="459" w:right="5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68" w:lineRule="auto"/>
        <w:rPr>
          <w:sz w:val="20"/>
          <w:szCs w:val="20"/>
          <w:color w:val="auto"/>
        </w:rPr>
      </w:pPr>
      <w:r>
        <w:rPr>
          <w:rFonts w:ascii="Arial" w:cs="Arial" w:eastAsia="Arial" w:hAnsi="Arial"/>
          <w:sz w:val="17"/>
          <w:szCs w:val="17"/>
          <w:color w:val="auto"/>
        </w:rPr>
        <w:t>$228.0 million outstanding under the 2031 Asset-Backed Debt. On August 12, 2021, we terminated the Credit Facility, and Funding I, as borrower, entered into the New Credit Facility, which provides the ability for Funding I to borrow up to $300 million. We may use proceeds of this offering, if any, to repay outstanding obligations under our existing financing arrangements or other indebtedness. After completing this offering, we may continue to borrow under our existing financing arrangements to finance our investment objectives. We 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1" w:lineRule="exact"/>
        <w:rPr>
          <w:sz w:val="20"/>
          <w:szCs w:val="20"/>
          <w:color w:val="auto"/>
        </w:rPr>
      </w:pPr>
    </w:p>
    <w:p>
      <w:pPr>
        <w:ind w:left="540" w:hanging="424"/>
        <w:spacing w:after="0" w:line="295"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June 30, 2021, annualized for a full year. Expenses for PSSL may fluctuate over time and may be substantially higher or lower in the future.</w:t>
      </w:r>
    </w:p>
    <w:p>
      <w:pPr>
        <w:spacing w:after="0" w:line="53" w:lineRule="exact"/>
        <w:rPr>
          <w:rFonts w:ascii="Arial" w:cs="Arial" w:eastAsia="Arial" w:hAnsi="Arial"/>
          <w:sz w:val="16"/>
          <w:szCs w:val="16"/>
          <w:color w:val="auto"/>
        </w:rPr>
      </w:pPr>
    </w:p>
    <w:p>
      <w:pPr>
        <w:ind w:left="560" w:right="180"/>
        <w:spacing w:after="0" w:line="268" w:lineRule="auto"/>
        <w:rPr>
          <w:rFonts w:ascii="Arial" w:cs="Arial" w:eastAsia="Arial" w:hAnsi="Arial"/>
          <w:sz w:val="16"/>
          <w:szCs w:val="16"/>
          <w:color w:val="auto"/>
        </w:rPr>
      </w:pPr>
      <w:r>
        <w:rPr>
          <w:rFonts w:ascii="Arial" w:cs="Arial" w:eastAsia="Arial" w:hAnsi="Arial"/>
          <w:sz w:val="17"/>
          <w:szCs w:val="17"/>
          <w:color w:val="auto"/>
        </w:rPr>
        <w:t>Our stockholders indirectly bear 23.08% of the expenses of our investment in PTSF. A management fee equal to 0.30% per annum of the gross assets of PTSF and its subsidiaries is charged by PennantPark Investment Advisers in connection with PTSF (the portion of which is attributable to the Company is waived by PennantPark Investment Advisers). When applicable, fees and operating expenses estimates would be based on historic fees and operating expenses for acquired funds. For PTSF, which has a limited operating history, fees and operating expenses are estimates based on expected fees and operating expenses of PTSF for the applicable fiscal quarter, annualized for a full year. Expenses for PTSF may fluctuate over time and may be substantially higher or lower in the future.</w:t>
      </w:r>
    </w:p>
    <w:p>
      <w:pPr>
        <w:ind w:left="540" w:right="24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three months ended June 30, 2021, annualized for the full year.</w:t>
      </w:r>
    </w:p>
    <w:p>
      <w:pPr>
        <w:spacing w:after="0" w:line="1" w:lineRule="exact"/>
        <w:rPr>
          <w:rFonts w:ascii="Arial" w:cs="Arial" w:eastAsia="Arial" w:hAnsi="Arial"/>
          <w:sz w:val="18"/>
          <w:szCs w:val="18"/>
          <w:color w:val="auto"/>
        </w:rPr>
      </w:pPr>
    </w:p>
    <w:p>
      <w:pPr>
        <w:ind w:left="540" w:right="60" w:hanging="424"/>
        <w:spacing w:after="0" w:line="270"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5.51% of average total assets.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The following example illustrates the projected dollar amount of total cumulative expenses that you would pay on a $1,000 hypothetical investment in common shares, assuming (1) a 2.00% sales load (the maximum commission to be paid by us with respect to common stock sold by us in this offering) and offering expenses totaling 0.47%, (2) total net estimated annual expenses of 11.49% of average net assets attributable to common shares as set forth in the table above (other than performance-based incentive fees) and (3) a 5.0% annual return.</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248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10 Years</w:t>
            </w:r>
          </w:p>
        </w:tc>
      </w:tr>
      <w:tr>
        <w:trPr>
          <w:trHeight w:val="175"/>
        </w:trPr>
        <w:tc>
          <w:tcPr>
            <w:tcW w:w="64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Assuming a 5% annual return (assumes no return from net realized capital gains</w:t>
            </w: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 net unrealized capital appreciation)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329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501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w w:val="97"/>
              </w:rPr>
              <w:t>Assuming a 5% annual return (assumes return only from realized capital gains and</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thus subject to the capital gains incentive fee)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142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351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529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r>
      <w:tr>
        <w:trPr>
          <w:trHeight w:val="365"/>
        </w:trPr>
        <w:tc>
          <w:tcPr>
            <w:tcW w:w="3980" w:type="dxa"/>
            <w:vAlign w:val="bottom"/>
          </w:tcPr>
          <w:p>
            <w:pPr>
              <w:spacing w:after="0"/>
              <w:rPr>
                <w:sz w:val="24"/>
                <w:szCs w:val="24"/>
                <w:color w:val="auto"/>
              </w:rPr>
            </w:pPr>
          </w:p>
        </w:tc>
        <w:tc>
          <w:tcPr>
            <w:tcW w:w="2480" w:type="dxa"/>
            <w:vAlign w:val="bottom"/>
          </w:tcPr>
          <w:p>
            <w:pPr>
              <w:ind w:left="960"/>
              <w:spacing w:after="0"/>
              <w:rPr>
                <w:sz w:val="20"/>
                <w:szCs w:val="20"/>
                <w:color w:val="auto"/>
              </w:rPr>
            </w:pPr>
            <w:r>
              <w:rPr>
                <w:rFonts w:ascii="Arial" w:cs="Arial" w:eastAsia="Arial" w:hAnsi="Arial"/>
                <w:sz w:val="18"/>
                <w:szCs w:val="18"/>
                <w:color w:val="auto"/>
              </w:rPr>
              <w:t>S-8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5.0% annual return, our performance will vary and may result in a return greater or less than 5.0%. If we were to earn an annual return equal to or less than 5.0%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in our most recent Annual Report on Form 10-K for more information.</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Investing in our shares of our common stock may be speculative and involves a high degree of risk. You should carefully consider the risk factors incorporated by reference from our most recent Annual Report on Form 10-K, our most recent Quarterly Report on Form 10-Q as well as other information contained or incorporated by reference into this prospectus supplement and the accompanying prospectus, any free writing prospectus we have authorized for use in connection with this offering and under similar headings in the documents that we file with the SEC on or after the date of this prospectus supplement and are incorporated by reference into this prospectus supplement and the accompanying prospectus.</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risks described in these documents are not the only risks we face. Additional risks and uncertainties not currently known to us or that we currently deem to be immaterial also may materially adversely affect our business, financial condition and/or operating results. In such case, our NAV and the trading price of our common stock could decline, and you may lose all or part of your investment.</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60"/>
          </w:cols>
          <w:pgMar w:left="32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significant disruptions caused by the current COVID-19 pandemic;</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United Kingdom’s withdrawal from the European Union (commonly known as “Brexit”) and other world economic and political issues.</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our most recent Annual Report on Form 10-K, our most recent Quarterly Report on Form 10-Q, in the documents incorporated by reference herein, and elsewhere in this prospectus supplement and the accompany prospectus.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Reports on Form 10-K, Quarterly Reports on Form 10-Q and Current Reports on Form 8-K.</w:t>
      </w:r>
    </w:p>
    <w:p>
      <w:pPr>
        <w:spacing w:after="0" w:line="18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You should understand that, under Sections 27A(b)(2)(B) of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Sales of our common stock, if any, under this prospectus supplement and the accompanying prospectus may be made in negotiated transactions or transactions that are deemed to be “at the market” as defined in Rule 415 under the Securities Act, including sales made directly on Nasdaq or sales made to or through a market maker other than on an exchange. There is no guarantee that there will be any sales of our common stock pursuant to this prospectus supplement and the accompanying prospectus. Actual sales, if any, of our common stock under this prospectus supplement and the accompanying prospectus may be less than the proceeds set forth in this paragraph depending on the market price of our common stock at the time of any such sale. As a result, the actual net proceeds we receive may be more or less than the amount of net proceeds estimated in this prospectus supplement. The sales price per share of our common stock offered by this prospectus supplement and the accompanying prospectus, less commissions payable under the equity distribution agreements and discounts, if any, will not be less than the NAV per share of our common stock at the time of such sale. If we sell shares of our common stock with an aggregate offering amount of $75 million, we anticipate that our net proceeds, after deducting an assumed maximum sales agents’ commissions and estimated expenses payable by us, will be approximately $73,150,000.</w:t>
      </w:r>
    </w:p>
    <w:p>
      <w:pPr>
        <w:spacing w:after="0" w:line="16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expect to use the net proceeds from this offering to invest in new or existing portfolio companies or for other general corporate or strategic purposes, including repaying amounts outstanding under our existing indebtedness.</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As of June 30, 2021, we had $133.4 million in borrowings outstanding under our Credit Facility, $117.8 million outstanding under our 2023 Notes, $100.0 million outstanding under our 2026 Notes and $228.0 million outstanding under the 2031 Asset-Backed Debt. On August 12, 2021, we terminated the Credit Facility, and Funding I entered into the New Credit Facility, which provides the ability for Funding I to borrow up to $300 million. We may use proceeds of this offering, if any, to repay outstanding obligations under our existing financing arrangements or other indebtedness. After completing this offering, we may continue to borrow under our existing financing arrangements to finance our investment objectives. An affiliate of Raymond James &amp; Associates, Inc. is a lender under the New Credit Facility. Accordingly, an affiliate of Raymond James &amp; Associates, Inc. may receive more than 5% of the proceeds of this offering to the extent such proceeds are used to repay outstanding indebtedness under the New Credit Facility.</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in our most recently filed Annual Report on Form 10- K for more information.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have entered into separate equity distribution agreements, each dated August 20, 2021, with JMP Securities LLC and Raymond James &amp; Associates, Inc. under which JMP Securities LLC and Raymond James &amp; Associates, Inc. will act as the sales agents in connection with the offer and sale of up to $75 million of shares of our common stock pursuant to this prospectus supplement and the accompanying prospectus.</w:t>
      </w:r>
    </w:p>
    <w:p>
      <w:pPr>
        <w:spacing w:after="0" w:line="165"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Upon instructions from us, the sales agents will use their commercially reasonable efforts consistent with their respective normal sales and trading practices to sell, as the sales agents, our common stock under the terms and subject to the conditions set forth in the equity distribution agreements. We will instruct the sales agents as to the minimum amount of common stock to be sold through the offering, the time period during which sales are requested to be made, any limitation on the number of shares of common stock that may be sold in any one trading day and any minimum price below which sale may not be made. We may instruct the sales agents not to sell common stock if the sales cannot be effected at or above the price designated by us in any instruction. The sales price per share of our common stock offered by this prospectus supplement and the accompanying prospectus, less commissions payable under the equity distribution agreements and discounts, if any, will not be less than the NAV per share of our common stock at the time of any such sale. We or the sales agents may suspend the offering of shares of common stock upon proper notice and subject to other conditions.</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Sales of the shares of our common stock, if any, by us under this prospectus supplement and the accompanying prospectus may be made in negotiated transactions or transactions that are deemed to be “at the market,” as defined in Rule 415 under the Securities Act, including sales made directly on Nasdaq or similar securities exchanges or sales made to or through a market maker other than on a securities exchange at prices related to the prevailing market prices or at negotiated prices.</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 sales agent will provide written confirmation of a sale to us as soon as practicable following the close of trading on Nasdaq each day in which shares of our common stock are sold under the applicable equity distribution agreement. Each confirmation will include the number of shares of common stock sold on such day, the net proceeds payable to us and the aggregate compensation payable by us to such sales agent in connection with such sales.</w:t>
      </w:r>
    </w:p>
    <w:p>
      <w:pPr>
        <w:spacing w:after="0" w:line="14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will pay each sales agent a commission of up to 2.0% of the gross sales price of shares of our common stock sold through such sales agent pursuant to this prospectus supplement. The estimated offering expenses payable by us, in addition to such commission and reimbursement of expenses, are approximately $350,000, which includes legal, accounting and printing costs and various other fees associated with registering the shares of common stock as well as an aggregate of $40,000 in reimbursement of reasonable fees and expenses of counsel to the sales agents incurred in connection with the initial launch of this offering and up to $7,500 per calendar quarter during the term of the equity distribution agreements for fees and expenses of counsel to the sales agents incurred in connection with quarterly updates for this offering. The remaining sales proceeds, after deducting any other transaction fees, will equal net proceeds from the sale of such shares payable to us.</w:t>
      </w:r>
    </w:p>
    <w:p>
      <w:pPr>
        <w:spacing w:after="0" w:line="17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Settlement for sales of shares of common stock will occur on the second trading day following the date on which such sales are made, or on some other date that is agreed upon by us and the applicable sales agent in connection with a particular transaction, in return for payment of the net proceeds to us. There is no arrangement for funds to be received in an escrow, trust or similar arrangement.</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Under the terms of the equity distribution agreements, we may also sell shares of our common stock to a sales agent as principal for its own accounts at a price agreed upon at the time of sale. The sales agents may offer our common stock sold to them as principals from time to time through public or private transactions at market prices prevailing at the time of sale, at fixed prices, at negotiated prices, at various prices determined at the time of sale or at prices related to prevailing market prices. If we sell shares to a sales agent as principal, we will enter into a separate agreement with such sales agent, setting forth the terms of such transaction, and we will describe such agreement in a separate prospectus supplement.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will report at least quarterly the number of shares of common stock sold by us through the sales agents under the equity distribution agreements and the net proceeds to us.</w:t>
      </w:r>
    </w:p>
    <w:p>
      <w:pPr>
        <w:spacing w:after="0" w:line="170" w:lineRule="exact"/>
        <w:rPr>
          <w:sz w:val="20"/>
          <w:szCs w:val="20"/>
          <w:color w:val="auto"/>
        </w:rPr>
      </w:pPr>
    </w:p>
    <w:p>
      <w:pPr>
        <w:ind w:left="120" w:right="500"/>
        <w:spacing w:after="0" w:line="311" w:lineRule="auto"/>
        <w:rPr>
          <w:sz w:val="20"/>
          <w:szCs w:val="20"/>
          <w:color w:val="auto"/>
        </w:rPr>
      </w:pPr>
      <w:r>
        <w:rPr>
          <w:rFonts w:ascii="Arial" w:cs="Arial" w:eastAsia="Arial" w:hAnsi="Arial"/>
          <w:sz w:val="16"/>
          <w:szCs w:val="16"/>
          <w:color w:val="auto"/>
        </w:rPr>
        <w:t>In connection with the sale of our common stock on our behalf, the sales agents may be deemed to be “underwriters” within the meaning of the Securities Act, and the compensation of the sales agents may be deemed to be underwriting commissions or discounts. We have agreed to provide indemnification and contribution to the sales agents with respect to certain civil liabilities, including liabilities under the Securities Act.</w:t>
      </w:r>
    </w:p>
    <w:p>
      <w:pPr>
        <w:spacing w:after="0" w:line="14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 offering of shares of common stock by us pursuant to the equity distribution agreements will terminate upon the earlier of (i) the sale of all common stock subject to the equity distribution agreements or (ii) the termination of the equity distribution agreements as permitted therein.</w:t>
      </w:r>
    </w:p>
    <w:p>
      <w:pPr>
        <w:spacing w:after="0" w:line="14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principal business address of the sales agents are: JMP Securities LLC, 600 Montgomery Street, 11th Floor, San Francisco, CA 94111 and Raymond James &amp; Associates, Inc., 880 Carillon Parkway, Tower 3, St. Petersburg, FL 33716.</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sales agents by Proskauer Rose LLP.</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consolidated financial statements and the related consolidated senior securities table of PennantPark Floating Rate Capital Ltd. as of September 30, 2020 and 2019 and for each of the years in the three-year period ended September 30, 2020 and the effectiveness of internal control over financial reporting as of September 30, 2020 incorporated in this prospectus supplement by reference from our Annual Report on Form 10-K for the year ended September 30, 2020 have been audited by RSM US LLP, an independent registered public accounting firm, as stated in their reports thereon, incorporated herein by reference, and have been incorporated in this prospectus supplement in reliance upon such reports.</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AUDITOR</w:t>
      </w:r>
    </w:p>
    <w:p>
      <w:pPr>
        <w:spacing w:after="0" w:line="22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consolidated financial statements of PSSL as of and for the fiscal years ended September 30, 2020 and September 30, 2019 included as Exhibits 99.3 and 99.4, respectively, in our Annual Report on Form 10-K for the fiscal year ended September 30, 2020 have been so included in reliance on the report of RSM US LLP.</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September 30, 2020, filed with the SEC on November 18, 2020;</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w:t>
      </w:r>
      <w:hyperlink r:id="rId34">
        <w:r>
          <w:rPr>
            <w:rFonts w:ascii="Arial" w:cs="Arial" w:eastAsia="Arial" w:hAnsi="Arial"/>
            <w:sz w:val="18"/>
            <w:szCs w:val="18"/>
            <w:u w:val="single" w:color="auto"/>
            <w:color w:val="0000EE"/>
          </w:rPr>
          <w:t>December 31, 2020</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6">
        <w:r>
          <w:rPr>
            <w:rFonts w:ascii="Arial" w:cs="Arial" w:eastAsia="Arial" w:hAnsi="Arial"/>
            <w:sz w:val="18"/>
            <w:szCs w:val="18"/>
            <w:u w:val="single" w:color="auto"/>
            <w:color w:val="0000EE"/>
          </w:rPr>
          <w:t>June 30, 2021</w:t>
        </w:r>
      </w:hyperlink>
      <w:r>
        <w:rPr>
          <w:rFonts w:ascii="Arial" w:cs="Arial" w:eastAsia="Arial" w:hAnsi="Arial"/>
          <w:sz w:val="18"/>
          <w:szCs w:val="18"/>
          <w:color w:val="auto"/>
        </w:rPr>
        <w:t>, filed with the SEC on February 9, 2021, May 5, 2021 and August 4, 2021, respectively;</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5"/>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7">
        <w:r>
          <w:rPr>
            <w:rFonts w:ascii="Arial" w:cs="Arial" w:eastAsia="Arial" w:hAnsi="Arial"/>
            <w:sz w:val="18"/>
            <w:szCs w:val="18"/>
            <w:u w:val="single" w:color="auto"/>
            <w:color w:val="0000EE"/>
          </w:rPr>
          <w:t>February 12, 2021</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March 19, 2021</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March 23, 2021</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June 21,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1">
        <w:r>
          <w:rPr>
            <w:rFonts w:ascii="Arial" w:cs="Arial" w:eastAsia="Arial" w:hAnsi="Arial"/>
            <w:sz w:val="18"/>
            <w:szCs w:val="18"/>
            <w:u w:val="single" w:color="auto"/>
            <w:color w:val="0000EE"/>
          </w:rPr>
          <w:t>August 18, 2021</w:t>
        </w:r>
      </w:hyperlink>
      <w:r>
        <w:rPr>
          <w:rFonts w:ascii="Arial" w:cs="Arial" w:eastAsia="Arial" w:hAnsi="Arial"/>
          <w:sz w:val="18"/>
          <w:szCs w:val="18"/>
          <w:color w:val="000000"/>
        </w:rPr>
        <w:t>;</w:t>
      </w:r>
    </w:p>
    <w:p>
      <w:pPr>
        <w:spacing w:after="0" w:line="75" w:lineRule="exact"/>
        <w:rPr>
          <w:rFonts w:ascii="Arial" w:cs="Arial" w:eastAsia="Arial" w:hAnsi="Arial"/>
          <w:sz w:val="18"/>
          <w:szCs w:val="18"/>
          <w:color w:val="0000EE"/>
        </w:rPr>
      </w:pPr>
    </w:p>
    <w:p>
      <w:pPr>
        <w:ind w:left="1080" w:right="2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42">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December 8, 2020 (to the extent incorporated by reference into Part III of our Annual Report on Form 10-K for the fiscal year ended September 30, 2020); and</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44">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001-35127), filed with the SEC on April 7, 2011, including any amendment or report filed for the purpose of updating such description prior to the termination of the offering of the common stock registered hereby.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75565</wp:posOffset>
            </wp:positionV>
            <wp:extent cx="221996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Common Stock</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Preferred Stock</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Warrants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Subscription Rights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8"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120" w:right="160" w:firstLine="551"/>
        <w:spacing w:after="0" w:line="323" w:lineRule="auto"/>
        <w:rPr>
          <w:sz w:val="20"/>
          <w:szCs w:val="20"/>
          <w:color w:val="auto"/>
        </w:rPr>
      </w:pPr>
      <w:r>
        <w:rPr>
          <w:rFonts w:ascii="Arial" w:cs="Arial" w:eastAsia="Arial" w:hAnsi="Arial"/>
          <w:sz w:val="15"/>
          <w:szCs w:val="15"/>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6" w:lineRule="exact"/>
        <w:rPr>
          <w:sz w:val="20"/>
          <w:szCs w:val="20"/>
          <w:color w:val="auto"/>
        </w:rPr>
      </w:pPr>
    </w:p>
    <w:p>
      <w:pPr>
        <w:ind w:left="12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120" w:firstLine="551"/>
        <w:spacing w:after="0" w:line="286"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13 of this prospectus for more information.</w:t>
      </w:r>
    </w:p>
    <w:p>
      <w:pPr>
        <w:spacing w:after="0" w:line="45" w:lineRule="exact"/>
        <w:rPr>
          <w:sz w:val="20"/>
          <w:szCs w:val="20"/>
          <w:color w:val="auto"/>
        </w:rPr>
      </w:pPr>
    </w:p>
    <w:p>
      <w:pPr>
        <w:ind w:left="120" w:right="200" w:firstLine="551"/>
        <w:spacing w:after="0" w:line="259" w:lineRule="auto"/>
        <w:rPr>
          <w:sz w:val="20"/>
          <w:szCs w:val="20"/>
          <w:color w:val="auto"/>
        </w:rPr>
      </w:pPr>
      <w:r>
        <w:rPr>
          <w:rFonts w:ascii="Arial" w:cs="Arial" w:eastAsia="Arial" w:hAnsi="Arial"/>
          <w:sz w:val="18"/>
          <w:szCs w:val="18"/>
          <w:color w:val="auto"/>
        </w:rPr>
        <w:t>Our common stock is traded on The Nasdaq Global Select Market and the Tel Aviv Stock Exchange, or TASE, under the symbol “PFLT.” The last reported closing price for our common stock on The Nasdaq Global Select Market on January 27, 2020 was $12.01 per share, and our NAV on September 30, 2019 was $12.97 per share.</w:t>
      </w:r>
    </w:p>
    <w:p>
      <w:pPr>
        <w:spacing w:after="0" w:line="59" w:lineRule="exact"/>
        <w:rPr>
          <w:sz w:val="20"/>
          <w:szCs w:val="20"/>
          <w:color w:val="auto"/>
        </w:rPr>
      </w:pPr>
    </w:p>
    <w:p>
      <w:pPr>
        <w:ind w:left="120" w:right="60" w:firstLine="551"/>
        <w:spacing w:after="0" w:line="288"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2" w:lineRule="exact"/>
        <w:rPr>
          <w:sz w:val="20"/>
          <w:szCs w:val="20"/>
          <w:color w:val="auto"/>
        </w:rPr>
      </w:pPr>
    </w:p>
    <w:p>
      <w:pPr>
        <w:ind w:left="120" w:right="340" w:firstLine="44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3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56515</wp:posOffset>
            </wp:positionV>
            <wp:extent cx="1474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9" w:lineRule="exact"/>
        <w:rPr>
          <w:sz w:val="20"/>
          <w:szCs w:val="20"/>
          <w:color w:val="auto"/>
        </w:rPr>
      </w:pPr>
    </w:p>
    <w:p>
      <w:pPr>
        <w:ind w:left="120" w:right="480" w:firstLine="440"/>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dated January 29, 2020</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551"/>
        <w:spacing w:after="0" w:line="288"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680" w:type="dxa"/>
            <w:vAlign w:val="bottom"/>
            <w:gridSpan w:val="24"/>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PROSPECTUS SUMMARY</w:t>
              </w:r>
            </w:hyperlink>
          </w:p>
        </w:tc>
        <w:tc>
          <w:tcPr>
            <w:tcW w:w="300" w:type="dxa"/>
            <w:vAlign w:val="bottom"/>
            <w:gridSpan w:val="2"/>
          </w:tcPr>
          <w:p>
            <w:pPr>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9"/>
        </w:trPr>
        <w:tc>
          <w:tcPr>
            <w:tcW w:w="10680" w:type="dxa"/>
            <w:vAlign w:val="bottom"/>
            <w:gridSpan w:val="24"/>
            <w:vMerge w:val="continue"/>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FEES AND EXPENSES</w:t>
              </w:r>
            </w:hyperlink>
          </w:p>
        </w:tc>
        <w:tc>
          <w:tcPr>
            <w:tcW w:w="866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RISK FACTORS</w:t>
              </w:r>
            </w:hyperlink>
          </w:p>
        </w:tc>
        <w:tc>
          <w:tcPr>
            <w:tcW w:w="520" w:type="dxa"/>
            <w:vAlign w:val="bottom"/>
            <w:tcBorders>
              <w:top w:val="single" w:sz="8" w:color="0000EE"/>
            </w:tcBorders>
            <w:gridSpan w:val="5"/>
          </w:tcPr>
          <w:p>
            <w:pPr>
              <w:spacing w:after="0"/>
              <w:rPr>
                <w:sz w:val="17"/>
                <w:szCs w:val="17"/>
                <w:color w:val="auto"/>
              </w:rPr>
            </w:pPr>
          </w:p>
        </w:tc>
        <w:tc>
          <w:tcPr>
            <w:tcW w:w="894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FORWARD-LOOKING STATEMENTS</w:t>
              </w:r>
            </w:hyperlink>
          </w:p>
        </w:tc>
        <w:tc>
          <w:tcPr>
            <w:tcW w:w="78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USE OF PROCEEDS</w:t>
              </w:r>
            </w:hyperlink>
          </w:p>
        </w:tc>
        <w:tc>
          <w:tcPr>
            <w:tcW w:w="91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PRICE RANGE OF COMMON STOCK</w:t>
              </w:r>
            </w:hyperlink>
          </w:p>
        </w:tc>
        <w:tc>
          <w:tcPr>
            <w:tcW w:w="78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SALES OF COMMON STOCK BELOW NET ASSET VALUE</w:t>
              </w:r>
            </w:hyperlink>
          </w:p>
        </w:tc>
        <w:tc>
          <w:tcPr>
            <w:tcW w:w="61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DISTRIBUTIONS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PORTFOLIO COMPANIES</w:t>
              </w:r>
            </w:hyperlink>
          </w:p>
        </w:tc>
        <w:tc>
          <w:tcPr>
            <w:tcW w:w="868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PORTFOLIO 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DETERMINATION OF NET ASSET VALUE</w:t>
              </w:r>
            </w:hyperlink>
          </w:p>
        </w:tc>
        <w:tc>
          <w:tcPr>
            <w:tcW w:w="74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DESCRIPTION OF OUR CAPITAL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DESCRIPTION OF OUR PREFERRED STOCK</w:t>
              </w:r>
            </w:hyperlink>
          </w:p>
        </w:tc>
        <w:tc>
          <w:tcPr>
            <w:tcW w:w="72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OUR WARRANTS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DESCRIPTION OF OUR SUBSCRIPTION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6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BROKERAGE ALLOCATIONS AND OTHER PRACTICES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MATERIAL U.S.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88">
              <w:r>
                <w:rPr>
                  <w:rFonts w:ascii="Arial" w:cs="Arial" w:eastAsia="Arial" w:hAnsi="Arial"/>
                  <w:sz w:val="18"/>
                  <w:szCs w:val="18"/>
                  <w:color w:val="0000EE"/>
                  <w:w w:val="94"/>
                </w:rPr>
                <w:t>PLAN OF DISTRIBUTION</w:t>
              </w:r>
            </w:hyperlink>
          </w:p>
        </w:tc>
        <w:tc>
          <w:tcPr>
            <w:tcW w:w="2740" w:type="dxa"/>
            <w:vAlign w:val="bottom"/>
            <w:tcBorders>
              <w:top w:val="single" w:sz="8" w:color="0000EE"/>
            </w:tcBorders>
            <w:gridSpan w:val="15"/>
          </w:tcPr>
          <w:p>
            <w:pPr>
              <w:spacing w:after="0"/>
              <w:rPr>
                <w:sz w:val="17"/>
                <w:szCs w:val="17"/>
                <w:color w:val="auto"/>
              </w:rPr>
            </w:pPr>
          </w:p>
        </w:tc>
        <w:tc>
          <w:tcPr>
            <w:tcW w:w="594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SUB-ADMINISTRATOR, CUSTODIAN, TRANSFER AGENT AND TRUSTEE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90">
              <w:r>
                <w:rPr>
                  <w:rFonts w:ascii="Arial" w:cs="Arial" w:eastAsia="Arial" w:hAnsi="Arial"/>
                  <w:sz w:val="18"/>
                  <w:szCs w:val="18"/>
                  <w:color w:val="0000EE"/>
                  <w:w w:val="93"/>
                </w:rPr>
                <w:t>LEGAL MATTERS</w:t>
              </w:r>
            </w:hyperlink>
          </w:p>
        </w:tc>
        <w:tc>
          <w:tcPr>
            <w:tcW w:w="4360" w:type="dxa"/>
            <w:vAlign w:val="bottom"/>
            <w:tcBorders>
              <w:top w:val="single" w:sz="8" w:color="0000EE"/>
            </w:tcBorders>
            <w:gridSpan w:val="20"/>
          </w:tcPr>
          <w:p>
            <w:pPr>
              <w:spacing w:after="0"/>
              <w:rPr>
                <w:sz w:val="17"/>
                <w:szCs w:val="17"/>
                <w:color w:val="auto"/>
              </w:rPr>
            </w:pPr>
          </w:p>
        </w:tc>
        <w:tc>
          <w:tcPr>
            <w:tcW w:w="49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90">
              <w:r>
                <w:rPr>
                  <w:rFonts w:ascii="Arial" w:cs="Arial" w:eastAsia="Arial" w:hAnsi="Arial"/>
                  <w:sz w:val="18"/>
                  <w:szCs w:val="18"/>
                  <w:color w:val="0000EE"/>
                  <w:w w:val="93"/>
                </w:rPr>
                <w:t>INDEPENDENT REGISTERED PUBLIC ACCOUNTING FIRM</w:t>
              </w:r>
            </w:hyperlink>
          </w:p>
        </w:tc>
        <w:tc>
          <w:tcPr>
            <w:tcW w:w="60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INCORPORATION BY REFERENCE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AVAILABLE INFORMATION</w:t>
              </w:r>
            </w:hyperlink>
          </w:p>
        </w:tc>
        <w:tc>
          <w:tcPr>
            <w:tcW w:w="79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firstLine="55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 titled “Available Information,” before you make an investment decision.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82"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“Code” refers to the Internal Revenue Code of 1986, as amended; “RIC” refers to a regulated investment company under the Code; “1940 Act” refers to the Investment Company Act of 1940, as amended; “BDC” refers to a business development company under the 1940 Act; “Credit Facility” refers to our multi-currency senior secured revolving credit facility, as amended and restated with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w:t>
      </w:r>
    </w:p>
    <w:p>
      <w:pPr>
        <w:spacing w:after="0" w:line="10" w:lineRule="exact"/>
        <w:rPr>
          <w:sz w:val="20"/>
          <w:szCs w:val="20"/>
          <w:color w:val="auto"/>
        </w:rPr>
      </w:pPr>
    </w:p>
    <w:p>
      <w:pPr>
        <w:ind w:left="300" w:right="720" w:hanging="2"/>
        <w:spacing w:after="0" w:line="260" w:lineRule="auto"/>
        <w:tabs>
          <w:tab w:leader="none" w:pos="56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borrowing of the Class A-1 Senior Secured Floating Rate Notes due 2031 by the Securitization Issuers in connection with the Debt Securitization.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300" w:firstLine="426"/>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6" w:lineRule="exact"/>
        <w:rPr>
          <w:sz w:val="20"/>
          <w:szCs w:val="20"/>
          <w:color w:val="auto"/>
        </w:rPr>
      </w:pPr>
    </w:p>
    <w:p>
      <w:pPr>
        <w:ind w:left="300" w:right="320" w:firstLine="426"/>
        <w:spacing w:after="0" w:line="291"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w:t>
      </w:r>
    </w:p>
    <w:p>
      <w:pPr>
        <w:ind w:left="300" w:right="60"/>
        <w:spacing w:after="0" w:line="269" w:lineRule="auto"/>
        <w:rPr>
          <w:sz w:val="20"/>
          <w:szCs w:val="20"/>
          <w:color w:val="auto"/>
        </w:rPr>
      </w:pPr>
      <w:r>
        <w:rPr>
          <w:rFonts w:ascii="Arial" w:cs="Arial" w:eastAsia="Arial" w:hAnsi="Arial"/>
          <w:sz w:val="17"/>
          <w:szCs w:val="17"/>
          <w:color w:val="auto"/>
        </w:rPr>
        <w:t>$1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93"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64"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see “Management’s Discussion and Analysis of Financial Condition and Results of Operations—Liquidity and Capital Resources” in our most recent Annual Report on Form 10-K or Quarterly Report on Form 10-Q.</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formed Funding I in order to establish our Credit Facility.</w:t>
      </w:r>
    </w:p>
    <w:p>
      <w:pPr>
        <w:spacing w:after="0" w:line="211"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84"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that with a large pool of uninvested private equity capital seeking debt capital to complete private investments and a substantial supply of refinancing opportunities, there is an opportunity to attain attractive risk-reward with debt investments. See “Business” in our most recent Annual Report on Form 10-K for more information.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00" w:right="560" w:firstLine="426"/>
        <w:spacing w:after="0" w:line="277"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Distributions may include a return of capital. See “Distributions”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16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0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Sales load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Estimated annual expenses (as a percentage of average net assets attributable</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 common shares)</w:t>
            </w:r>
            <w:r>
              <w:rPr>
                <w:rFonts w:ascii="Arial" w:cs="Arial" w:eastAsia="Arial" w:hAnsi="Arial"/>
                <w:sz w:val="15"/>
                <w:szCs w:val="15"/>
                <w:b w:val="1"/>
                <w:bCs w:val="1"/>
                <w:color w:val="auto"/>
              </w:rPr>
              <w:t>(3)</w:t>
            </w:r>
          </w:p>
        </w:tc>
        <w:tc>
          <w:tcPr>
            <w:tcW w:w="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Management fees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expenses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14.81%</w:t>
            </w:r>
            <w:r>
              <w:rPr>
                <w:rFonts w:ascii="Arial" w:cs="Arial" w:eastAsia="Arial" w:hAnsi="Arial"/>
                <w:sz w:val="15"/>
                <w:szCs w:val="15"/>
                <w:color w:val="auto"/>
                <w:w w:val="98"/>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760" w:hanging="424"/>
        <w:spacing w:after="0" w:line="25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2019.</w:t>
      </w:r>
    </w:p>
    <w:p>
      <w:pPr>
        <w:spacing w:after="0" w:line="9"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2019. See “Business—Investment Management Agreement” and “Business—Investment Advisory Fees” in our most recent Annual Report on Form 10-K for more information.</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“Business—Investment Advisory Fees” in our most recent Annual Report on Form 10-K for more information.</w:t>
      </w:r>
    </w:p>
    <w:p>
      <w:pPr>
        <w:spacing w:after="0" w:line="1" w:lineRule="exact"/>
        <w:rPr>
          <w:rFonts w:ascii="Arial" w:cs="Arial" w:eastAsia="Arial" w:hAnsi="Arial"/>
          <w:sz w:val="17"/>
          <w:szCs w:val="17"/>
          <w:color w:val="auto"/>
        </w:rPr>
      </w:pPr>
    </w:p>
    <w:p>
      <w:pPr>
        <w:jc w:val="both"/>
        <w:ind w:left="540" w:hanging="424"/>
        <w:spacing w:after="0" w:line="255"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September 30, 2019, we had $265.3 million in borrowings outstanding under our Credit Facility, $138.6 million outstanding under our 2023 Notes and $228.0 million outstanding under the 2031 Asset-Backed Debt. We may use proceeds of an offering of securities under this registration statement to repay</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outstanding obligations under our Credit Facility. After completing any such offering, we may continue to borrow under our Credit Facility to finance our investment objectives. Annual interest expense on borrowed funds represents actual interest expense, amendment costs incurred on our Credit Facility, and debt issuance costs, if any, for the fiscal year ended September 30, 2019 and we caution you that our actual interest expense in the future will depend on prevailing interest rates and our rate of borrowing, which may be substantially higher than the amount provided in this table.</w:t>
      </w:r>
    </w:p>
    <w:p>
      <w:pPr>
        <w:spacing w:after="0" w:line="3" w:lineRule="exact"/>
        <w:rPr>
          <w:sz w:val="20"/>
          <w:szCs w:val="20"/>
          <w:color w:val="auto"/>
        </w:rPr>
      </w:pPr>
    </w:p>
    <w:p>
      <w:pPr>
        <w:ind w:left="540" w:hanging="424"/>
        <w:spacing w:after="0" w:line="281"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2019. Expenses for PSSL may fluctuate over time and may be substantially higher or lower in the future.</w:t>
      </w:r>
    </w:p>
    <w:p>
      <w:pPr>
        <w:spacing w:after="0" w:line="2"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8"/>
          <w:szCs w:val="18"/>
          <w:color w:val="auto"/>
        </w:rPr>
      </w:pPr>
    </w:p>
    <w:p>
      <w:pPr>
        <w:ind w:left="540" w:right="60" w:hanging="424"/>
        <w:spacing w:after="0" w:line="270"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7.23% of average total assets.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120" w:right="600" w:firstLine="440"/>
        <w:spacing w:after="0" w:line="291" w:lineRule="auto"/>
        <w:rPr>
          <w:sz w:val="20"/>
          <w:szCs w:val="20"/>
          <w:color w:val="auto"/>
        </w:rPr>
      </w:pPr>
      <w:r>
        <w:rPr>
          <w:rFonts w:ascii="Arial" w:cs="Arial" w:eastAsia="Arial" w:hAnsi="Arial"/>
          <w:sz w:val="16"/>
          <w:szCs w:val="16"/>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w:t>
      </w:r>
    </w:p>
    <w:p>
      <w:pPr>
        <w:ind w:left="120" w:right="700" w:hanging="4"/>
        <w:spacing w:after="0" w:line="260" w:lineRule="auto"/>
        <w:tabs>
          <w:tab w:leader="none" w:pos="3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net estimated annual expenses of 13.61% of average net assets attributable to common shares as set forth in the table above (other than performance-based incentive fees) and (3) a 5% annual return.</w:t>
      </w:r>
    </w:p>
    <w:p>
      <w:pPr>
        <w:spacing w:after="0" w:line="1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 investment:</w:t>
            </w: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260" w:type="dxa"/>
            <w:vAlign w:val="bottom"/>
          </w:tcPr>
          <w:p>
            <w:pPr>
              <w:spacing w:after="0"/>
              <w:rPr>
                <w:sz w:val="16"/>
                <w:szCs w:val="16"/>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26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175"/>
        </w:trPr>
        <w:tc>
          <w:tcPr>
            <w:tcW w:w="65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Assuming a 5% annual return (assumes no return from net realized capital gains or net</w:t>
            </w:r>
          </w:p>
        </w:tc>
        <w:tc>
          <w:tcPr>
            <w:tcW w:w="2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$ 161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381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564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r>
      <w:tr>
        <w:trPr>
          <w:trHeight w:val="202"/>
        </w:trPr>
        <w:tc>
          <w:tcPr>
            <w:tcW w:w="6540" w:type="dxa"/>
            <w:vAlign w:val="bottom"/>
            <w:gridSpan w:val="2"/>
          </w:tcPr>
          <w:p>
            <w:pPr>
              <w:spacing w:after="0" w:line="201" w:lineRule="exact"/>
              <w:rPr>
                <w:sz w:val="20"/>
                <w:szCs w:val="20"/>
                <w:color w:val="auto"/>
              </w:rPr>
            </w:pPr>
            <w:r>
              <w:rPr>
                <w:rFonts w:ascii="Arial" w:cs="Arial" w:eastAsia="Arial" w:hAnsi="Arial"/>
                <w:sz w:val="18"/>
                <w:szCs w:val="18"/>
                <w:color w:val="auto"/>
                <w:w w:val="93"/>
              </w:rPr>
              <w:t>Assuming a 5% annual return (assumes return from only realized capital gains and thus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$ 169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589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923</w:t>
            </w:r>
          </w:p>
        </w:tc>
      </w:tr>
    </w:tbl>
    <w:p>
      <w:pPr>
        <w:spacing w:after="0" w:line="20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20,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Securities Exchange Act of 1934, as amended, or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Information about our senior securities shown in the following table as of September 30, 2019, 2018,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w w:val="89"/>
              </w:rPr>
              <w:t>Asset</w:t>
            </w:r>
          </w:p>
        </w:tc>
        <w:tc>
          <w:tcPr>
            <w:tcW w:w="7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266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Coverage</w:t>
            </w:r>
          </w:p>
        </w:tc>
        <w:tc>
          <w:tcPr>
            <w:tcW w:w="16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660" w:type="dxa"/>
            <w:vAlign w:val="bottom"/>
            <w:gridSpan w:val="3"/>
          </w:tcPr>
          <w:p>
            <w:pPr>
              <w:ind w:left="174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380" w:type="dxa"/>
            <w:vAlign w:val="bottom"/>
            <w:gridSpan w:val="3"/>
          </w:tcPr>
          <w:p>
            <w:pPr>
              <w:ind w:left="700"/>
              <w:spacing w:after="0" w:line="158" w:lineRule="exact"/>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2"/>
                <w:szCs w:val="12"/>
                <w:b w:val="1"/>
                <w:bCs w:val="1"/>
                <w:color w:val="auto"/>
                <w:w w:val="97"/>
              </w:rPr>
              <w:t>(2)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17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265,308</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333,728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253,783</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2,780</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29,600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13,598</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99,600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3,109</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24,650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4,735</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2023 Notes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138,580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2031 Asset-Backed Debt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 in the United States of America.</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2017. On January 27, 2020, the last reported closing price of our common stock on The Nasdaq Global Select Market was $12.01 per share.</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Closing Sales Price</w:t>
            </w: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Premium / (Discount)</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Premium / (Discount)</w:t>
            </w:r>
          </w:p>
        </w:tc>
        <w:tc>
          <w:tcPr>
            <w:tcW w:w="24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70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on NASDAQ</w:t>
            </w: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of High Sales</w:t>
            </w: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of Low Sales</w:t>
            </w: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98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7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19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17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Fiscal Year Ending September 30,</w:t>
            </w:r>
          </w:p>
        </w:tc>
        <w:tc>
          <w:tcPr>
            <w:tcW w:w="5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(through</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January 27, 2020)</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 N/A</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$12.40</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$12.01</w:t>
            </w:r>
          </w:p>
        </w:tc>
        <w:tc>
          <w:tcPr>
            <w:tcW w:w="19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72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w w:val="97"/>
              </w:rPr>
              <w:t>0.095</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12.56</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11.33</w:t>
            </w:r>
          </w:p>
        </w:tc>
        <w:tc>
          <w:tcPr>
            <w:tcW w:w="19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17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1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11.79</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11.22</w:t>
            </w:r>
          </w:p>
        </w:tc>
        <w:tc>
          <w:tcPr>
            <w:tcW w:w="1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13.07</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13.35</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11.44</w:t>
            </w: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13.38</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11.80</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13.66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13.34</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11.20</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13.82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13.83</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13.15</w:t>
            </w: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14.10</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13.08</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13.98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13.85</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12.19</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14.61</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13.72</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60" w:hanging="424"/>
        <w:spacing w:after="0" w:line="25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 dividend of $0.095 per share payable on February 3, 2020 to stockholders of record as of January 16, 2020.</w:t>
      </w:r>
    </w:p>
    <w:p>
      <w:pPr>
        <w:spacing w:after="0" w:line="21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$11.60 and $13.15 on September 30, 2019 and 2018, respectively. Our NAV per share was $12.97 and $13.82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43 stockholders of record.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8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5540" w:right="5040" w:hanging="4884"/>
        <w:spacing w:after="0" w:line="535" w:lineRule="auto"/>
        <w:tabs>
          <w:tab w:leader="none" w:pos="1094"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13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1</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Example 2</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00" w:type="dxa"/>
            <w:vAlign w:val="bottom"/>
          </w:tcPr>
          <w:p>
            <w:pPr>
              <w:spacing w:after="0"/>
              <w:rPr>
                <w:sz w:val="12"/>
                <w:szCs w:val="12"/>
                <w:color w:val="auto"/>
              </w:rPr>
            </w:pPr>
          </w:p>
        </w:tc>
        <w:tc>
          <w:tcPr>
            <w:tcW w:w="17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4"/>
              </w:rPr>
              <w:t>at 10% Discount</w:t>
            </w:r>
          </w:p>
        </w:tc>
        <w:tc>
          <w:tcPr>
            <w:tcW w:w="10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2"/>
              </w:rPr>
              <w:t>1,000,000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1,050,000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7"/>
              </w:rPr>
              <w:t>1,250,000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9.98</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(0.90)%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99,800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95,000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3700" w:type="dxa"/>
            <w:vAlign w:val="bottom"/>
          </w:tcPr>
          <w:p>
            <w:pPr>
              <w:ind w:left="320"/>
              <w:spacing w:after="0"/>
              <w:rPr>
                <w:sz w:val="20"/>
                <w:szCs w:val="20"/>
                <w:color w:val="auto"/>
              </w:rPr>
            </w:pPr>
            <w:r>
              <w:rPr>
                <w:rFonts w:ascii="Arial" w:cs="Arial" w:eastAsia="Arial" w:hAnsi="Arial"/>
                <w:sz w:val="16"/>
                <w:szCs w:val="16"/>
                <w:color w:val="auto"/>
              </w:rPr>
              <w:t>Total investment by stockholder A (assumed to</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00" w:type="dxa"/>
            <w:vAlign w:val="bottom"/>
          </w:tcPr>
          <w:p>
            <w:pPr>
              <w:ind w:left="480"/>
              <w:spacing w:after="0"/>
              <w:rPr>
                <w:sz w:val="20"/>
                <w:szCs w:val="20"/>
                <w:color w:val="auto"/>
              </w:rPr>
            </w:pPr>
            <w:r>
              <w:rPr>
                <w:rFonts w:ascii="Arial" w:cs="Arial" w:eastAsia="Arial" w:hAnsi="Arial"/>
                <w:sz w:val="16"/>
                <w:szCs w:val="16"/>
                <w:color w:val="auto"/>
              </w:rPr>
              <w:t>be $10.00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100,000</w:t>
            </w:r>
          </w:p>
        </w:tc>
        <w:tc>
          <w:tcPr>
            <w:tcW w:w="80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100,000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 to stockholder A (total NAV less</w:t>
            </w:r>
          </w:p>
        </w:tc>
        <w:tc>
          <w:tcPr>
            <w:tcW w:w="10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investment)</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(200)</w:t>
            </w:r>
          </w:p>
        </w:tc>
        <w:tc>
          <w:tcPr>
            <w:tcW w:w="80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(900)</w:t>
            </w: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(5,000)</w:t>
            </w: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Example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Example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Amounts</w:t>
            </w: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20"/>
              <w:spacing w:after="0"/>
              <w:rPr>
                <w:sz w:val="20"/>
                <w:szCs w:val="20"/>
                <w:color w:val="auto"/>
              </w:rPr>
            </w:pPr>
            <w:r>
              <w:rPr>
                <w:rFonts w:ascii="Arial" w:cs="Arial" w:eastAsia="Arial" w:hAnsi="Arial"/>
                <w:sz w:val="16"/>
                <w:szCs w:val="16"/>
                <w:color w:val="auto"/>
              </w:rPr>
              <w:t>NAV per share held by stockholder A</w:t>
            </w:r>
          </w:p>
        </w:tc>
        <w:tc>
          <w:tcPr>
            <w:tcW w:w="24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9.98</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9.91</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Investment per share held by stockholder A (assumed to</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be $10.00 per share on shares held prior to sale)</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10.00</w:t>
            </w:r>
          </w:p>
        </w:tc>
        <w:tc>
          <w:tcPr>
            <w:tcW w:w="820" w:type="dxa"/>
            <w:vAlign w:val="bottom"/>
            <w:gridSpan w:val="2"/>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00" w:type="dxa"/>
            <w:vAlign w:val="bottom"/>
            <w:gridSpan w:val="2"/>
            <w:vMerge w:val="continue"/>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10.00</w:t>
            </w: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20" w:type="dxa"/>
            <w:vAlign w:val="bottom"/>
          </w:tcPr>
          <w:p>
            <w:pPr>
              <w:ind w:left="320"/>
              <w:spacing w:after="0"/>
              <w:rPr>
                <w:sz w:val="20"/>
                <w:szCs w:val="20"/>
                <w:color w:val="auto"/>
              </w:rPr>
            </w:pPr>
            <w:r>
              <w:rPr>
                <w:rFonts w:ascii="Arial" w:cs="Arial" w:eastAsia="Arial" w:hAnsi="Arial"/>
                <w:sz w:val="16"/>
                <w:szCs w:val="16"/>
                <w:color w:val="auto"/>
              </w:rPr>
              <w:t>Dilution per share held by stockholder A (NAV per share</w:t>
            </w:r>
          </w:p>
        </w:tc>
        <w:tc>
          <w:tcPr>
            <w:tcW w:w="2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tcPr>
          <w:p>
            <w:pPr>
              <w:ind w:left="480"/>
              <w:spacing w:after="0"/>
              <w:rPr>
                <w:sz w:val="20"/>
                <w:szCs w:val="20"/>
                <w:color w:val="auto"/>
              </w:rPr>
            </w:pPr>
            <w:r>
              <w:rPr>
                <w:rFonts w:ascii="Arial" w:cs="Arial" w:eastAsia="Arial" w:hAnsi="Arial"/>
                <w:sz w:val="16"/>
                <w:szCs w:val="16"/>
                <w:color w:val="auto"/>
              </w:rPr>
              <w:t>less investment per share)</w:t>
            </w:r>
          </w:p>
        </w:tc>
        <w:tc>
          <w:tcPr>
            <w:tcW w:w="2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(0.02)</w:t>
            </w:r>
          </w:p>
        </w:tc>
        <w:tc>
          <w:tcPr>
            <w:tcW w:w="820" w:type="dxa"/>
            <w:vAlign w:val="bottom"/>
            <w:gridSpan w:val="2"/>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(0.09)</w:t>
            </w:r>
          </w:p>
        </w:tc>
        <w:tc>
          <w:tcPr>
            <w:tcW w:w="800" w:type="dxa"/>
            <w:vAlign w:val="bottom"/>
            <w:gridSpan w:val="2"/>
            <w:vMerge w:val="continue"/>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Percentage dilution to stockholder A (dilution per share</w:t>
            </w:r>
          </w:p>
        </w:tc>
        <w:tc>
          <w:tcPr>
            <w:tcW w:w="2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divided by investment per share)</w:t>
            </w:r>
          </w:p>
        </w:tc>
        <w:tc>
          <w:tcPr>
            <w:tcW w:w="2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6"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their proportionate share of the offering (i.e. 3,750 shares which is 1.50% of the offering of 250,000 shares rather than their 1.00% proportionate share).</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Increases in Shares and Decrease to NAV</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NAV per share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5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11,250</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13,750</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106,875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24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160"/>
              <w:spacing w:after="0"/>
              <w:rPr>
                <w:sz w:val="20"/>
                <w:szCs w:val="20"/>
                <w:color w:val="auto"/>
              </w:rPr>
            </w:pPr>
            <w:r>
              <w:rPr>
                <w:rFonts w:ascii="Arial" w:cs="Arial" w:eastAsia="Arial" w:hAnsi="Arial"/>
                <w:sz w:val="16"/>
                <w:szCs w:val="16"/>
                <w:color w:val="auto"/>
              </w:rPr>
              <w:t>held prior to sale)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109,863</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9.86%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129,588</w:t>
            </w: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w w:val="99"/>
              </w:rPr>
              <w:t>Total (dilution)/accretion to stockholder A (total NAV less total investment)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(2,988)</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240" w:type="dxa"/>
            <w:vAlign w:val="bottom"/>
          </w:tcPr>
          <w:p>
            <w:pPr>
              <w:ind w:left="320"/>
              <w:spacing w:after="0"/>
              <w:rPr>
                <w:sz w:val="20"/>
                <w:szCs w:val="20"/>
                <w:color w:val="auto"/>
              </w:rPr>
            </w:pPr>
            <w:r>
              <w:rPr>
                <w:rFonts w:ascii="Arial" w:cs="Arial" w:eastAsia="Arial" w:hAnsi="Arial"/>
                <w:sz w:val="16"/>
                <w:szCs w:val="16"/>
                <w:color w:val="auto"/>
                <w:w w:val="97"/>
              </w:rPr>
              <w:t>Investment per share held by stockholder A (assumed to be $10.00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480"/>
              <w:spacing w:after="0"/>
              <w:rPr>
                <w:sz w:val="20"/>
                <w:szCs w:val="20"/>
                <w:color w:val="auto"/>
              </w:rPr>
            </w:pPr>
            <w:r>
              <w:rPr>
                <w:rFonts w:ascii="Arial" w:cs="Arial" w:eastAsia="Arial" w:hAnsi="Arial"/>
                <w:sz w:val="16"/>
                <w:szCs w:val="16"/>
                <w:color w:val="auto"/>
              </w:rPr>
              <w:t>share on shares held prior to sale)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9.77</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9.42</w:t>
            </w:r>
          </w:p>
        </w:tc>
        <w:tc>
          <w:tcPr>
            <w:tcW w:w="5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(Dilution)/accretion per share held by stockholder A (NAV per share less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(0.27)</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240" w:type="dxa"/>
            <w:vAlign w:val="bottom"/>
          </w:tcPr>
          <w:p>
            <w:pPr>
              <w:ind w:left="320"/>
              <w:spacing w:after="0"/>
              <w:rPr>
                <w:sz w:val="20"/>
                <w:szCs w:val="20"/>
                <w:color w:val="auto"/>
              </w:rPr>
            </w:pPr>
            <w:r>
              <w:rPr>
                <w:rFonts w:ascii="Arial" w:cs="Arial" w:eastAsia="Arial" w:hAnsi="Arial"/>
                <w:sz w:val="16"/>
                <w:szCs w:val="16"/>
                <w:color w:val="auto"/>
                <w:w w:val="97"/>
              </w:rPr>
              <w:t>Percentage (dilution)/accretion to stockholder A ((dilution)/accretion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2</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80" w:type="dxa"/>
            <w:vAlign w:val="bottom"/>
          </w:tcPr>
          <w:p>
            <w:pPr>
              <w:spacing w:after="0"/>
              <w:rPr>
                <w:sz w:val="12"/>
                <w:szCs w:val="12"/>
                <w:color w:val="auto"/>
              </w:rPr>
            </w:pPr>
          </w:p>
        </w:tc>
        <w:tc>
          <w:tcPr>
            <w:tcW w:w="18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6"/>
              </w:rPr>
              <w:t>at 10% Discount</w:t>
            </w:r>
          </w:p>
        </w:tc>
        <w:tc>
          <w:tcPr>
            <w:tcW w:w="80" w:type="dxa"/>
            <w:vAlign w:val="bottom"/>
          </w:tcPr>
          <w:p>
            <w:pPr>
              <w:spacing w:after="0"/>
              <w:rPr>
                <w:sz w:val="14"/>
                <w:szCs w:val="14"/>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b w:val="1"/>
                <w:bCs w:val="1"/>
                <w:color w:val="auto"/>
              </w:rPr>
              <w:t>Decrease to NAV</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7"/>
              </w:rPr>
              <w:t>1,050,000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1,100,000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9"/>
              </w:rPr>
              <w:t>1,250,000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NAV per share</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 to Stockholder A</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500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2,500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0.90%</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4,990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6"/>
                <w:szCs w:val="16"/>
                <w:color w:val="auto"/>
              </w:rPr>
              <w:t>Total investment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5,000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9,470</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19,725</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(dilution)/accretion to stockholder A</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4,025</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6"/>
                <w:szCs w:val="16"/>
                <w:color w:val="auto"/>
              </w:rPr>
              <w:t>Investment per share held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1.61</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tcPr>
          <w:p>
            <w:pPr>
              <w:ind w:left="320"/>
              <w:spacing w:after="0"/>
              <w:rPr>
                <w:sz w:val="20"/>
                <w:szCs w:val="20"/>
                <w:color w:val="auto"/>
              </w:rPr>
            </w:pPr>
            <w:r>
              <w:rPr>
                <w:rFonts w:ascii="Arial" w:cs="Arial" w:eastAsia="Arial" w:hAnsi="Arial"/>
                <w:sz w:val="16"/>
                <w:szCs w:val="16"/>
                <w:color w:val="auto"/>
              </w:rPr>
              <w:t>Percentage (dilution)/accretion to</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80"/>
              <w:spacing w:after="0"/>
              <w:rPr>
                <w:sz w:val="20"/>
                <w:szCs w:val="20"/>
                <w:color w:val="auto"/>
              </w:rPr>
            </w:pPr>
            <w:r>
              <w:rPr>
                <w:rFonts w:ascii="Arial" w:cs="Arial" w:eastAsia="Arial" w:hAnsi="Arial"/>
                <w:sz w:val="16"/>
                <w:szCs w:val="16"/>
                <w:color w:val="auto"/>
              </w:rPr>
              <w:t>stockholder A ((dilution)/accretion per</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6"/>
                <w:szCs w:val="16"/>
                <w:color w:val="auto"/>
              </w:rPr>
              <w:t>4.65%</w:t>
            </w:r>
          </w:p>
        </w:tc>
        <w:tc>
          <w:tcPr>
            <w:tcW w:w="80" w:type="dxa"/>
            <w:vAlign w:val="bottom"/>
          </w:tcPr>
          <w:p>
            <w:pPr>
              <w:spacing w:after="0"/>
              <w:rPr>
                <w:sz w:val="17"/>
                <w:szCs w:val="17"/>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w:t>
      </w:r>
    </w:p>
    <w:p>
      <w:pPr>
        <w:spacing w:after="0" w:line="46"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2018 from ordinary income (including short-term gains, if any), totaled $44.2 million and $42.8 million, or $1.14 and $1.14 per share, respectively, based on the weighted average shares outstanding for the respective periods. Additionally, for the year ended September 30, 2019 and 2018, we had long-term capital gain distributions of zero and $0.8 million, or zero and $0.02 per share, respectively, based on the weighted average shares outstanding.</w:t>
      </w:r>
    </w:p>
    <w:p>
      <w:pPr>
        <w:spacing w:after="0" w:line="193"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w:t>
      </w:r>
    </w:p>
    <w:p>
      <w:pPr>
        <w:spacing w:after="0" w:line="188"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38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440" w:type="dxa"/>
            <w:vAlign w:val="bottom"/>
            <w:gridSpan w:val="2"/>
            <w:vMerge w:val="continue"/>
          </w:tcPr>
          <w:p>
            <w:pPr>
              <w:spacing w:after="0"/>
              <w:rPr>
                <w:sz w:val="12"/>
                <w:szCs w:val="12"/>
                <w:color w:val="auto"/>
              </w:rPr>
            </w:pPr>
          </w:p>
        </w:tc>
        <w:tc>
          <w:tcPr>
            <w:tcW w:w="1220" w:type="dxa"/>
            <w:vAlign w:val="bottom"/>
            <w:gridSpan w:val="2"/>
          </w:tcPr>
          <w:p>
            <w:pPr>
              <w:jc w:val="right"/>
              <w:ind w:right="4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5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33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18 Fremont Street Acquisition, LLC</w:t>
            </w:r>
          </w:p>
        </w:tc>
        <w:tc>
          <w:tcPr>
            <w:tcW w:w="206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1"/>
              </w:rPr>
              <w:t>Hotels, Restaurants and Leisure</w:t>
            </w:r>
          </w:p>
        </w:tc>
        <w:tc>
          <w:tcPr>
            <w:tcW w:w="344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 1M L+800, 08/11/2025</w:t>
            </w:r>
          </w:p>
        </w:tc>
        <w:tc>
          <w:tcPr>
            <w:tcW w:w="1220" w:type="dxa"/>
            <w:vAlign w:val="bottom"/>
            <w:gridSpan w:val="2"/>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1 Fremont Street</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Las Vegas, NV 89101</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20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Goods: Durable</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87"/>
              </w:rPr>
              <w:t>Warrants</w:t>
            </w:r>
          </w:p>
        </w:tc>
        <w:tc>
          <w:tcPr>
            <w:tcW w:w="122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AG Investco LP</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Software</w:t>
            </w:r>
          </w:p>
        </w:tc>
        <w:tc>
          <w:tcPr>
            <w:tcW w:w="34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251 Little Falls Drive</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Herndon, VA 19808</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20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IT Services</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L+600, 07/24/2025</w:t>
            </w:r>
          </w:p>
        </w:tc>
        <w:tc>
          <w:tcPr>
            <w:tcW w:w="122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American Auto Auction Group, LLC</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Transportation: Consumer</w:t>
            </w: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 3M L+475, 01/02/2024</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10333 N. Meridian, Suite 200</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Indianapolis, IN 46290</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20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5"/>
              </w:rPr>
              <w:t>Building Products</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L+550, 12/21/2023</w:t>
            </w:r>
          </w:p>
        </w:tc>
        <w:tc>
          <w:tcPr>
            <w:tcW w:w="122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15,023</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American Teleconferencing Services, Ltd.</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Telecommunications</w:t>
            </w: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 3M L+650, 12/08/2021</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6,771</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3280 Peachtree Road, NE</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Atlanta, GA 30305</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API Technologies Corp.</w:t>
            </w:r>
          </w:p>
        </w:tc>
        <w:tc>
          <w:tcPr>
            <w:tcW w:w="20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Electronic Equipment,</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 1M L+425, 05/11/2026</w:t>
            </w:r>
          </w:p>
        </w:tc>
        <w:tc>
          <w:tcPr>
            <w:tcW w:w="122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4705 S. Apopka Vineland Rd., Suite 210</w:t>
            </w:r>
          </w:p>
        </w:tc>
        <w:tc>
          <w:tcPr>
            <w:tcW w:w="20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Instruments, and Components</w:t>
            </w: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Orlando, FL 32819</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40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BEI Precision Systems &amp; Space Company,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Aerospace and Defense</w:t>
            </w:r>
          </w:p>
        </w:tc>
        <w:tc>
          <w:tcPr>
            <w:tcW w:w="26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11,613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1100 Murphy Drive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04/28/2023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Maumelle, AR 72113</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By Light Professional IT Services,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22,316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(By Light Investco LP)</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L+625, 05/16/2022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3101 Wilson Boulevard, Suite 850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Arlington, VA 22201</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Cadence Aerospace,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 Newport Center Drive, Suite 950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L+650, 11/14/2023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Cano Health, LLC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23,913</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(ITC Rumba, LLC)</w:t>
            </w:r>
          </w:p>
        </w:tc>
        <w:tc>
          <w:tcPr>
            <w:tcW w:w="1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L+650, 12/23/2021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680 N. University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Pembroke Pines, FL 33024</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Cardenas Markets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2501 East Guasti Road</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L+575, 11/29/2023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Ontario, CA 91761</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CHA Holdings, Inc.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Environmental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575 Broadway, Suite 301</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L+450, 04/10/2025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Albany, NY 12207</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Challenger Performance Optimization, Inc.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Wilson Blvd.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L+575, 08/31/2023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CI (Summit) Investment Holdings,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Construction and Building</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575 Minnehaha Ave. W.</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St. Paul, MN 55103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High Tech Industries</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(3)</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L+875, 04/25/2025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(3)</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Confluent Health, LLC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Health Providers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75 S English Station Road</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L+500, 06/24/2026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Louisville, KY 40245</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DBI Holding,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Second Lien Secured Debt, 8.0% fixed PIK,</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North Conahan Drive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02/01/2026</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Hazleton, PA 18201</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DecoPac,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Beverage, Food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12,888</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(DecoPac Holdings Inc.)</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L+825, 03/31/2025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3500 Thurston Avenue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Anoka, MN 55303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Consumer Goods: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Non-Durable</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10/31/2023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Digital Room Holdings,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Media: Advertising,</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9,495</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8000 Haskell Ave.</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L+500, 05/22/2026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Van Nuys, CA 91406</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40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Douglas Products and Packaging Company LLC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Chemicals, Plastics and</w:t>
            </w:r>
          </w:p>
        </w:tc>
        <w:tc>
          <w:tcPr>
            <w:tcW w:w="26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26,403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Sewer Intermediate, LLC)</w:t>
            </w:r>
          </w:p>
        </w:tc>
        <w:tc>
          <w:tcPr>
            <w:tcW w:w="18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Rubber</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L+575, 10/19/2022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(Plant Health Intermediate, Inc.)</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1550 East Old 210 Highway</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Liberty, MO 64068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East Valley Tourist Development Authority</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Hotel, Gaming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18,406</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84245 Indio Springs Dr.</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L+800, 03/07/2022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Indio, CA 92203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(3)</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Banking, Finance,</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21,935</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11612 Bee Caves Road, Building II, Suite 200</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2"/>
              </w:rPr>
              <w:t>Insurance &amp; Real Estate</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L+500, 10/05/2023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78738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Education Networks of America,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Telecommunications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First Lien Secured Debt</w:t>
            </w:r>
            <w:r>
              <w:rPr>
                <w:rFonts w:ascii="Arial" w:cs="Arial" w:eastAsia="Arial" w:hAnsi="Arial"/>
                <w:sz w:val="12"/>
                <w:szCs w:val="12"/>
                <w:color w:val="auto"/>
                <w:w w:val="95"/>
              </w:rPr>
              <w:t>(4)</w:t>
            </w:r>
            <w:r>
              <w:rPr>
                <w:rFonts w:ascii="Arial" w:cs="Arial" w:eastAsia="Arial" w:hAnsi="Arial"/>
                <w:sz w:val="14"/>
                <w:szCs w:val="14"/>
                <w:color w:val="auto"/>
                <w:w w:val="95"/>
              </w:rPr>
              <w:t>, 1M L+750 (PIK</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618 Grassmere Park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4"/>
              </w:rPr>
              <w:t>2.5%), 05/06/2021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Suite 12</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Nashville, TN 37211</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Efficient Collaborative Retail Marketing Company, LLC</w:t>
            </w:r>
          </w:p>
        </w:tc>
        <w:tc>
          <w:tcPr>
            <w:tcW w:w="18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Media: Diversified and</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7,178</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27070 Miles Road, Suite A</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Production</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L+675, 06/15/2022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FlexPrint,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Professional Services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2845 N. Omaha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L+620, 01/02/2024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Mesa, AZ 85215</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Construction and Building</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GCOM Software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14,346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(GCOM InvestCo LP)</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L+625, 11/14/2022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24 Madison Avenue (Extension 4)</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Albany, NY 12203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Good2Grow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89"/>
              </w:rPr>
              <w:t>Beverages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6,914</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2859 Paces Ferry Road SE #2100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L+425, 11/18/2024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30339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GSM Holdings, Inc.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Consumer Goods: Durable</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3385 Roy Orr Blvd., Suite B</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L+450, 06/03/2024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Grand Prairie, TX 75050</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L+625, 12/10/2024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IMIA Holdings,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 10/28/2024</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6470 Spanish Fort Boulevard Suite 300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Spanish Fort, AL 36527</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Impact Group,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Wholesale</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12,679</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L+650, 06/27/2023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Innova Medical Ophthalmics Inc.</w:t>
            </w:r>
            <w:r>
              <w:rPr>
                <w:rFonts w:ascii="Arial" w:cs="Arial" w:eastAsia="Arial" w:hAnsi="Arial"/>
                <w:sz w:val="12"/>
                <w:szCs w:val="12"/>
                <w:color w:val="auto"/>
              </w:rPr>
              <w:t>(3)</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Capital Equipment</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17,506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(Lombart Brothers, Inc.)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L+625, 04/13/2022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5358 Robin Hood Road</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Norfolk, VA 23513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Nature of</w:t>
            </w:r>
          </w:p>
        </w:tc>
        <w:tc>
          <w:tcPr>
            <w:tcW w:w="3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578"/>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3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1260" w:type="dxa"/>
            <w:vAlign w:val="bottom"/>
            <w:gridSpan w:val="2"/>
          </w:tcPr>
          <w:p>
            <w:pPr>
              <w:jc w:val="right"/>
              <w:ind w:right="4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4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43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Integrative Nutrition, LLC</w:t>
            </w:r>
          </w:p>
        </w:tc>
        <w:tc>
          <w:tcPr>
            <w:tcW w:w="11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Consumer Services</w:t>
            </w:r>
          </w:p>
        </w:tc>
        <w:tc>
          <w:tcPr>
            <w:tcW w:w="280" w:type="dxa"/>
            <w:vAlign w:val="bottom"/>
            <w:tcBorders>
              <w:top w:val="single" w:sz="8" w:color="CCEEFF"/>
            </w:tcBorders>
            <w:shd w:val="clear" w:color="auto" w:fill="CCEEFF"/>
          </w:tcPr>
          <w:p>
            <w:pPr>
              <w:spacing w:after="0"/>
              <w:rPr>
                <w:sz w:val="9"/>
                <w:szCs w:val="9"/>
                <w:color w:val="auto"/>
              </w:rPr>
            </w:pPr>
          </w:p>
        </w:tc>
        <w:tc>
          <w:tcPr>
            <w:tcW w:w="27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1.5</w:t>
            </w:r>
          </w:p>
        </w:tc>
        <w:tc>
          <w:tcPr>
            <w:tcW w:w="440" w:type="dxa"/>
            <w:vAlign w:val="bottom"/>
            <w:tcBorders>
              <w:top w:val="single" w:sz="8" w:color="CCEEFF"/>
            </w:tcBorders>
            <w:shd w:val="clear" w:color="auto" w:fill="CCEEFF"/>
          </w:tcPr>
          <w:p>
            <w:pPr>
              <w:jc w:val="right"/>
              <w:ind w:right="258"/>
              <w:spacing w:after="0" w:line="109" w:lineRule="exact"/>
              <w:rPr>
                <w:sz w:val="20"/>
                <w:szCs w:val="20"/>
                <w:color w:val="auto"/>
              </w:rPr>
            </w:pPr>
            <w:r>
              <w:rPr>
                <w:rFonts w:ascii="Arial" w:cs="Arial" w:eastAsia="Arial" w:hAnsi="Arial"/>
                <w:sz w:val="12"/>
                <w:szCs w:val="12"/>
                <w:color w:val="auto"/>
                <w:w w:val="93"/>
              </w:rPr>
              <w:t>%</w:t>
            </w: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27,148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(IIN Group Holdings, LLC)</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L+475, 09/29/2023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245 5</w:t>
            </w:r>
            <w:r>
              <w:rPr>
                <w:rFonts w:ascii="Arial" w:cs="Arial" w:eastAsia="Arial" w:hAnsi="Arial"/>
                <w:sz w:val="12"/>
                <w:szCs w:val="12"/>
                <w:color w:val="auto"/>
              </w:rPr>
              <w:t>th</w:t>
            </w:r>
            <w:r>
              <w:rPr>
                <w:rFonts w:ascii="Arial" w:cs="Arial" w:eastAsia="Arial" w:hAnsi="Arial"/>
                <w:sz w:val="14"/>
                <w:szCs w:val="14"/>
                <w:color w:val="auto"/>
              </w:rPr>
              <w:t xml:space="preserve"> Avenue</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Inventus Power,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3,777</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1200 Internationale Parkway</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Durable</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L+650, 04/30/2020</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Woodridge, IL 60517</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JWC/UMA Holdings, L.P.</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1515 Broad Street, Suite 120</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Bloomfield, NJ 07003</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Chemicals, Plastics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and Rubber</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L+525, 12/20/2023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Uniontown, OH 44685</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Kentucky Downs, LLC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Hotels, Restaurants</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5,596</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(Kentucky Racing Holdco, LLC)</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and 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L+850, 03/07/2025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5629 Nashville Road</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Warrants</w:t>
            </w:r>
            <w:r>
              <w:rPr>
                <w:rFonts w:ascii="Arial" w:cs="Arial" w:eastAsia="Arial" w:hAnsi="Arial"/>
                <w:sz w:val="12"/>
                <w:szCs w:val="12"/>
                <w:color w:val="auto"/>
                <w:w w:val="92"/>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Franklin, KY 42134</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KHC Holdings,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Wholesale</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12,511</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3300 Brother Boulevard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L+600, 10/31/2022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Memphis, TN 38133</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Lago Resort &amp; Casino, LLC</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Hotel, Gaming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9,176</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1133 Ridge Road (Rt 414)</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L+950, 03/07/2022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Waterloo, NY 13165</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LAV Gear Holdings,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Capital Equipment</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8,475</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3165 W Sunset Rd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L+550, 10/31/2024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Las Vegas, NV 89118</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LifeCare Holdings LLC</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5340 Legacy Drive</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 11/30/2021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 150, Building 4</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Long Island Vision Management, LLC</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Healthcare and</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8,116</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805 Broadway</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L+475, 09/11/2023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New York, NY 11701</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Long’s Drugs Incorporated</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 Executive Center Drive, Suite 228</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L+500, 08/19/2022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SC 29210</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Retail</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12,712</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775 Prairie Center Drive, Suite 420</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L+600, 05/01/2023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Eden Prairie, MN 55344</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Media: Advertising,</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Printing and</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12M L+925, 10/23/2024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5"/>
              </w:rPr>
              <w:t>Publishing</w:t>
            </w: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Manna Pro Products, LLC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8,159</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707 Spirit 40 Park Drive, #150</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L+600, 12/08/2023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Chesterfield, MO 63005</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Marketplace Events LLC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Media: Diversified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5"/>
              </w:rPr>
              <w:t>First Lien Secured Debt</w:t>
            </w:r>
            <w:r>
              <w:rPr>
                <w:rFonts w:ascii="Arial" w:cs="Arial" w:eastAsia="Arial" w:hAnsi="Arial"/>
                <w:sz w:val="12"/>
                <w:szCs w:val="12"/>
                <w:color w:val="auto"/>
                <w:w w:val="95"/>
              </w:rPr>
              <w:t>(4)</w:t>
            </w:r>
            <w:r>
              <w:rPr>
                <w:rFonts w:ascii="Arial" w:cs="Arial" w:eastAsia="Arial" w:hAnsi="Arial"/>
                <w:sz w:val="14"/>
                <w:szCs w:val="14"/>
                <w:color w:val="auto"/>
                <w:w w:val="95"/>
              </w:rPr>
              <w:t>, USD (3M L+525,</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18,034</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and Production</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01/27/2023), CAD (P+275, 01/27/2023)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McAfee, LLC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High Tech</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2821 Mission College Boulevard</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Industries</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L+850, 09/29/2025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Santa Clara, CA 95054</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Type of Investment,</w:t>
            </w:r>
          </w:p>
        </w:tc>
        <w:tc>
          <w:tcPr>
            <w:tcW w:w="1420" w:type="dxa"/>
            <w:vAlign w:val="bottom"/>
            <w:gridSpan w:val="2"/>
          </w:tcPr>
          <w:p>
            <w:pPr>
              <w:jc w:val="center"/>
              <w:ind w:right="518"/>
              <w:spacing w:after="0"/>
              <w:rPr>
                <w:sz w:val="20"/>
                <w:szCs w:val="20"/>
                <w:color w:val="auto"/>
              </w:rPr>
            </w:pPr>
            <w:r>
              <w:rPr>
                <w:rFonts w:ascii="Arial" w:cs="Arial" w:eastAsia="Arial" w:hAnsi="Arial"/>
                <w:sz w:val="14"/>
                <w:szCs w:val="14"/>
                <w:b w:val="1"/>
                <w:bCs w:val="1"/>
                <w:color w:val="auto"/>
                <w:w w:val="91"/>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4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40" w:type="dxa"/>
            <w:vAlign w:val="bottom"/>
            <w:gridSpan w:val="2"/>
            <w:vMerge w:val="continue"/>
          </w:tcPr>
          <w:p>
            <w:pPr>
              <w:spacing w:after="0"/>
              <w:rPr>
                <w:sz w:val="12"/>
                <w:szCs w:val="12"/>
                <w:color w:val="auto"/>
              </w:rPr>
            </w:pPr>
          </w:p>
        </w:tc>
        <w:tc>
          <w:tcPr>
            <w:tcW w:w="1420" w:type="dxa"/>
            <w:vAlign w:val="bottom"/>
            <w:gridSpan w:val="2"/>
          </w:tcPr>
          <w:p>
            <w:pPr>
              <w:jc w:val="right"/>
              <w:ind w:right="598"/>
              <w:spacing w:after="0" w:line="145" w:lineRule="exact"/>
              <w:rPr>
                <w:sz w:val="20"/>
                <w:szCs w:val="20"/>
                <w:color w:val="auto"/>
              </w:rPr>
            </w:pPr>
            <w:r>
              <w:rPr>
                <w:rFonts w:ascii="Arial" w:cs="Arial" w:eastAsia="Arial" w:hAnsi="Arial"/>
                <w:sz w:val="14"/>
                <w:szCs w:val="14"/>
                <w:b w:val="1"/>
                <w:bCs w:val="1"/>
                <w:color w:val="auto"/>
                <w:w w:val="97"/>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420" w:type="dxa"/>
            <w:vAlign w:val="bottom"/>
            <w:gridSpan w:val="2"/>
          </w:tcPr>
          <w:p>
            <w:pPr>
              <w:jc w:val="center"/>
              <w:ind w:right="49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40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MeritDirect, LLC</w:t>
            </w:r>
          </w:p>
        </w:tc>
        <w:tc>
          <w:tcPr>
            <w:tcW w:w="14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Media</w:t>
            </w:r>
          </w:p>
        </w:tc>
        <w:tc>
          <w:tcPr>
            <w:tcW w:w="24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ind w:left="660"/>
              <w:spacing w:after="0" w:line="109" w:lineRule="exact"/>
              <w:rPr>
                <w:sz w:val="20"/>
                <w:szCs w:val="20"/>
                <w:color w:val="auto"/>
              </w:rPr>
            </w:pPr>
            <w:r>
              <w:rPr>
                <w:rFonts w:ascii="Arial" w:cs="Arial" w:eastAsia="Arial" w:hAnsi="Arial"/>
                <w:sz w:val="12"/>
                <w:szCs w:val="12"/>
                <w:color w:val="auto"/>
                <w:w w:val="95"/>
              </w:rPr>
              <w:t>1.0</w:t>
            </w:r>
          </w:p>
        </w:tc>
        <w:tc>
          <w:tcPr>
            <w:tcW w:w="580" w:type="dxa"/>
            <w:vAlign w:val="bottom"/>
            <w:tcBorders>
              <w:top w:val="single" w:sz="8" w:color="CCEEFF"/>
            </w:tcBorders>
            <w:shd w:val="clear" w:color="auto" w:fill="CCEEFF"/>
          </w:tcPr>
          <w:p>
            <w:pPr>
              <w:jc w:val="right"/>
              <w:ind w:right="398"/>
              <w:spacing w:after="0" w:line="109" w:lineRule="exact"/>
              <w:rPr>
                <w:sz w:val="20"/>
                <w:szCs w:val="20"/>
                <w:color w:val="auto"/>
              </w:rPr>
            </w:pPr>
            <w:r>
              <w:rPr>
                <w:rFonts w:ascii="Arial" w:cs="Arial" w:eastAsia="Arial" w:hAnsi="Arial"/>
                <w:sz w:val="12"/>
                <w:szCs w:val="12"/>
                <w:color w:val="auto"/>
                <w:w w:val="93"/>
              </w:rPr>
              <w:t>%</w:t>
            </w: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35,285</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L+550, 05/23/2024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Mission Critical Electronics,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Capital Equipment</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2911 W. Garry Ave.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L+500, 09/28/2021</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Santa Ana, CA 92704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Montreign Operating Company, LLC</w:t>
            </w:r>
          </w:p>
        </w:tc>
        <w:tc>
          <w:tcPr>
            <w:tcW w:w="170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Hotel, Gaming and</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24,345</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204 State Route 17B</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L+825, 01/24/2023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Monticello, NY 12701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Nuvei Technologies Corp.</w:t>
            </w:r>
            <w:r>
              <w:rPr>
                <w:rFonts w:ascii="Arial" w:cs="Arial" w:eastAsia="Arial" w:hAnsi="Arial"/>
                <w:sz w:val="12"/>
                <w:szCs w:val="12"/>
                <w:color w:val="auto"/>
              </w:rPr>
              <w:t>(3)</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Diversified Financial</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First Lien Secured Debt, P+400, 09/28/2025</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19,651</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1100 Rene Levsque West Suite 900</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Montreal, Quebec, H3B 4N4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Olde Thompson,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3250 Camino Del Sol</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L+450, 05/14/2024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Oxnard, CA 93030</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Output Services Group,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Business Services</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2,548</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100 Challenger Road #303</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L+450, 03/27/2024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Ridgefield Park, NJ 07660</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Ox Two,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Construction and</w:t>
            </w:r>
          </w:p>
        </w:tc>
        <w:tc>
          <w:tcPr>
            <w:tcW w:w="29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13,289</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700 Centreville Rd.</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rPr>
              <w:t>Building</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L+625, 02/27/2023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Constantine, MI 49042</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Peninsula Pacific Entertainment LLC</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Hotel, Gaming and</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13,276</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1M L+725, 11/13/2024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New Kent, VA 23124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(3)</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141 Hamilton Road</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L+525, 06/01/2023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PlayPower,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Leisure Products</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L+550, 05/08/2026</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Huntersville, NC 28078</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PRA Events, Inc.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L+700, 08/08/2022</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PT Network, LLC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and</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Second Lien Secured Debt, 3M L+1,000 PIK,</w:t>
            </w:r>
          </w:p>
        </w:tc>
        <w:tc>
          <w:tcPr>
            <w:tcW w:w="1420" w:type="dxa"/>
            <w:vAlign w:val="bottom"/>
            <w:gridSpan w:val="2"/>
          </w:tcPr>
          <w:p>
            <w:pPr>
              <w:ind w:left="660"/>
              <w:spacing w:after="0"/>
              <w:rPr>
                <w:sz w:val="20"/>
                <w:szCs w:val="20"/>
                <w:color w:val="auto"/>
              </w:rPr>
            </w:pPr>
            <w:r>
              <w:rPr>
                <w:rFonts w:ascii="Arial" w:cs="Arial" w:eastAsia="Arial" w:hAnsi="Arial"/>
                <w:sz w:val="14"/>
                <w:szCs w:val="14"/>
                <w:color w:val="auto"/>
              </w:rPr>
              <w:t>2.5%</w:t>
            </w:r>
            <w:r>
              <w:rPr>
                <w:rFonts w:ascii="Arial" w:cs="Arial" w:eastAsia="Arial" w:hAnsi="Arial"/>
                <w:sz w:val="12"/>
                <w:szCs w:val="12"/>
                <w:color w:val="auto"/>
              </w:rPr>
              <w:t>(6)</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(PT Network Intermediate Holdings, LLC)</w:t>
            </w: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Pharmaceuticals</w:t>
            </w: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1"/>
              </w:rPr>
              <w:t>11/30/2024</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(CI (PTN) Investment Holdings II, LLC)</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501 Fairmount Avenue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Towson, MD 21286</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18,715</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L+525, 09/04/2024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Questex, LLC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Media: Diversified and</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7,339</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Production</w:t>
            </w: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3M L+500, 09/09/2024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Media: Advertising,</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L+625, 06/28/2022</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9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Nature of Business</w:t>
            </w:r>
          </w:p>
        </w:tc>
        <w:tc>
          <w:tcPr>
            <w:tcW w:w="3040" w:type="dxa"/>
            <w:vAlign w:val="bottom"/>
            <w:gridSpan w:val="3"/>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0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39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Research Now Group, Inc. and Survey Sampling International</w:t>
            </w: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6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gridSpan w:val="2"/>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24,601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LLC</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3M L+550, 12/20/2024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5800 Tennyson Parkway, Suite 600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Riverpoint Medical, LLC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Equipment and</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825 NE 25th Avenue</w:t>
            </w: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Supplies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Portland, OR 97232</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Salient CRGT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High Tech Industries</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Legato Road, Suite 600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L+600, 02/28/2022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Fairfax, VA 22033</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Schlesinger Global,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Professional Services</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19,327</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07/14/2025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Iselin, NJ 08830</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Commercial Services &amp;</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14,174</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Supplies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L+650, 05/03/2024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Smile Brands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Healthcare and</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100 Spectrum Center Drive</w:t>
            </w: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L+450, 10/14/2024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Irvine, CA 92618</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Snak Club,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89"/>
              </w:rPr>
              <w:t>Beverage, Food and</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5560 E Slauson Ave</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Tobacco</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L+600, 07/19/2021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Commerce, CA 90040</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Solutionreach,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Healthcare Technology</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2600 N. Ashton Blvd.</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L+575, 01/17/2024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Lehi, UT 84043</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 Suite 200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TeleGuam Holdings, LLC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Telecommunications</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7,399</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624 North Marine Corps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07/25/2023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Tamuning, Guam 96913</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Teneo Holdings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Diversified Financial</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280 Park Avenue, 4th Floor</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Services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L+525, 07/18/2025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Tensar Corporation</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Construction and</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21,716</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2500 Northwinds Parkway, Ste. 500</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Buildings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L+475, 07/09/2021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Alpharetta, GA 30009</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Infosoft Group,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 Broadcasting and</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18,978</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InfosoftCoInvest, LLC)</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Subscription</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L+525, 09/16/2024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North Water Street, Suite 1100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Milwaukee, WI 53202</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The Original Cakerie, Co.</w:t>
            </w:r>
            <w:r>
              <w:rPr>
                <w:rFonts w:ascii="Arial" w:cs="Arial" w:eastAsia="Arial" w:hAnsi="Arial"/>
                <w:sz w:val="12"/>
                <w:szCs w:val="12"/>
                <w:color w:val="auto"/>
              </w:rPr>
              <w:t>(3)</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13,154</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The Original Cakerie Ltd.</w:t>
            </w:r>
            <w:r>
              <w:rPr>
                <w:rFonts w:ascii="Arial" w:cs="Arial" w:eastAsia="Arial" w:hAnsi="Arial"/>
                <w:sz w:val="12"/>
                <w:szCs w:val="12"/>
                <w:color w:val="auto"/>
              </w:rPr>
              <w:t>(3)</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0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4"/>
              </w:rPr>
              <w:t>The Original Cakerie, Co.</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1345 Cliveden Ave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(2M L+500, 07/20/2022),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Delta, BC V3M 6C7, Canada</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5"/>
              </w:rPr>
              <w:t>The Original Cakerie, Ltd.</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(2M</w:t>
            </w:r>
          </w:p>
        </w:tc>
        <w:tc>
          <w:tcPr>
            <w:tcW w:w="2120" w:type="dxa"/>
            <w:vAlign w:val="bottom"/>
            <w:gridSpan w:val="2"/>
          </w:tcPr>
          <w:p>
            <w:pPr>
              <w:jc w:val="right"/>
              <w:ind w:right="940"/>
              <w:spacing w:after="0"/>
              <w:rPr>
                <w:sz w:val="20"/>
                <w:szCs w:val="20"/>
                <w:color w:val="auto"/>
              </w:rPr>
            </w:pPr>
            <w:r>
              <w:rPr>
                <w:rFonts w:ascii="Arial" w:cs="Arial" w:eastAsia="Arial" w:hAnsi="Arial"/>
                <w:sz w:val="14"/>
                <w:szCs w:val="14"/>
                <w:color w:val="auto"/>
                <w:w w:val="95"/>
              </w:rPr>
              <w:t>L+450, 07/20/2022)</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TPC Broadband Investors, LP</w:t>
            </w:r>
            <w:r>
              <w:rPr>
                <w:rFonts w:ascii="Arial" w:cs="Arial" w:eastAsia="Arial" w:hAnsi="Arial"/>
                <w:sz w:val="12"/>
                <w:szCs w:val="12"/>
                <w:color w:val="auto"/>
              </w:rPr>
              <w:t>(5)</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Telecommunications</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12409 NW 35 Street</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Coral Springs, FL 33065</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Type of Investment,</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8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2960" w:type="dxa"/>
            <w:vAlign w:val="bottom"/>
            <w:gridSpan w:val="2"/>
            <w:vMerge w:val="continue"/>
          </w:tcPr>
          <w:p>
            <w:pPr>
              <w:spacing w:after="0"/>
              <w:rPr>
                <w:sz w:val="12"/>
                <w:szCs w:val="12"/>
                <w:color w:val="auto"/>
              </w:rPr>
            </w:pPr>
          </w:p>
        </w:tc>
        <w:tc>
          <w:tcPr>
            <w:tcW w:w="1320" w:type="dxa"/>
            <w:vAlign w:val="bottom"/>
            <w:gridSpan w:val="2"/>
          </w:tcPr>
          <w:p>
            <w:pPr>
              <w:jc w:val="right"/>
              <w:ind w:right="5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2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40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Triad Manufacturing, Inc.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Capital Equipment</w:t>
            </w:r>
          </w:p>
        </w:tc>
        <w:tc>
          <w:tcPr>
            <w:tcW w:w="20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7,633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4321 Semple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1M L+1,125, 12/28/2020</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 63120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TVC Enterprises,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Professional Services</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6,796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(Gauge TVC Coinvest,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L+550, 01/18/2024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6100 Lake Forrest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TWS Acquisition Corporation</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Diversified Consumer</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7,690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Services</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L+625, 06/16/2025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Tyto Athene,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Aerospace and Defense</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22,089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(NXOF Holdings, Inc.)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L+575, 08/27/2024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510 Spring St.,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Herndon, VA 20170</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Capital Equipment</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13,990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L+450, 04/03/2024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UniTek Global Services,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Telecommunications</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9,802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1777 Sentry Parkway West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L+550, 08/20/2024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Gwynedd Hall, Ste. 202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Blue Bell, PA 19422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Med Acquisition,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Healthcare and</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2,996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8260 NW 27</w:t>
            </w:r>
            <w:r>
              <w:rPr>
                <w:rFonts w:ascii="Arial" w:cs="Arial" w:eastAsia="Arial" w:hAnsi="Arial"/>
                <w:sz w:val="12"/>
                <w:szCs w:val="12"/>
                <w:color w:val="auto"/>
              </w:rPr>
              <w:t>th</w:t>
            </w:r>
            <w:r>
              <w:rPr>
                <w:rFonts w:ascii="Arial" w:cs="Arial" w:eastAsia="Arial" w:hAnsi="Arial"/>
                <w:sz w:val="14"/>
                <w:szCs w:val="14"/>
                <w:color w:val="auto"/>
              </w:rPr>
              <w:t xml:space="preserve"> Street, Suite 401</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Pharmaceuticals</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L+900, 08/13/2021</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Doral, FL 33122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Vision Purchaser Corporation</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Media</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3,407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7650 185th Street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06/10/2025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Tinley Park, IL 60477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JWC-WE Holdings, L.P.</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Wholesale</w:t>
            </w:r>
          </w:p>
        </w:tc>
        <w:tc>
          <w:tcPr>
            <w:tcW w:w="29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3,596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Whitney, Bradley &amp; Brown,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Aerospace and Defense</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5,686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(WBB Equity,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L+750, 10/18/2022</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Reston, VA 20191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Country Fresh Holdings, LLC</w:t>
            </w:r>
          </w:p>
        </w:tc>
        <w:tc>
          <w:tcPr>
            <w:tcW w:w="17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89"/>
              </w:rPr>
              <w:t>Beverage, Food and</w:t>
            </w:r>
          </w:p>
        </w:tc>
        <w:tc>
          <w:tcPr>
            <w:tcW w:w="29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1"/>
                <w:szCs w:val="11"/>
                <w:color w:val="auto"/>
              </w:rPr>
            </w:pPr>
          </w:p>
        </w:tc>
        <w:tc>
          <w:tcPr>
            <w:tcW w:w="8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14,492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 Company Inc.)</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Tobacco</w:t>
            </w: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L+500, 05/01/2023</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15479 Pin Oaks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Second Lien Secured Debt, 1M L+850 PIK,</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Conroe, TX 77384</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color w:val="auto"/>
                <w:w w:val="91"/>
              </w:rPr>
              <w:t>04/29/2024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Quick Weight Loss Centers,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Beverage, Food and</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24.0%</w:t>
            </w:r>
            <w:r>
              <w:rPr>
                <w:rFonts w:ascii="Arial" w:cs="Arial" w:eastAsia="Arial" w:hAnsi="Arial"/>
                <w:sz w:val="12"/>
                <w:szCs w:val="12"/>
                <w:color w:val="auto"/>
              </w:rPr>
              <w:t>(6)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5,939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(Quick Weight Loss Centers Holdings, LLC)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Tobacco</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3161 Mcnab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Second Lien Secured Debt,</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Pompano Beach, FL 33069</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PennantPark Senior Secured Loan Fund I LLC</w:t>
            </w:r>
            <w:r>
              <w:rPr>
                <w:rFonts w:ascii="Arial" w:cs="Arial" w:eastAsia="Arial" w:hAnsi="Arial"/>
                <w:sz w:val="12"/>
                <w:szCs w:val="12"/>
                <w:color w:val="auto"/>
              </w:rPr>
              <w:t>(3)</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w:t>
            </w:r>
            <w:r>
              <w:rPr>
                <w:rFonts w:ascii="Arial" w:cs="Arial" w:eastAsia="Arial" w:hAnsi="Arial"/>
                <w:sz w:val="12"/>
                <w:szCs w:val="12"/>
                <w:color w:val="auto"/>
              </w:rPr>
              <w:t>(6)</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172,163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L+800, 05/06/2024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Equity Interest</w:t>
            </w:r>
            <w:r>
              <w:rPr>
                <w:rFonts w:ascii="Arial" w:cs="Arial" w:eastAsia="Arial" w:hAnsi="Arial"/>
                <w:sz w:val="12"/>
                <w:szCs w:val="12"/>
                <w:color w:val="auto"/>
                <w:w w:val="95"/>
              </w:rPr>
              <w:t>(4)</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8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20" w:hanging="424"/>
        <w:spacing w:after="0" w:line="243" w:lineRule="auto"/>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basis point spread above index for floating rate instruments that accrue interest at a predetermined spread relative to an index, typically the applicable London Interbank Offered Rate, or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540" w:hanging="424"/>
        <w:spacing w:after="0" w:line="221"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ind w:left="540" w:hanging="424"/>
        <w:spacing w:after="0" w:line="221"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540" w:hanging="424"/>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spacing w:after="0" w:line="19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2680" w:type="dxa"/>
            <w:vAlign w:val="bottom"/>
          </w:tcPr>
          <w:p>
            <w:pPr>
              <w:spacing w:after="0"/>
              <w:rPr>
                <w:sz w:val="14"/>
                <w:szCs w:val="14"/>
                <w:color w:val="auto"/>
              </w:rPr>
            </w:pPr>
          </w:p>
        </w:tc>
        <w:tc>
          <w:tcPr>
            <w:tcW w:w="30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2019</w:t>
            </w:r>
            <w:r>
              <w:rPr>
                <w:rFonts w:ascii="Arial" w:cs="Arial" w:eastAsia="Arial" w:hAnsi="Arial"/>
                <w:sz w:val="12"/>
                <w:szCs w:val="12"/>
                <w:b w:val="1"/>
                <w:bCs w:val="1"/>
                <w:color w:val="auto"/>
              </w:rPr>
              <w:t>(1)</w:t>
            </w:r>
          </w:p>
        </w:tc>
        <w:tc>
          <w:tcPr>
            <w:tcW w:w="2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2018</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9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100" w:type="dxa"/>
            <w:vAlign w:val="bottom"/>
            <w:gridSpan w:val="3"/>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1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7%</w:t>
            </w:r>
          </w:p>
        </w:tc>
        <w:tc>
          <w:tcPr>
            <w:tcW w:w="60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Capital Equipment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Consumer Goods: Non-Durable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Diversified Financial Services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Building Products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Services &amp; Supplies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Hotels, Restaurants and Leisure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 Broadcasting and Subscription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Diversified Consumer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Healthcare Technology</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9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4"/>
          </w:tcPr>
          <w:p>
            <w:pPr>
              <w:ind w:left="88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21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High-Yield Capital Markets at Lehman Brothers.</w:t>
      </w:r>
    </w:p>
    <w:p>
      <w:pPr>
        <w:spacing w:after="0" w:line="185"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00" w:type="dxa"/>
            <w:vAlign w:val="bottom"/>
            <w:vMerge w:val="restart"/>
          </w:tcPr>
          <w:p>
            <w:pPr>
              <w:spacing w:after="0"/>
              <w:rPr>
                <w:sz w:val="14"/>
                <w:szCs w:val="14"/>
                <w:color w:val="auto"/>
              </w:rPr>
            </w:pPr>
          </w:p>
        </w:tc>
        <w:tc>
          <w:tcPr>
            <w:tcW w:w="21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410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Investment Focus</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Gross Assets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4100" w:type="dxa"/>
            <w:vAlign w:val="bottom"/>
            <w:gridSpan w:val="2"/>
            <w:vMerge w:val="continue"/>
          </w:tcPr>
          <w:p>
            <w:pPr>
              <w:spacing w:after="0"/>
              <w:rPr>
                <w:sz w:val="15"/>
                <w:szCs w:val="15"/>
                <w:color w:val="auto"/>
              </w:rPr>
            </w:pPr>
          </w:p>
        </w:tc>
        <w:tc>
          <w:tcPr>
            <w:tcW w:w="9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in millions)</w:t>
            </w:r>
          </w:p>
        </w:tc>
        <w:tc>
          <w:tcPr>
            <w:tcW w:w="0" w:type="dxa"/>
            <w:vAlign w:val="bottom"/>
          </w:tcPr>
          <w:p>
            <w:pPr>
              <w:spacing w:after="0"/>
              <w:rPr>
                <w:sz w:val="1"/>
                <w:szCs w:val="1"/>
                <w:color w:val="auto"/>
              </w:rPr>
            </w:pPr>
          </w:p>
        </w:tc>
      </w:tr>
      <w:tr>
        <w:trPr>
          <w:trHeight w:val="180"/>
        </w:trPr>
        <w:tc>
          <w:tcPr>
            <w:tcW w:w="386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PennantPark Investment Corporation</w:t>
            </w:r>
          </w:p>
        </w:tc>
        <w:tc>
          <w:tcPr>
            <w:tcW w:w="19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w w:val="96"/>
              </w:rPr>
              <w:t>Primarily in U.S. middle-market companies in the form of</w:t>
            </w: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$1,286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company</w:t>
            </w: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 secured loans, second lien secured debt,</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and equity investments</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3860" w:type="dxa"/>
            <w:vAlign w:val="bottom"/>
            <w:gridSpan w:val="2"/>
          </w:tcPr>
          <w:p>
            <w:pPr>
              <w:spacing w:after="0"/>
              <w:rPr>
                <w:sz w:val="20"/>
                <w:szCs w:val="20"/>
                <w:color w:val="auto"/>
              </w:rPr>
            </w:pPr>
            <w:r>
              <w:rPr>
                <w:rFonts w:ascii="Arial" w:cs="Arial" w:eastAsia="Arial" w:hAnsi="Arial"/>
                <w:sz w:val="16"/>
                <w:szCs w:val="16"/>
                <w:color w:val="auto"/>
              </w:rPr>
              <w:t>PennantPark Senior Secured Loan Fund I LLC</w:t>
            </w:r>
          </w:p>
        </w:tc>
        <w:tc>
          <w:tcPr>
            <w:tcW w:w="2160" w:type="dxa"/>
            <w:vAlign w:val="bottom"/>
            <w:gridSpan w:val="2"/>
          </w:tcPr>
          <w:p>
            <w:pPr>
              <w:spacing w:after="0"/>
              <w:rPr>
                <w:sz w:val="20"/>
                <w:szCs w:val="20"/>
                <w:color w:val="auto"/>
              </w:rPr>
            </w:pPr>
            <w:r>
              <w:rPr>
                <w:rFonts w:ascii="Arial" w:cs="Arial" w:eastAsia="Arial" w:hAnsi="Arial"/>
                <w:sz w:val="16"/>
                <w:szCs w:val="16"/>
                <w:color w:val="auto"/>
              </w:rPr>
              <w:t>Joint Venture</w:t>
            </w:r>
          </w:p>
        </w:tc>
        <w:tc>
          <w:tcPr>
            <w:tcW w:w="4100" w:type="dxa"/>
            <w:vAlign w:val="bottom"/>
            <w:gridSpan w:val="2"/>
          </w:tcPr>
          <w:p>
            <w:pPr>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Managed Funds</w:t>
            </w: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Direct Lending Funds</w:t>
            </w: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credit opportunities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27, 2020.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Dollar Range of the</w:t>
            </w:r>
          </w:p>
        </w:tc>
      </w:tr>
      <w:tr>
        <w:trPr>
          <w:trHeight w:val="148"/>
        </w:trPr>
        <w:tc>
          <w:tcPr>
            <w:tcW w:w="606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9"/>
        </w:trPr>
        <w:tc>
          <w:tcPr>
            <w:tcW w:w="60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PennantPark Floating</w:t>
            </w:r>
          </w:p>
        </w:tc>
      </w:tr>
      <w:tr>
        <w:trPr>
          <w:trHeight w:val="171"/>
        </w:trPr>
        <w:tc>
          <w:tcPr>
            <w:tcW w:w="6060" w:type="dxa"/>
            <w:vAlign w:val="bottom"/>
          </w:tcPr>
          <w:p>
            <w:pPr>
              <w:spacing w:after="0"/>
              <w:rPr>
                <w:sz w:val="14"/>
                <w:szCs w:val="1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Rate Capital Ltd.</w:t>
            </w:r>
            <w:r>
              <w:rPr>
                <w:rFonts w:ascii="Arial" w:cs="Arial" w:eastAsia="Arial" w:hAnsi="Arial"/>
                <w:sz w:val="12"/>
                <w:szCs w:val="12"/>
                <w:b w:val="1"/>
                <w:bCs w:val="1"/>
                <w:color w:val="auto"/>
                <w:w w:val="97"/>
              </w:rPr>
              <w:t>(1)</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Over $</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Jose A. Briones</w:t>
            </w:r>
          </w:p>
        </w:tc>
        <w:tc>
          <w:tcPr>
            <w:tcW w:w="580" w:type="dxa"/>
            <w:vAlign w:val="bottom"/>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1,000,000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Salvatore Giannetti III</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1,000,000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P. Whitridge Williams, Jr.</w:t>
            </w:r>
          </w:p>
        </w:tc>
        <w:tc>
          <w:tcPr>
            <w:tcW w:w="580" w:type="dxa"/>
            <w:vAlign w:val="bottom"/>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680" w:hanging="424"/>
        <w:spacing w:after="0" w:line="291"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80" w:right="80" w:hanging="532"/>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80" w:right="1180" w:hanging="1120"/>
        <w:spacing w:after="0" w:line="277"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80" w:right="440" w:hanging="1120"/>
        <w:spacing w:after="0" w:line="263"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680" w:right="880" w:hanging="1120"/>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are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of December 31, 2019,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7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last reported closing market price of our common stock on January 27, 2020 was $12.01 per share. As of December 31, 2019, we had 43 stockholders of record.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438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Authorized</w:t>
            </w:r>
          </w:p>
        </w:tc>
        <w:tc>
          <w:tcPr>
            <w:tcW w:w="580" w:type="dxa"/>
            <w:vAlign w:val="bottom"/>
          </w:tcPr>
          <w:p>
            <w:pPr>
              <w:spacing w:after="0"/>
              <w:rPr>
                <w:sz w:val="15"/>
                <w:szCs w:val="15"/>
                <w:color w:val="auto"/>
              </w:rPr>
            </w:pPr>
          </w:p>
        </w:tc>
        <w:tc>
          <w:tcPr>
            <w:tcW w:w="16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100,000,000</w:t>
            </w:r>
          </w:p>
        </w:tc>
        <w:tc>
          <w:tcPr>
            <w:tcW w:w="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38,772,074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2021, 2022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charter and bylaws provide that the affirmative vote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9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Maryland Business Combination Act, or any provision of our charter or bylaws conflicts with any provision of the 1940 Act, the applicable provision of the 1940 Act will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Circuit Court for Baltimore City, Maryland, or, if that court does not have jurisdiction, the United States District Court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District of Maryland, Baltimore Division, will be the sole and absolute forum for (a) any derivative action or proceeding brought on our behalf,</w:t>
      </w:r>
    </w:p>
    <w:p>
      <w:pPr>
        <w:spacing w:after="0" w:line="46" w:lineRule="exact"/>
        <w:rPr>
          <w:sz w:val="20"/>
          <w:szCs w:val="20"/>
          <w:color w:val="auto"/>
        </w:rPr>
      </w:pPr>
    </w:p>
    <w:p>
      <w:pPr>
        <w:ind w:left="120" w:hanging="4"/>
        <w:spacing w:after="0" w:line="253"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of breach of any duty owed by any of our directors, officers or other agents to us or to our stockholders, (c) any action asserting a claim against us or any of our directors, officers or other agents arising pursuant to any provision of the Maryland General Corporation Law or our charter or bylaws or (d) any action asserting a claim against us or any of our directors, officers or other agents that is governed by the internal affairs doctrine.</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320" w:top="459" w:right="5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left="120" w:firstLine="440"/>
        <w:spacing w:after="0" w:line="264"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01" w:lineRule="exact"/>
        <w:rPr>
          <w:rFonts w:ascii="Arial" w:cs="Arial" w:eastAsia="Arial" w:hAnsi="Arial"/>
          <w:sz w:val="17"/>
          <w:szCs w:val="17"/>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8"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8"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3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November 2017, we issued $138.6 million in aggregate principal amount of our 2023 Notes. The 2023 Notes were issued pursuant to a deed of trust between the Company and Mishmeret Trust Company, Ltd. as trustee.</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Second, the trustee performs certain administrative duties for us, such as sending interest and principal payments to holders.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54"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depositary that holds the global security will be considered the holder of the debt securities represented by the global security.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8"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11"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3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5"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8"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8"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p>
      <w:pPr>
        <w:ind w:left="1080" w:right="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9" w:right="5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120" w:right="260" w:firstLine="55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80" w:right="1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9" w:right="5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120" w:firstLine="55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2" w:lineRule="exact"/>
        <w:rPr>
          <w:sz w:val="20"/>
          <w:szCs w:val="20"/>
          <w:color w:val="auto"/>
        </w:rPr>
      </w:pPr>
    </w:p>
    <w:p>
      <w:pPr>
        <w:ind w:left="1080" w:right="80" w:hanging="424"/>
        <w:spacing w:after="0" w:line="286"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00" w:hanging="424"/>
        <w:spacing w:after="0" w:line="286"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American Stock Transfer &amp; Trust Company, LLC is the trustee under the indenture. Mishmeret Trust Company, Ltd. serves as trustee for our 2023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320" w:top="459"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jc w:val="both"/>
        <w:ind w:left="1540" w:right="240" w:hanging="439"/>
        <w:spacing w:after="0" w:line="263"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ind w:left="1540" w:hanging="439"/>
        <w:spacing w:after="0" w:line="286" w:lineRule="auto"/>
        <w:tabs>
          <w:tab w:leader="none" w:pos="15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purposes. The Taxable Subsidiary generally will be subject to corporate income taxes on its earnings, which ultimately will reduce our return on such income and fees.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7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4"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120" w:right="520" w:firstLine="440"/>
        <w:spacing w:after="0" w:line="301"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3"/>
          <w:szCs w:val="13"/>
          <w:color w:val="auto"/>
        </w:rPr>
        <w:t>th</w:t>
      </w:r>
      <w:r>
        <w:rPr>
          <w:rFonts w:ascii="Arial" w:cs="Arial" w:eastAsia="Arial" w:hAnsi="Arial"/>
          <w:sz w:val="16"/>
          <w:szCs w:val="16"/>
          <w:color w:val="auto"/>
        </w:rPr>
        <w:t xml:space="preserve"> Avenue, 3</w:t>
      </w:r>
      <w:r>
        <w:rPr>
          <w:rFonts w:ascii="Arial" w:cs="Arial" w:eastAsia="Arial" w:hAnsi="Arial"/>
          <w:sz w:val="13"/>
          <w:szCs w:val="13"/>
          <w:color w:val="auto"/>
        </w:rPr>
        <w:t>rd</w:t>
      </w:r>
      <w:r>
        <w:rPr>
          <w:rFonts w:ascii="Arial" w:cs="Arial" w:eastAsia="Arial" w:hAnsi="Arial"/>
          <w:sz w:val="16"/>
          <w:szCs w:val="16"/>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 Certain legal matters will be passed upon for underwriters, if any, by the counsel named in the prospectus supplement, if any.</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42nd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the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080" w:right="12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3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2019, filed with the SEC on November 20, 2019, including the information specifically incorporated by reference to the Form 10-K from our Definitive Proxy Statement on </w:t>
      </w:r>
      <w:hyperlink r:id="rId132">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17, 2019; and</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44">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001-35127), as filed with the SEC on April 7, 2011,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648970</wp:posOffset>
            </wp:positionV>
            <wp:extent cx="2219960" cy="514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Up to $75 million</w:t>
      </w:r>
    </w:p>
    <w:p>
      <w:pPr>
        <w:spacing w:after="0" w:line="229"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1675130</wp:posOffset>
            </wp:positionV>
            <wp:extent cx="1474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60"/>
        <w:spacing w:after="0"/>
        <w:tabs>
          <w:tab w:leader="none" w:pos="7520" w:val="left"/>
        </w:tabs>
        <w:rPr>
          <w:sz w:val="20"/>
          <w:szCs w:val="20"/>
          <w:color w:val="auto"/>
        </w:rPr>
      </w:pPr>
      <w:r>
        <w:rPr>
          <w:rFonts w:ascii="Arial" w:cs="Arial" w:eastAsia="Arial" w:hAnsi="Arial"/>
          <w:sz w:val="25"/>
          <w:szCs w:val="25"/>
          <w:b w:val="1"/>
          <w:bCs w:val="1"/>
          <w:color w:val="auto"/>
        </w:rPr>
        <w:t>JMP Securities</w:t>
      </w:r>
      <w:r>
        <w:rPr>
          <w:sz w:val="20"/>
          <w:szCs w:val="20"/>
          <w:color w:val="auto"/>
        </w:rPr>
        <w:tab/>
      </w:r>
      <w:r>
        <w:rPr>
          <w:rFonts w:ascii="Arial" w:cs="Arial" w:eastAsia="Arial" w:hAnsi="Arial"/>
          <w:sz w:val="22"/>
          <w:szCs w:val="22"/>
          <w:b w:val="1"/>
          <w:bCs w:val="1"/>
          <w:color w:val="auto"/>
        </w:rPr>
        <w:t>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492125</wp:posOffset>
            </wp:positionV>
            <wp:extent cx="1474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August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212"/>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1)"/>
      <w:numFmt w:val="decimal"/>
      <w:start w:val="7"/>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lowerRoman"/>
      <w:start w:val="2"/>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7"/>
    </w:lvl>
  </w:abstractNum>
  <w:abstractNum w:abstractNumId="9">
    <w:nsid w:val="7C3DBD3D"/>
    <w:multiLevelType w:val="hybridMultilevel"/>
    <w:lvl w:ilvl="0">
      <w:lvlJc w:val="left"/>
      <w:lvlText w:val="(%1)"/>
      <w:numFmt w:val="decimal"/>
      <w:start w:val="2"/>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lowerLetter"/>
      <w:start w:val="2"/>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lvl w:ilvl="1">
      <w:lvlJc w:val="left"/>
      <w:lvlText w:val="%2)"/>
      <w:numFmt w:val="decimal"/>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43"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jpe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jpe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0" Type="http://schemas.openxmlformats.org/officeDocument/2006/relationships/hyperlink" Target="http://www.sec.gov/Archives/edgar/data/1504619/000156459020054484/pflt-10k_20200930.htm" TargetMode="External"/><Relationship Id="rId11" Type="http://schemas.openxmlformats.org/officeDocument/2006/relationships/hyperlink" Target="http://www.sec.gov/Archives/edgar/data/1504619/000156459021040930/pflt-10q_20210630.htm" TargetMode="External"/><Relationship Id="rId34" Type="http://schemas.openxmlformats.org/officeDocument/2006/relationships/hyperlink" Target="http://www.sec.gov/Archives/edgar/data/1504619/000156459021004982/pflt-10q_20201231.htm" TargetMode="External"/><Relationship Id="rId35" Type="http://schemas.openxmlformats.org/officeDocument/2006/relationships/hyperlink" Target="http://www.sec.gov/Archives/edgar/data/1504619/000156459021024031/pflt-10q_20210331.htm" TargetMode="External"/><Relationship Id="rId36" Type="http://schemas.openxmlformats.org/officeDocument/2006/relationships/hyperlink" Target="http://www.sec.gov/Archives/edgar/data/0001504619/000156459021040930/pflt-10q_20210630.htm" TargetMode="External"/><Relationship Id="rId37" Type="http://schemas.openxmlformats.org/officeDocument/2006/relationships/hyperlink" Target="http://www.sec.gov/Archives/edgar/data/1504619/000156459021005779/pflt-8k_20210209.htm" TargetMode="External"/><Relationship Id="rId38" Type="http://schemas.openxmlformats.org/officeDocument/2006/relationships/hyperlink" Target="http://www.sec.gov/Archives/edgar/data/1504619/000117184321001931/f8k_031921.htm" TargetMode="External"/><Relationship Id="rId39" Type="http://schemas.openxmlformats.org/officeDocument/2006/relationships/hyperlink" Target="http://www.sec.gov/Archives/edgar/data/1504619/000119312521091350/d156339d8k.htm" TargetMode="External"/><Relationship Id="rId40" Type="http://schemas.openxmlformats.org/officeDocument/2006/relationships/hyperlink" Target="http://www.sec.gov/Archives/edgar/data/1504619/000119312521195209/d160401d8k.htm" TargetMode="External"/><Relationship Id="rId41" Type="http://schemas.openxmlformats.org/officeDocument/2006/relationships/hyperlink" Target="http://www.sec.gov/Archives/edgar/data/1504619/000119312521250566/d198449d8k.htm" TargetMode="External"/><Relationship Id="rId42" Type="http://schemas.openxmlformats.org/officeDocument/2006/relationships/hyperlink" Target="http://www.sec.gov/Archives/edgar/data/1504619/000095012320012520/pflt-def14a_RD4.htm" TargetMode="External"/><Relationship Id="rId44" Type="http://schemas.openxmlformats.org/officeDocument/2006/relationships/hyperlink" Target="http://www.sec.gov/Archives/edgar/data/1504619/000119312511090965/d8a12b.htm" TargetMode="External"/><Relationship Id="rId131" Type="http://schemas.openxmlformats.org/officeDocument/2006/relationships/hyperlink" Target="http://www.sec.gov/Archives/edgar/data/1504619/000156459019043972/pflt-10k_20190930.htm" TargetMode="External"/><Relationship Id="rId132" Type="http://schemas.openxmlformats.org/officeDocument/2006/relationships/hyperlink" Target="http://www.sec.gov/Archives/edgar/data/1504619/000095012319011902/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2021-08-20T16:11:52Z</dcterms:created>
  <dcterms:modified xsi:type="dcterms:W3CDTF">2021-08-20T16:11:52Z</dcterms:modified>
</cp:coreProperties>
</file>