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3340" w:right="2040" w:hanging="3332"/>
        <w:spacing w:after="0" w:line="391" w:lineRule="auto"/>
        <w:tabs>
          <w:tab w:leader="none" w:pos="37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2017</w:t>
      </w:r>
    </w:p>
    <w:p>
      <w:pPr>
        <w:spacing w:after="0" w:line="28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9"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186"/>
        </w:trPr>
        <w:tc>
          <w:tcPr>
            <w:tcW w:w="4820" w:type="dxa"/>
            <w:vAlign w:val="bottom"/>
          </w:tcPr>
          <w:p>
            <w:pPr>
              <w:jc w:val="center"/>
              <w:ind w:right="1512"/>
              <w:spacing w:after="0"/>
              <w:rPr>
                <w:sz w:val="20"/>
                <w:szCs w:val="20"/>
                <w:color w:val="auto"/>
              </w:rPr>
            </w:pPr>
            <w:r>
              <w:rPr>
                <w:rFonts w:ascii="Arial" w:cs="Arial" w:eastAsia="Arial" w:hAnsi="Arial"/>
                <w:sz w:val="14"/>
                <w:szCs w:val="14"/>
                <w:b w:val="1"/>
                <w:bCs w:val="1"/>
                <w:color w:val="auto"/>
              </w:rPr>
              <w:t>MARYLAND</w:t>
            </w:r>
          </w:p>
        </w:tc>
        <w:tc>
          <w:tcPr>
            <w:tcW w:w="3500" w:type="dxa"/>
            <w:vAlign w:val="bottom"/>
          </w:tcPr>
          <w:p>
            <w:pPr>
              <w:jc w:val="right"/>
              <w:ind w:right="553"/>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212"/>
        </w:trPr>
        <w:tc>
          <w:tcPr>
            <w:tcW w:w="4820" w:type="dxa"/>
            <w:vAlign w:val="bottom"/>
          </w:tcPr>
          <w:p>
            <w:pPr>
              <w:jc w:val="center"/>
              <w:ind w:right="151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500" w:type="dxa"/>
            <w:vAlign w:val="bottom"/>
          </w:tcPr>
          <w:p>
            <w:pPr>
              <w:jc w:val="center"/>
              <w:ind w:left="1493"/>
              <w:spacing w:after="0"/>
              <w:rPr>
                <w:sz w:val="20"/>
                <w:szCs w:val="20"/>
                <w:color w:val="auto"/>
              </w:rPr>
            </w:pPr>
            <w:r>
              <w:rPr>
                <w:rFonts w:ascii="Arial" w:cs="Arial" w:eastAsia="Arial" w:hAnsi="Arial"/>
                <w:sz w:val="13"/>
                <w:szCs w:val="13"/>
                <w:b w:val="1"/>
                <w:bCs w:val="1"/>
                <w:color w:val="auto"/>
                <w:w w:val="91"/>
              </w:rPr>
              <w:t>(I.R.S. Employer Identification No.)</w:t>
            </w:r>
          </w:p>
        </w:tc>
        <w:tc>
          <w:tcPr>
            <w:tcW w:w="0" w:type="dxa"/>
            <w:vAlign w:val="bottom"/>
          </w:tcPr>
          <w:p>
            <w:pPr>
              <w:spacing w:after="0"/>
              <w:rPr>
                <w:sz w:val="1"/>
                <w:szCs w:val="1"/>
                <w:color w:val="auto"/>
              </w:rPr>
            </w:pPr>
          </w:p>
        </w:tc>
      </w:tr>
      <w:tr>
        <w:trPr>
          <w:trHeight w:val="236"/>
        </w:trPr>
        <w:tc>
          <w:tcPr>
            <w:tcW w:w="4820" w:type="dxa"/>
            <w:vAlign w:val="bottom"/>
          </w:tcPr>
          <w:p>
            <w:pPr>
              <w:jc w:val="center"/>
              <w:ind w:right="1532"/>
              <w:spacing w:after="0"/>
              <w:rPr>
                <w:sz w:val="20"/>
                <w:szCs w:val="20"/>
                <w:color w:val="auto"/>
              </w:rPr>
            </w:pPr>
            <w:r>
              <w:rPr>
                <w:rFonts w:ascii="Arial" w:cs="Arial" w:eastAsia="Arial" w:hAnsi="Arial"/>
                <w:sz w:val="14"/>
                <w:szCs w:val="14"/>
                <w:b w:val="1"/>
                <w:bCs w:val="1"/>
                <w:color w:val="auto"/>
                <w:w w:val="93"/>
              </w:rPr>
              <w:t>590 Madison Avenue, 15</w:t>
            </w:r>
            <w:r>
              <w:rPr>
                <w:rFonts w:ascii="Arial" w:cs="Arial" w:eastAsia="Arial" w:hAnsi="Arial"/>
                <w:sz w:val="12"/>
                <w:szCs w:val="12"/>
                <w:b w:val="1"/>
                <w:bCs w:val="1"/>
                <w:color w:val="auto"/>
                <w:w w:val="93"/>
              </w:rPr>
              <w:t>th</w:t>
            </w:r>
            <w:r>
              <w:rPr>
                <w:rFonts w:ascii="Arial" w:cs="Arial" w:eastAsia="Arial" w:hAnsi="Arial"/>
                <w:sz w:val="14"/>
                <w:szCs w:val="14"/>
                <w:b w:val="1"/>
                <w:bCs w:val="1"/>
                <w:color w:val="auto"/>
                <w:w w:val="93"/>
              </w:rPr>
              <w:t xml:space="preserve"> Floor</w:t>
            </w:r>
          </w:p>
        </w:tc>
        <w:tc>
          <w:tcPr>
            <w:tcW w:w="3500" w:type="dxa"/>
            <w:vAlign w:val="bottom"/>
            <w:vMerge w:val="restart"/>
          </w:tcPr>
          <w:p>
            <w:pPr>
              <w:jc w:val="right"/>
              <w:ind w:right="713"/>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53"/>
        </w:trPr>
        <w:tc>
          <w:tcPr>
            <w:tcW w:w="4820" w:type="dxa"/>
            <w:vAlign w:val="bottom"/>
          </w:tcPr>
          <w:p>
            <w:pPr>
              <w:jc w:val="center"/>
              <w:ind w:right="1512"/>
              <w:spacing w:after="0" w:line="153" w:lineRule="exact"/>
              <w:rPr>
                <w:sz w:val="20"/>
                <w:szCs w:val="20"/>
                <w:color w:val="auto"/>
              </w:rPr>
            </w:pPr>
            <w:r>
              <w:rPr>
                <w:rFonts w:ascii="Arial" w:cs="Arial" w:eastAsia="Arial" w:hAnsi="Arial"/>
                <w:sz w:val="14"/>
                <w:szCs w:val="14"/>
                <w:b w:val="1"/>
                <w:bCs w:val="1"/>
                <w:color w:val="auto"/>
                <w:w w:val="97"/>
              </w:rPr>
              <w:t>New York, N.Y.</w:t>
            </w:r>
          </w:p>
        </w:tc>
        <w:tc>
          <w:tcPr>
            <w:tcW w:w="3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20" w:type="dxa"/>
            <w:vAlign w:val="bottom"/>
          </w:tcPr>
          <w:p>
            <w:pPr>
              <w:jc w:val="center"/>
              <w:ind w:right="151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500" w:type="dxa"/>
            <w:vAlign w:val="bottom"/>
          </w:tcPr>
          <w:p>
            <w:pPr>
              <w:jc w:val="center"/>
              <w:ind w:left="149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 (212)-905-1000</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00"/>
          </w:cols>
          <w:pgMar w:left="320" w:top="360" w:right="379" w:bottom="1440" w:gutter="0" w:footer="0" w:header="0"/>
        </w:sectPr>
      </w:pPr>
    </w:p>
    <w:p>
      <w:pPr>
        <w:spacing w:after="0" w:line="93" w:lineRule="exact"/>
        <w:rPr>
          <w:sz w:val="24"/>
          <w:szCs w:val="24"/>
          <w:color w:val="auto"/>
        </w:rPr>
      </w:pPr>
    </w:p>
    <w:p>
      <w:pPr>
        <w:ind w:left="21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95" w:lineRule="exact"/>
        <w:rPr>
          <w:sz w:val="24"/>
          <w:szCs w:val="24"/>
          <w:color w:val="auto"/>
        </w:rPr>
      </w:pPr>
    </w:p>
    <w:p>
      <w:pPr>
        <w:sectPr>
          <w:pgSz w:w="11900" w:h="16838" w:orient="portrait"/>
          <w:cols w:equalWidth="0" w:num="2">
            <w:col w:w="6360" w:space="720"/>
            <w:col w:w="4120"/>
          </w:cols>
          <w:pgMar w:left="320" w:top="360" w:right="379" w:bottom="1440" w:gutter="0" w:footer="0" w:header="0"/>
          <w:type w:val="continuous"/>
        </w:sectPr>
      </w:pPr>
    </w:p>
    <w:p>
      <w:pPr>
        <w:ind w:left="1520"/>
        <w:spacing w:after="0"/>
        <w:rPr>
          <w:sz w:val="20"/>
          <w:szCs w:val="20"/>
          <w:color w:val="auto"/>
        </w:rPr>
      </w:pPr>
      <w:r>
        <w:rPr>
          <w:rFonts w:ascii="Arial" w:cs="Arial" w:eastAsia="Arial" w:hAnsi="Arial"/>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NASDAQ Stock Market LLC</w:t>
      </w:r>
    </w:p>
    <w:p>
      <w:pPr>
        <w:spacing w:after="0" w:line="198" w:lineRule="exact"/>
        <w:rPr>
          <w:sz w:val="24"/>
          <w:szCs w:val="24"/>
          <w:color w:val="auto"/>
        </w:rPr>
      </w:pPr>
    </w:p>
    <w:p>
      <w:pPr>
        <w:sectPr>
          <w:pgSz w:w="11900" w:h="16838" w:orient="portrait"/>
          <w:cols w:equalWidth="0" w:num="2">
            <w:col w:w="6780" w:space="720"/>
            <w:col w:w="3700"/>
          </w:cols>
          <w:pgMar w:left="320" w:top="360" w:right="379" w:bottom="1440" w:gutter="0" w:footer="0" w:header="0"/>
          <w:type w:val="continuous"/>
        </w:sectPr>
      </w:pPr>
    </w:p>
    <w:p>
      <w:pPr>
        <w:ind w:left="370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86"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23"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36" w:lineRule="exact"/>
        <w:rPr>
          <w:sz w:val="24"/>
          <w:szCs w:val="24"/>
          <w:color w:val="auto"/>
        </w:rPr>
      </w:pPr>
    </w:p>
    <w:p>
      <w:pPr>
        <w:ind w:right="14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72" w:lineRule="exact"/>
        <w:rPr>
          <w:sz w:val="24"/>
          <w:szCs w:val="24"/>
          <w:color w:val="auto"/>
        </w:rPr>
      </w:pPr>
    </w:p>
    <w:p>
      <w:pPr>
        <w:ind w:right="260" w:firstLine="43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02" w:lineRule="exact"/>
        <w:rPr>
          <w:sz w:val="24"/>
          <w:szCs w:val="24"/>
          <w:color w:val="auto"/>
        </w:rPr>
      </w:pPr>
    </w:p>
    <w:p>
      <w:pPr>
        <w:ind w:firstLine="43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2" w:lineRule="exact"/>
        <w:rPr>
          <w:sz w:val="24"/>
          <w:szCs w:val="24"/>
          <w:color w:val="auto"/>
        </w:rPr>
      </w:pPr>
    </w:p>
    <w:p>
      <w:pPr>
        <w:ind w:right="180" w:firstLine="438"/>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1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4140" w:type="dxa"/>
            <w:vAlign w:val="bottom"/>
          </w:tcPr>
          <w:p>
            <w:pPr>
              <w:ind w:left="7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40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1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85" w:lineRule="exact"/>
        <w:rPr>
          <w:sz w:val="24"/>
          <w:szCs w:val="24"/>
          <w:color w:val="auto"/>
        </w:rPr>
      </w:pPr>
    </w:p>
    <w:p>
      <w:pPr>
        <w:ind w:right="10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36" w:lineRule="exact"/>
        <w:rPr>
          <w:sz w:val="24"/>
          <w:szCs w:val="24"/>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2017 based on the closing price on that date of $13.94 on the NASDAQ Global Select Market was approximately $448 million. For the purposes of calculating the aggregate market value of common stock held by non-affiliates, all directors and executive officers of the Registrant have been treated as affiliates. There were 38,480,074 shares of the Registrant’s common stock outstanding as of November 30, 2017.</w:t>
      </w:r>
    </w:p>
    <w:p>
      <w:pPr>
        <w:spacing w:after="0" w:line="75" w:lineRule="exact"/>
        <w:rPr>
          <w:sz w:val="24"/>
          <w:szCs w:val="24"/>
          <w:color w:val="auto"/>
        </w:rPr>
      </w:pPr>
    </w:p>
    <w:p>
      <w:pPr>
        <w:ind w:right="12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2018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8540" w:type="dxa"/>
            <w:vAlign w:val="bottom"/>
          </w:tcPr>
          <w:p>
            <w:pPr>
              <w:jc w:val="center"/>
              <w:ind w:left="1168"/>
              <w:spacing w:after="0"/>
              <w:rPr>
                <w:sz w:val="20"/>
                <w:szCs w:val="20"/>
                <w:color w:val="auto"/>
              </w:rPr>
            </w:pPr>
            <w:r>
              <w:rPr>
                <w:rFonts w:ascii="Arial" w:cs="Arial" w:eastAsia="Arial" w:hAnsi="Arial"/>
                <w:sz w:val="14"/>
                <w:szCs w:val="14"/>
                <w:b w:val="1"/>
                <w:bCs w:val="1"/>
                <w:color w:val="auto"/>
              </w:rPr>
              <w:t>PENNANTPARK FLOATING RATE CAPITAL LTD.</w:t>
            </w:r>
          </w:p>
        </w:tc>
        <w:tc>
          <w:tcPr>
            <w:tcW w:w="1980" w:type="dxa"/>
            <w:vAlign w:val="bottom"/>
          </w:tcPr>
          <w:p>
            <w:pPr>
              <w:spacing w:after="0"/>
              <w:rPr>
                <w:sz w:val="14"/>
                <w:szCs w:val="14"/>
                <w:color w:val="auto"/>
              </w:rPr>
            </w:pPr>
          </w:p>
        </w:tc>
      </w:tr>
      <w:tr>
        <w:trPr>
          <w:trHeight w:val="148"/>
        </w:trPr>
        <w:tc>
          <w:tcPr>
            <w:tcW w:w="740" w:type="dxa"/>
            <w:vAlign w:val="bottom"/>
          </w:tcPr>
          <w:p>
            <w:pPr>
              <w:spacing w:after="0"/>
              <w:rPr>
                <w:sz w:val="12"/>
                <w:szCs w:val="12"/>
                <w:color w:val="auto"/>
              </w:rPr>
            </w:pPr>
          </w:p>
        </w:tc>
        <w:tc>
          <w:tcPr>
            <w:tcW w:w="854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rPr>
              <w:t>FORM 10-K</w:t>
            </w:r>
          </w:p>
        </w:tc>
        <w:tc>
          <w:tcPr>
            <w:tcW w:w="1980" w:type="dxa"/>
            <w:vAlign w:val="bottom"/>
          </w:tcPr>
          <w:p>
            <w:pPr>
              <w:spacing w:after="0"/>
              <w:rPr>
                <w:sz w:val="12"/>
                <w:szCs w:val="12"/>
                <w:color w:val="auto"/>
              </w:rPr>
            </w:pPr>
          </w:p>
        </w:tc>
      </w:tr>
      <w:tr>
        <w:trPr>
          <w:trHeight w:val="148"/>
        </w:trPr>
        <w:tc>
          <w:tcPr>
            <w:tcW w:w="740" w:type="dxa"/>
            <w:vAlign w:val="bottom"/>
          </w:tcPr>
          <w:p>
            <w:pPr>
              <w:spacing w:after="0"/>
              <w:rPr>
                <w:sz w:val="12"/>
                <w:szCs w:val="12"/>
                <w:color w:val="auto"/>
              </w:rPr>
            </w:pPr>
          </w:p>
        </w:tc>
        <w:tc>
          <w:tcPr>
            <w:tcW w:w="854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rPr>
              <w:t>FOR THE FISCAL YEAR ENDED SEPTEMBER 30, 2017</w:t>
            </w:r>
          </w:p>
        </w:tc>
        <w:tc>
          <w:tcPr>
            <w:tcW w:w="1980" w:type="dxa"/>
            <w:vAlign w:val="bottom"/>
          </w:tcPr>
          <w:p>
            <w:pPr>
              <w:spacing w:after="0"/>
              <w:rPr>
                <w:sz w:val="12"/>
                <w:szCs w:val="12"/>
                <w:color w:val="auto"/>
              </w:rPr>
            </w:pPr>
          </w:p>
        </w:tc>
      </w:tr>
      <w:tr>
        <w:trPr>
          <w:trHeight w:val="186"/>
        </w:trPr>
        <w:tc>
          <w:tcPr>
            <w:tcW w:w="740" w:type="dxa"/>
            <w:vAlign w:val="bottom"/>
          </w:tcPr>
          <w:p>
            <w:pPr>
              <w:spacing w:after="0"/>
              <w:rPr>
                <w:sz w:val="16"/>
                <w:szCs w:val="16"/>
                <w:color w:val="auto"/>
              </w:rPr>
            </w:pPr>
          </w:p>
        </w:tc>
        <w:tc>
          <w:tcPr>
            <w:tcW w:w="8540" w:type="dxa"/>
            <w:vAlign w:val="bottom"/>
          </w:tcPr>
          <w:p>
            <w:pPr>
              <w:jc w:val="center"/>
              <w:ind w:left="1168"/>
              <w:spacing w:after="0"/>
              <w:rPr>
                <w:sz w:val="20"/>
                <w:szCs w:val="20"/>
                <w:color w:val="auto"/>
              </w:rPr>
            </w:pPr>
            <w:r>
              <w:rPr>
                <w:rFonts w:ascii="Arial" w:cs="Arial" w:eastAsia="Arial" w:hAnsi="Arial"/>
                <w:sz w:val="14"/>
                <w:szCs w:val="14"/>
                <w:b w:val="1"/>
                <w:bCs w:val="1"/>
                <w:color w:val="auto"/>
              </w:rPr>
              <w:t>TABLE OF CONTENTS</w:t>
            </w:r>
          </w:p>
        </w:tc>
        <w:tc>
          <w:tcPr>
            <w:tcW w:w="1980" w:type="dxa"/>
            <w:vAlign w:val="bottom"/>
          </w:tcPr>
          <w:p>
            <w:pPr>
              <w:spacing w:after="0"/>
              <w:rPr>
                <w:sz w:val="16"/>
                <w:szCs w:val="16"/>
                <w:color w:val="auto"/>
              </w:rPr>
            </w:pP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540" w:type="dxa"/>
            <w:vAlign w:val="bottom"/>
          </w:tcPr>
          <w:p>
            <w:pPr>
              <w:ind w:left="18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540" w:type="dxa"/>
            <w:vAlign w:val="bottom"/>
          </w:tcPr>
          <w:p>
            <w:pPr>
              <w:ind w:left="18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Risk Factors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540" w:type="dxa"/>
            <w:vAlign w:val="bottom"/>
          </w:tcPr>
          <w:p>
            <w:pPr>
              <w:ind w:left="1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Unresolved Staff Comments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540" w:type="dxa"/>
            <w:vAlign w:val="bottom"/>
          </w:tcPr>
          <w:p>
            <w:pPr>
              <w:ind w:left="1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Properties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540" w:type="dxa"/>
            <w:vAlign w:val="bottom"/>
          </w:tcPr>
          <w:p>
            <w:pPr>
              <w:ind w:left="1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Legal Proceedings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540" w:type="dxa"/>
            <w:vAlign w:val="bottom"/>
          </w:tcPr>
          <w:p>
            <w:pPr>
              <w:ind w:left="1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Mine Safety Disclosures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28"/>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PART II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540" w:type="dxa"/>
            <w:vAlign w:val="bottom"/>
          </w:tcPr>
          <w:p>
            <w:pPr>
              <w:ind w:left="18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540" w:type="dxa"/>
            <w:vAlign w:val="bottom"/>
          </w:tcPr>
          <w:p>
            <w:pPr>
              <w:ind w:left="1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Selected Financial Data</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540" w:type="dxa"/>
            <w:vAlign w:val="bottom"/>
          </w:tcPr>
          <w:p>
            <w:pPr>
              <w:ind w:left="1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Management’s Discussion and Analysis of Financial Condition and Results of Operations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540" w:type="dxa"/>
            <w:vAlign w:val="bottom"/>
          </w:tcPr>
          <w:p>
            <w:pPr>
              <w:ind w:left="18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Quantitative and Qualitative Disclosures About Market Risk</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540" w:type="dxa"/>
            <w:vAlign w:val="bottom"/>
          </w:tcPr>
          <w:p>
            <w:pPr>
              <w:ind w:left="18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Consolidated Financial Statements and Supplementary Data</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540" w:type="dxa"/>
            <w:vAlign w:val="bottom"/>
          </w:tcPr>
          <w:p>
            <w:pPr>
              <w:ind w:left="18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Changes in and Disagreements with Accountants on Accounting and Financial Disclosure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540" w:type="dxa"/>
            <w:vAlign w:val="bottom"/>
          </w:tcPr>
          <w:p>
            <w:pPr>
              <w:ind w:left="18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Controls and Procedures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540" w:type="dxa"/>
            <w:vAlign w:val="bottom"/>
          </w:tcPr>
          <w:p>
            <w:pPr>
              <w:ind w:left="18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Other Information</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74">
              <w:r>
                <w:rPr>
                  <w:rFonts w:ascii="Arial" w:cs="Arial" w:eastAsia="Arial" w:hAnsi="Arial"/>
                  <w:sz w:val="14"/>
                  <w:szCs w:val="14"/>
                  <w:b w:val="1"/>
                  <w:bCs w:val="1"/>
                  <w:u w:val="single" w:color="auto"/>
                  <w:color w:val="0000EE"/>
                </w:rPr>
                <w:t>PART III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540" w:type="dxa"/>
            <w:vAlign w:val="bottom"/>
          </w:tcPr>
          <w:p>
            <w:pPr>
              <w:ind w:left="18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Directors, Executive Officers and Corporate Governance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540" w:type="dxa"/>
            <w:vAlign w:val="bottom"/>
          </w:tcPr>
          <w:p>
            <w:pPr>
              <w:ind w:left="18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Executive Compensation</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540" w:type="dxa"/>
            <w:vAlign w:val="bottom"/>
          </w:tcPr>
          <w:p>
            <w:pPr>
              <w:ind w:left="18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Security Ownership of Certain Beneficial Owners and Management and Related Stockholder Matters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540" w:type="dxa"/>
            <w:vAlign w:val="bottom"/>
          </w:tcPr>
          <w:p>
            <w:pPr>
              <w:ind w:left="18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Certain Relationships and Related Transactions, and Director Independence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540" w:type="dxa"/>
            <w:vAlign w:val="bottom"/>
          </w:tcPr>
          <w:p>
            <w:pPr>
              <w:ind w:left="18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Principal Accountant Fees and Services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75">
              <w:r>
                <w:rPr>
                  <w:rFonts w:ascii="Arial" w:cs="Arial" w:eastAsia="Arial" w:hAnsi="Arial"/>
                  <w:sz w:val="14"/>
                  <w:szCs w:val="14"/>
                  <w:b w:val="1"/>
                  <w:bCs w:val="1"/>
                  <w:u w:val="single" w:color="auto"/>
                  <w:color w:val="0000EE"/>
                </w:rPr>
                <w:t>PART IV</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540" w:type="dxa"/>
            <w:vAlign w:val="bottom"/>
          </w:tcPr>
          <w:p>
            <w:pPr>
              <w:ind w:left="18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Exhibits and Financial Statement Schedules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97"/>
        </w:trPr>
        <w:tc>
          <w:tcPr>
            <w:tcW w:w="740" w:type="dxa"/>
            <w:vAlign w:val="bottom"/>
          </w:tcPr>
          <w:p>
            <w:pPr>
              <w:spacing w:after="0"/>
              <w:rPr>
                <w:sz w:val="24"/>
                <w:szCs w:val="24"/>
                <w:color w:val="auto"/>
              </w:rPr>
            </w:pPr>
          </w:p>
        </w:tc>
        <w:tc>
          <w:tcPr>
            <w:tcW w:w="8540" w:type="dxa"/>
            <w:vAlign w:val="bottom"/>
          </w:tcPr>
          <w:p>
            <w:pPr>
              <w:ind w:left="180"/>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1058"/>
        </w:trPr>
        <w:tc>
          <w:tcPr>
            <w:tcW w:w="74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74"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and “MCG” refers to MCG Capital Corporation. References to our portfolio, our investments, our multi-currency, senior secured revolving credit facility, as amended and restated, or the Credit Facility, and our business include investments we make through our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while seeking to preserve capital by investing primarily in loans bearing a variable-rate of interest, or Floating Rate Loans, and other investments made to U.S. middle-market companies.</w:t>
      </w:r>
    </w:p>
    <w:p>
      <w:pPr>
        <w:spacing w:after="0" w:line="93"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1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our Credit Facility.</w:t>
      </w:r>
    </w:p>
    <w:p>
      <w:pPr>
        <w:spacing w:after="0" w:line="93" w:lineRule="exact"/>
        <w:rPr>
          <w:sz w:val="20"/>
          <w:szCs w:val="20"/>
          <w:color w:val="auto"/>
        </w:rPr>
      </w:pPr>
    </w:p>
    <w:p>
      <w:pPr>
        <w:jc w:val="both"/>
        <w:ind w:right="240" w:firstLine="438"/>
        <w:spacing w:after="0" w:line="238" w:lineRule="auto"/>
        <w:rPr>
          <w:sz w:val="20"/>
          <w:szCs w:val="20"/>
          <w:color w:val="auto"/>
        </w:rPr>
      </w:pPr>
      <w:r>
        <w:rPr>
          <w:rFonts w:ascii="Arial" w:cs="Arial" w:eastAsia="Arial" w:hAnsi="Arial"/>
          <w:sz w:val="14"/>
          <w:szCs w:val="14"/>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15"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23"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$6.8 billion in 455 companies with almost 180 different financial sponsors through its managed funds.</w:t>
      </w:r>
    </w:p>
    <w:p>
      <w:pPr>
        <w:spacing w:after="0" w:line="111"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23"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920" w:right="20" w:hanging="359"/>
        <w:spacing w:after="0" w:line="29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or CLO, funds have withdrawn, and may again withdraw, capital from the middle-market, resulting in opportunities for alternative funding sources.</w:t>
      </w:r>
    </w:p>
    <w:p>
      <w:pPr>
        <w:spacing w:after="0" w:line="75" w:lineRule="exact"/>
        <w:rPr>
          <w:rFonts w:ascii="Arial" w:cs="Arial" w:eastAsia="Arial" w:hAnsi="Arial"/>
          <w:sz w:val="13"/>
          <w:szCs w:val="13"/>
          <w:color w:val="auto"/>
        </w:rPr>
      </w:pPr>
    </w:p>
    <w:p>
      <w:pPr>
        <w:jc w:val="both"/>
        <w:ind w:left="920" w:right="60" w:hanging="3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4"/>
          <w:szCs w:val="14"/>
          <w:color w:val="auto"/>
        </w:rPr>
      </w:pPr>
    </w:p>
    <w:p>
      <w:pPr>
        <w:ind w:left="920" w:right="40" w:hanging="3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 reduced</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4"/>
          <w:szCs w:val="14"/>
          <w:color w:val="auto"/>
        </w:rPr>
      </w:pPr>
    </w:p>
    <w:p>
      <w:pPr>
        <w:ind w:left="920" w:right="160" w:hanging="359"/>
        <w:spacing w:after="0" w:line="26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 investments by combining their capital with loans provided by other sources, and we believe that our capital is well-positioned to partner with such equity investors.</w:t>
      </w:r>
    </w:p>
    <w:p>
      <w:pPr>
        <w:spacing w:after="0" w:line="95" w:lineRule="exact"/>
        <w:rPr>
          <w:rFonts w:ascii="Arial" w:cs="Arial" w:eastAsia="Arial" w:hAnsi="Arial"/>
          <w:sz w:val="13"/>
          <w:szCs w:val="13"/>
          <w:color w:val="auto"/>
        </w:rPr>
      </w:pPr>
    </w:p>
    <w:p>
      <w:pPr>
        <w:ind w:left="920" w:hanging="359"/>
        <w:spacing w:after="0" w:line="232" w:lineRule="auto"/>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23" w:lineRule="exact"/>
        <w:rPr>
          <w:sz w:val="20"/>
          <w:szCs w:val="20"/>
          <w:color w:val="auto"/>
        </w:rPr>
      </w:pPr>
    </w:p>
    <w:p>
      <w:pPr>
        <w:ind w:left="920" w:hanging="359"/>
        <w:spacing w:after="0"/>
        <w:tabs>
          <w:tab w:leader="none" w:pos="92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36" w:lineRule="exact"/>
        <w:rPr>
          <w:sz w:val="20"/>
          <w:szCs w:val="20"/>
          <w:color w:val="auto"/>
        </w:rPr>
      </w:pPr>
    </w:p>
    <w:p>
      <w:pPr>
        <w:ind w:right="360" w:firstLine="438"/>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17" w:lineRule="exact"/>
        <w:rPr>
          <w:sz w:val="20"/>
          <w:szCs w:val="20"/>
          <w:color w:val="auto"/>
        </w:rPr>
      </w:pPr>
    </w:p>
    <w:p>
      <w:pPr>
        <w:ind w:right="240" w:firstLine="438"/>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17" w:lineRule="exact"/>
        <w:rPr>
          <w:sz w:val="20"/>
          <w:szCs w:val="20"/>
          <w:color w:val="auto"/>
        </w:rPr>
      </w:pPr>
    </w:p>
    <w:p>
      <w:pPr>
        <w:ind w:left="920" w:hanging="359"/>
        <w:spacing w:after="0"/>
        <w:tabs>
          <w:tab w:leader="none" w:pos="92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04"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36" w:lineRule="exact"/>
        <w:rPr>
          <w:sz w:val="20"/>
          <w:szCs w:val="20"/>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1"/>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04"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 w:name="page5"/>
    <w:bookmarkEnd w:id="4"/>
    <w:p>
      <w:pPr>
        <w:ind w:right="40" w:firstLine="438"/>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9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36"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94"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3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As of September 30, 2017, we maintained a $375 million Credit Facility, which matures in August 2020, with SunTrust Bank and other lenders, or the Lenders. During the Credit Facility’s revolving period, which extends to August 2018, it bears interest at London Interbank Offered Rate, or LIBOR, plus 200 basis points, and after the revolving period, the rate sets to LIBOR plus 425 basis points for the remaining two years. The Credit Facility is secured by all of the assets held by Funding I, under which we had $253.8 million outstanding as of September 30, 2017. The annualized weighted average cost of debt for the year ended September 30, 2017, inclusive of the fee on the undrawn commitment on the Credit Facility and amendment costs, was 3.14%. As of September 30, 2017 and 2016, we had $121.2 million and $117.1 million of unused borrowing capacity under our Credit Facility, respectively, subject to the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seek to create a diversified portfolio primarily of Floating Rate Loans by generally targeting an investment size of $5 million to $30 million in securities, on average, of middle-market companies. We expect this investment size to vary proportionately with the size of our capital base.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1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0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First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Second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Subordinated Debt</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2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10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15" w:lineRule="exact"/>
        <w:rPr>
          <w:sz w:val="20"/>
          <w:szCs w:val="20"/>
          <w:color w:val="auto"/>
        </w:rPr>
      </w:pPr>
    </w:p>
    <w:p>
      <w:pPr>
        <w:ind w:left="920" w:hanging="359"/>
        <w:spacing w:after="0"/>
        <w:tabs>
          <w:tab w:leader="none" w:pos="9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136" w:lineRule="exact"/>
        <w:rPr>
          <w:sz w:val="20"/>
          <w:szCs w:val="20"/>
          <w:color w:val="auto"/>
        </w:rPr>
      </w:pPr>
    </w:p>
    <w:p>
      <w:pPr>
        <w:jc w:val="both"/>
        <w:ind w:right="340" w:firstLine="438"/>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02" w:lineRule="exact"/>
        <w:rPr>
          <w:sz w:val="20"/>
          <w:szCs w:val="20"/>
          <w:color w:val="auto"/>
        </w:rPr>
      </w:pPr>
    </w:p>
    <w:p>
      <w:pPr>
        <w:ind w:left="920" w:hanging="359"/>
        <w:spacing w:after="0"/>
        <w:tabs>
          <w:tab w:leader="none" w:pos="9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7" w:lineRule="exact"/>
        <w:rPr>
          <w:sz w:val="20"/>
          <w:szCs w:val="20"/>
          <w:color w:val="auto"/>
        </w:rPr>
      </w:pPr>
    </w:p>
    <w:p>
      <w:pPr>
        <w:ind w:left="920" w:hanging="359"/>
        <w:spacing w:after="0"/>
        <w:tabs>
          <w:tab w:leader="none" w:pos="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6" w:lineRule="exact"/>
        <w:rPr>
          <w:sz w:val="20"/>
          <w:szCs w:val="20"/>
          <w:color w:val="auto"/>
        </w:rPr>
      </w:pPr>
    </w:p>
    <w:p>
      <w:pPr>
        <w:ind w:left="920" w:hanging="359"/>
        <w:spacing w:after="0"/>
        <w:tabs>
          <w:tab w:leader="none" w:pos="9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04"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industries and geographies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15"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23" w:lineRule="exact"/>
        <w:rPr>
          <w:sz w:val="20"/>
          <w:szCs w:val="20"/>
          <w:color w:val="auto"/>
        </w:rPr>
      </w:pPr>
    </w:p>
    <w:p>
      <w:pPr>
        <w:jc w:val="both"/>
        <w:ind w:right="320" w:firstLine="438"/>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may include:</w:t>
      </w:r>
    </w:p>
    <w:p>
      <w:pPr>
        <w:spacing w:after="0" w:line="136" w:lineRule="exact"/>
        <w:rPr>
          <w:sz w:val="20"/>
          <w:szCs w:val="20"/>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136"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9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123"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06"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94"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5" w:lineRule="exact"/>
        <w:rPr>
          <w:sz w:val="20"/>
          <w:szCs w:val="20"/>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36" w:lineRule="exact"/>
        <w:rPr>
          <w:rFonts w:ascii="Arial" w:cs="Arial" w:eastAsia="Arial" w:hAnsi="Arial"/>
          <w:sz w:val="14"/>
          <w:szCs w:val="14"/>
          <w:color w:val="auto"/>
        </w:rPr>
      </w:pPr>
    </w:p>
    <w:p>
      <w:pPr>
        <w:jc w:val="both"/>
        <w:ind w:left="920" w:right="260" w:hanging="359"/>
        <w:spacing w:after="0" w:line="238" w:lineRule="auto"/>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Monitoring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36" w:lineRule="exact"/>
        <w:rPr>
          <w:sz w:val="20"/>
          <w:szCs w:val="20"/>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36" w:lineRule="exact"/>
        <w:rPr>
          <w:rFonts w:ascii="Arial" w:cs="Arial" w:eastAsia="Arial" w:hAnsi="Arial"/>
          <w:sz w:val="14"/>
          <w:szCs w:val="14"/>
          <w:color w:val="auto"/>
        </w:rPr>
      </w:pPr>
    </w:p>
    <w:p>
      <w:pPr>
        <w:ind w:left="920" w:right="800" w:hanging="359"/>
        <w:spacing w:after="0" w:line="253" w:lineRule="auto"/>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136" w:lineRule="exact"/>
        <w:rPr>
          <w:sz w:val="20"/>
          <w:szCs w:val="20"/>
          <w:color w:val="auto"/>
        </w:rPr>
      </w:pPr>
    </w:p>
    <w:p>
      <w:pPr>
        <w:ind w:right="140" w:firstLine="438"/>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20" w:firstLine="8"/>
        <w:spacing w:after="0" w:line="237" w:lineRule="auto"/>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23"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We offer significant managerial assistance to our portfolio companies. As a BDC, we are required to make available such significant managerial assistance within the meaning of Section 55 of the 1940 Act. See “Regulation” for more information.</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Staffing</w:t>
      </w:r>
    </w:p>
    <w:p>
      <w:pPr>
        <w:spacing w:after="0" w:line="13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36"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EDGAR Database.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60"/>
              <w:spacing w:after="0"/>
              <w:rPr>
                <w:sz w:val="20"/>
                <w:szCs w:val="20"/>
                <w:color w:val="auto"/>
              </w:rPr>
            </w:pPr>
            <w:r>
              <w:rPr>
                <w:rFonts w:ascii="Arial" w:cs="Arial" w:eastAsia="Arial" w:hAnsi="Arial"/>
                <w:sz w:val="14"/>
                <w:szCs w:val="14"/>
                <w:color w:val="auto"/>
              </w:rPr>
              <w:t>Aerospace and Defense</w:t>
            </w:r>
          </w:p>
        </w:tc>
        <w:tc>
          <w:tcPr>
            <w:tcW w:w="1020" w:type="dxa"/>
            <w:vAlign w:val="bottom"/>
          </w:tcPr>
          <w:p>
            <w:pPr>
              <w:ind w:left="90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Energy/Utilities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60"/>
              <w:spacing w:after="0" w:line="149" w:lineRule="exact"/>
              <w:rPr>
                <w:sz w:val="20"/>
                <w:szCs w:val="20"/>
                <w:color w:val="auto"/>
              </w:rPr>
            </w:pPr>
            <w:r>
              <w:rPr>
                <w:rFonts w:ascii="Arial" w:cs="Arial" w:eastAsia="Arial" w:hAnsi="Arial"/>
                <w:sz w:val="14"/>
                <w:szCs w:val="14"/>
                <w:color w:val="auto"/>
              </w:rPr>
              <w:t>Auto Sector</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Beverage, Food and Tobacco</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Broadcasting and Entertainment</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Grocery</w:t>
            </w:r>
          </w:p>
        </w:tc>
      </w:tr>
      <w:tr>
        <w:trPr>
          <w:trHeight w:val="176"/>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Buildings and Real Estate</w:t>
            </w:r>
          </w:p>
        </w:tc>
        <w:tc>
          <w:tcPr>
            <w:tcW w:w="5300" w:type="dxa"/>
            <w:vAlign w:val="bottom"/>
            <w:gridSpan w:val="2"/>
          </w:tcPr>
          <w:p>
            <w:pPr>
              <w:ind w:left="900"/>
              <w:spacing w:after="0"/>
              <w:rPr>
                <w:sz w:val="20"/>
                <w:szCs w:val="20"/>
                <w:color w:val="auto"/>
              </w:rPr>
            </w:pPr>
            <w:r>
              <w:rPr>
                <w:rFonts w:ascii="Arial" w:cs="Arial" w:eastAsia="Arial" w:hAnsi="Arial"/>
                <w:sz w:val="14"/>
                <w:szCs w:val="14"/>
                <w:color w:val="auto"/>
              </w:rPr>
              <w:t>•  Healthcare, Education and Childcare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Building Materials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w w:val="95"/>
              </w:rPr>
              <w:t>•  Home &amp; Office Furnishings, Housewares &amp; Durable Consumer Products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Cable Television</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Hotels, Motels, Inns and Gaming</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Capital Equipment</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Cargo Transportation</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Leisure, Amusement, Motion Picture, Entertainment</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Chemicals, Plastics and Rubber</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Communications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76"/>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1020" w:type="dxa"/>
            <w:vAlign w:val="bottom"/>
          </w:tcPr>
          <w:p>
            <w:pPr>
              <w:ind w:left="90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Media</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Mining, Steel, Iron and Non-Precious Metals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&amp; Glass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Distribution</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Other Media</w:t>
            </w:r>
          </w:p>
        </w:tc>
      </w:tr>
      <w:tr>
        <w:trPr>
          <w:trHeight w:val="176"/>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Diversified/Conglomerate Manufacturing</w:t>
            </w:r>
          </w:p>
        </w:tc>
        <w:tc>
          <w:tcPr>
            <w:tcW w:w="5300" w:type="dxa"/>
            <w:vAlign w:val="bottom"/>
            <w:gridSpan w:val="2"/>
          </w:tcPr>
          <w:p>
            <w:pPr>
              <w:ind w:left="900"/>
              <w:spacing w:after="0"/>
              <w:rPr>
                <w:sz w:val="20"/>
                <w:szCs w:val="20"/>
                <w:color w:val="auto"/>
              </w:rPr>
            </w:pPr>
            <w:r>
              <w:rPr>
                <w:rFonts w:ascii="Arial" w:cs="Arial" w:eastAsia="Arial" w:hAnsi="Arial"/>
                <w:sz w:val="14"/>
                <w:szCs w:val="14"/>
                <w:color w:val="auto"/>
              </w:rPr>
              <w:t>•  Personal, Food and Miscellaneous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Retail</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Education</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Wholesale</w:t>
            </w:r>
          </w:p>
        </w:tc>
      </w:tr>
      <w:tr>
        <w:trPr>
          <w:trHeight w:val="182"/>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Electronics</w:t>
            </w:r>
          </w:p>
        </w:tc>
        <w:tc>
          <w:tcPr>
            <w:tcW w:w="1020" w:type="dxa"/>
            <w:vAlign w:val="bottom"/>
          </w:tcPr>
          <w:p>
            <w:pPr>
              <w:spacing w:after="0"/>
              <w:rPr>
                <w:sz w:val="15"/>
                <w:szCs w:val="15"/>
                <w:color w:val="auto"/>
              </w:rPr>
            </w:pPr>
          </w:p>
        </w:tc>
        <w:tc>
          <w:tcPr>
            <w:tcW w:w="4280" w:type="dxa"/>
            <w:vAlign w:val="bottom"/>
          </w:tcPr>
          <w:p>
            <w:pPr>
              <w:spacing w:after="0"/>
              <w:rPr>
                <w:sz w:val="15"/>
                <w:szCs w:val="15"/>
                <w:color w:val="auto"/>
              </w:rPr>
            </w:pPr>
          </w:p>
        </w:tc>
      </w:tr>
    </w:tbl>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and cash equivalents) as of September 30: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300" w:type="dxa"/>
            <w:vAlign w:val="bottom"/>
            <w:tcBorders>
              <w:bottom w:val="single" w:sz="8" w:color="CCECFF"/>
            </w:tcBorders>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CFF"/>
            </w:tcBorders>
          </w:tcPr>
          <w:p>
            <w:pPr>
              <w:spacing w:after="0"/>
              <w:rPr>
                <w:sz w:val="14"/>
                <w:szCs w:val="14"/>
                <w:color w:val="auto"/>
              </w:rPr>
            </w:pPr>
          </w:p>
        </w:tc>
      </w:tr>
      <w:tr>
        <w:trPr>
          <w:trHeight w:val="155"/>
        </w:trPr>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Montreign Operating Company, LLC</w:t>
            </w:r>
          </w:p>
        </w:tc>
        <w:tc>
          <w:tcPr>
            <w:tcW w:w="16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180"/>
              <w:spacing w:after="0" w:line="155" w:lineRule="exact"/>
              <w:rPr>
                <w:sz w:val="20"/>
                <w:szCs w:val="20"/>
                <w:color w:val="auto"/>
              </w:rPr>
            </w:pPr>
            <w:r>
              <w:rPr>
                <w:rFonts w:ascii="Arial" w:cs="Arial" w:eastAsia="Arial" w:hAnsi="Arial"/>
                <w:sz w:val="14"/>
                <w:szCs w:val="14"/>
                <w:color w:val="auto"/>
              </w:rPr>
              <w:t>4%</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Marketplace Events LLC</w:t>
            </w: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3%</w:t>
            </w: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Advanced Cable Communications</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Advanced Cable Communications, LLC</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By Light Professional IT Services,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00" w:type="dxa"/>
            <w:vAlign w:val="bottom"/>
            <w:shd w:val="clear" w:color="auto" w:fill="CCECFF"/>
          </w:tcPr>
          <w:p>
            <w:pPr>
              <w:spacing w:after="0"/>
              <w:rPr>
                <w:sz w:val="14"/>
                <w:szCs w:val="14"/>
                <w:color w:val="auto"/>
              </w:rPr>
            </w:pPr>
          </w:p>
        </w:tc>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ALG USA Holdings,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Country Fresh Holdings, LLC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AMF Bowling Centers, Inc.</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East Valley Tourist Development Authority</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00" w:type="dxa"/>
            <w:vAlign w:val="bottom"/>
            <w:shd w:val="clear" w:color="auto" w:fill="CCECFF"/>
          </w:tcPr>
          <w:p>
            <w:pPr>
              <w:spacing w:after="0"/>
              <w:rPr>
                <w:sz w:val="14"/>
                <w:szCs w:val="14"/>
                <w:color w:val="auto"/>
              </w:rPr>
            </w:pPr>
          </w:p>
        </w:tc>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CD&amp;R TZ Purchaser, Inc.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Marketplace Events LLC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CRGT Inc.</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Pathway Partners Vet Management Company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00" w:type="dxa"/>
            <w:vAlign w:val="bottom"/>
            <w:shd w:val="clear" w:color="auto" w:fill="CCECFF"/>
          </w:tcPr>
          <w:p>
            <w:pPr>
              <w:spacing w:after="0"/>
              <w:rPr>
                <w:sz w:val="14"/>
                <w:szCs w:val="14"/>
                <w:color w:val="auto"/>
              </w:rPr>
            </w:pPr>
          </w:p>
        </w:tc>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Efficient Collaborative Retail Marketing Company,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Salient CRGT Inc.</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KHC Holdings, Inc.</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DecoPac, Inc.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CFF"/>
          </w:tcPr>
          <w:p>
            <w:pPr>
              <w:spacing w:after="0"/>
              <w:rPr>
                <w:sz w:val="14"/>
                <w:szCs w:val="14"/>
                <w:color w:val="auto"/>
              </w:rPr>
            </w:pPr>
          </w:p>
        </w:tc>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Novitex Acquisition, LLC</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82"/>
        </w:trPr>
        <w:tc>
          <w:tcPr>
            <w:tcW w:w="440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Triad Manufacturing, Inc.</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r>
      <w:tr>
        <w:trPr>
          <w:trHeight w:val="628"/>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Borders>
              <w:bottom w:val="single" w:sz="8" w:color="CCECFF"/>
            </w:tcBorders>
          </w:tcPr>
          <w:p>
            <w:pPr>
              <w:spacing w:after="0"/>
              <w:rPr>
                <w:sz w:val="24"/>
                <w:szCs w:val="2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300" w:type="dxa"/>
            <w:vAlign w:val="bottom"/>
            <w:tcBorders>
              <w:bottom w:val="single" w:sz="8" w:color="CCECFF"/>
            </w:tcBorders>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Borders>
              <w:bottom w:val="single" w:sz="8" w:color="CCECFF"/>
            </w:tcBorders>
          </w:tcPr>
          <w:p>
            <w:pPr>
              <w:spacing w:after="0"/>
              <w:rPr>
                <w:sz w:val="24"/>
                <w:szCs w:val="2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CFF"/>
            </w:tcBorders>
          </w:tcPr>
          <w:p>
            <w:pPr>
              <w:spacing w:after="0"/>
              <w:rPr>
                <w:sz w:val="24"/>
                <w:szCs w:val="24"/>
                <w:color w:val="auto"/>
              </w:rPr>
            </w:pPr>
          </w:p>
        </w:tc>
      </w:tr>
      <w:tr>
        <w:trPr>
          <w:trHeight w:val="155"/>
        </w:trPr>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High Tech Industries</w:t>
            </w:r>
          </w:p>
        </w:tc>
        <w:tc>
          <w:tcPr>
            <w:tcW w:w="16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180"/>
              <w:spacing w:after="0" w:line="155" w:lineRule="exact"/>
              <w:rPr>
                <w:sz w:val="20"/>
                <w:szCs w:val="20"/>
                <w:color w:val="auto"/>
              </w:rPr>
            </w:pPr>
            <w:r>
              <w:rPr>
                <w:rFonts w:ascii="Arial" w:cs="Arial" w:eastAsia="Arial" w:hAnsi="Arial"/>
                <w:sz w:val="14"/>
                <w:szCs w:val="14"/>
                <w:color w:val="auto"/>
              </w:rPr>
              <w:t>10%</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and Pharmaceuticals</w:t>
            </w: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w:t>
            </w: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Non-Durable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00" w:type="dxa"/>
            <w:vAlign w:val="bottom"/>
            <w:shd w:val="clear" w:color="auto" w:fill="CCECFF"/>
          </w:tcPr>
          <w:p>
            <w:pPr>
              <w:spacing w:after="0"/>
              <w:rPr>
                <w:sz w:val="14"/>
                <w:szCs w:val="14"/>
                <w:color w:val="auto"/>
              </w:rPr>
            </w:pPr>
          </w:p>
        </w:tc>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Consumer Goods: Durable</w:t>
            </w: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00" w:type="dxa"/>
            <w:vAlign w:val="bottom"/>
            <w:shd w:val="clear" w:color="auto" w:fill="CCECFF"/>
          </w:tcPr>
          <w:p>
            <w:pPr>
              <w:spacing w:after="0"/>
              <w:rPr>
                <w:sz w:val="14"/>
                <w:szCs w:val="14"/>
                <w:color w:val="auto"/>
              </w:rPr>
            </w:pPr>
          </w:p>
        </w:tc>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Hotel, Gaming and Leisure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CFF"/>
          </w:tcPr>
          <w:p>
            <w:pPr>
              <w:spacing w:after="0"/>
              <w:rPr>
                <w:sz w:val="14"/>
                <w:szCs w:val="14"/>
                <w:color w:val="auto"/>
              </w:rPr>
            </w:pPr>
          </w:p>
        </w:tc>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00" w:type="dxa"/>
            <w:vAlign w:val="bottom"/>
            <w:shd w:val="clear" w:color="auto" w:fill="CCECFF"/>
          </w:tcPr>
          <w:p>
            <w:pPr>
              <w:spacing w:after="0"/>
              <w:rPr>
                <w:sz w:val="14"/>
                <w:szCs w:val="14"/>
                <w:color w:val="auto"/>
              </w:rPr>
            </w:pPr>
          </w:p>
        </w:tc>
        <w:tc>
          <w:tcPr>
            <w:tcW w:w="44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Retail</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82"/>
        </w:trPr>
        <w:tc>
          <w:tcPr>
            <w:tcW w:w="4400" w:type="dxa"/>
            <w:vAlign w:val="bottom"/>
            <w:gridSpan w:val="2"/>
          </w:tcPr>
          <w:p>
            <w:pPr>
              <w:spacing w:after="0"/>
              <w:rPr>
                <w:sz w:val="20"/>
                <w:szCs w:val="20"/>
                <w:color w:val="auto"/>
              </w:rPr>
            </w:pPr>
            <w:r>
              <w:rPr>
                <w:rFonts w:ascii="Arial" w:cs="Arial" w:eastAsia="Arial" w:hAnsi="Arial"/>
                <w:sz w:val="14"/>
                <w:szCs w:val="14"/>
                <w:color w:val="auto"/>
              </w:rPr>
              <w:t>Wholesale</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Wholesale</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r>
    </w:tbl>
    <w:p>
      <w:pPr>
        <w:spacing w:after="0" w:line="12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investments in PSSL.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1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23"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109" w:lineRule="exact"/>
        <w:rPr>
          <w:sz w:val="20"/>
          <w:szCs w:val="20"/>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136"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123"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2017, 2016 and 2015, the Investment Adviser earned a base management fee of $6.9 million, $5.0 million and $3.6 million, respectively, from us.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December 31, 20XX = $160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March 31, 20XX = $200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2017, 2016 and 2015, the Investment Adviser earned $4.9 million, $3.7 million and $2.2 million, respectively, in incentive fees on net investment income from us.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9" w:name="page10"/>
    <w:bookmarkEnd w:id="9"/>
    <w:p>
      <w:pPr>
        <w:ind w:left="44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304800</wp:posOffset>
            </wp:positionV>
            <wp:extent cx="225425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54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2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2017, 2016 and 2015, we accrued an incentive fee on capital gains of approximately $0.1 million, zero and $(0.4) million, respectively, as calculated under the Investment Management Agreement (as described above).</w:t>
      </w:r>
    </w:p>
    <w:p>
      <w:pPr>
        <w:spacing w:after="0" w:line="107"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2017, 2016 and 2015 was $1.2 million, $1.1 million and $(0.7)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 does not exceed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36"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50% X Pre-Incentive Fee Net Investment Income, subject to “catch-up”</w:t>
      </w:r>
    </w:p>
    <w:p>
      <w:pPr>
        <w:ind w:left="2480" w:hanging="110"/>
        <w:spacing w:after="0" w:line="221" w:lineRule="auto"/>
        <w:tabs>
          <w:tab w:leader="none" w:pos="2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50% X (2.25% - 1.75%)</w:t>
      </w:r>
    </w:p>
    <w:p>
      <w:pPr>
        <w:ind w:left="2480" w:hanging="110"/>
        <w:spacing w:after="0"/>
        <w:tabs>
          <w:tab w:leader="none" w:pos="2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0.25%</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Alternative 3:</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4.00%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3.55%</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Incentive fee</w:t>
            </w:r>
          </w:p>
        </w:tc>
        <w:tc>
          <w:tcPr>
            <w:tcW w:w="640" w:type="dxa"/>
            <w:vAlign w:val="bottom"/>
          </w:tcPr>
          <w:p>
            <w:pPr>
              <w:ind w:left="260"/>
              <w:spacing w:after="0"/>
              <w:rPr>
                <w:sz w:val="20"/>
                <w:szCs w:val="20"/>
                <w:color w:val="auto"/>
              </w:rPr>
            </w:pPr>
            <w:r>
              <w:rPr>
                <w:rFonts w:ascii="Arial" w:cs="Arial" w:eastAsia="Arial" w:hAnsi="Arial"/>
                <w:sz w:val="14"/>
                <w:szCs w:val="14"/>
                <w:color w:val="auto"/>
                <w:w w:val="89"/>
              </w:rPr>
              <w:t>= 20%</w:t>
            </w:r>
          </w:p>
        </w:tc>
        <w:tc>
          <w:tcPr>
            <w:tcW w:w="4580" w:type="dxa"/>
            <w:vAlign w:val="bottom"/>
          </w:tcPr>
          <w:p>
            <w:pPr>
              <w:ind w:left="20"/>
              <w:spacing w:after="0"/>
              <w:rPr>
                <w:sz w:val="20"/>
                <w:szCs w:val="20"/>
                <w:color w:val="auto"/>
              </w:rPr>
            </w:pPr>
            <w:r>
              <w:rPr>
                <w:rFonts w:ascii="Arial" w:cs="Arial" w:eastAsia="Arial" w:hAnsi="Arial"/>
                <w:sz w:val="14"/>
                <w:szCs w:val="14"/>
                <w:color w:val="auto"/>
              </w:rPr>
              <w:t>X Pre-Incentive Fee Net Investment Income, subject to “catch-up”</w:t>
            </w:r>
            <w:r>
              <w:rPr>
                <w:rFonts w:ascii="Arial" w:cs="Arial" w:eastAsia="Arial" w:hAnsi="Arial"/>
                <w:sz w:val="12"/>
                <w:szCs w:val="12"/>
                <w:color w:val="auto"/>
              </w:rPr>
              <w:t>(3)</w:t>
            </w:r>
          </w:p>
        </w:tc>
      </w:tr>
      <w:tr>
        <w:trPr>
          <w:trHeight w:val="148"/>
        </w:trPr>
        <w:tc>
          <w:tcPr>
            <w:tcW w:w="980" w:type="dxa"/>
            <w:vAlign w:val="bottom"/>
          </w:tcPr>
          <w:p>
            <w:pPr>
              <w:spacing w:after="0" w:line="149" w:lineRule="exact"/>
              <w:rPr>
                <w:sz w:val="20"/>
                <w:szCs w:val="20"/>
                <w:color w:val="auto"/>
              </w:rPr>
            </w:pPr>
            <w:r>
              <w:rPr>
                <w:rFonts w:ascii="Arial" w:cs="Arial" w:eastAsia="Arial" w:hAnsi="Arial"/>
                <w:sz w:val="14"/>
                <w:szCs w:val="14"/>
                <w:color w:val="auto"/>
              </w:rPr>
              <w:t>Incentive fee</w:t>
            </w:r>
          </w:p>
        </w:tc>
        <w:tc>
          <w:tcPr>
            <w:tcW w:w="640" w:type="dxa"/>
            <w:vAlign w:val="bottom"/>
          </w:tcPr>
          <w:p>
            <w:pPr>
              <w:ind w:left="260"/>
              <w:spacing w:after="0" w:line="149" w:lineRule="exact"/>
              <w:rPr>
                <w:sz w:val="20"/>
                <w:szCs w:val="20"/>
                <w:color w:val="auto"/>
              </w:rPr>
            </w:pPr>
            <w:r>
              <w:rPr>
                <w:rFonts w:ascii="Arial" w:cs="Arial" w:eastAsia="Arial" w:hAnsi="Arial"/>
                <w:sz w:val="14"/>
                <w:szCs w:val="14"/>
                <w:color w:val="auto"/>
                <w:w w:val="89"/>
              </w:rPr>
              <w:t>= 50%</w:t>
            </w:r>
          </w:p>
        </w:tc>
        <w:tc>
          <w:tcPr>
            <w:tcW w:w="4580" w:type="dxa"/>
            <w:vAlign w:val="bottom"/>
          </w:tcPr>
          <w:p>
            <w:pPr>
              <w:ind w:left="20"/>
              <w:spacing w:after="0" w:line="149" w:lineRule="exact"/>
              <w:rPr>
                <w:sz w:val="20"/>
                <w:szCs w:val="20"/>
                <w:color w:val="auto"/>
              </w:rPr>
            </w:pPr>
            <w:r>
              <w:rPr>
                <w:rFonts w:ascii="Arial" w:cs="Arial" w:eastAsia="Arial" w:hAnsi="Arial"/>
                <w:sz w:val="14"/>
                <w:szCs w:val="14"/>
                <w:color w:val="auto"/>
                <w:w w:val="94"/>
              </w:rPr>
              <w:t>X “catch-up” + (20% x (Pre-Incentive Fee Net Investment Income - 2.9167%))</w:t>
            </w: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Catch-up</w:t>
            </w:r>
          </w:p>
        </w:tc>
        <w:tc>
          <w:tcPr>
            <w:tcW w:w="5220" w:type="dxa"/>
            <w:vAlign w:val="bottom"/>
            <w:gridSpan w:val="2"/>
          </w:tcPr>
          <w:p>
            <w:pPr>
              <w:ind w:left="260"/>
              <w:spacing w:after="0"/>
              <w:rPr>
                <w:sz w:val="20"/>
                <w:szCs w:val="20"/>
                <w:color w:val="auto"/>
              </w:rPr>
            </w:pPr>
            <w:r>
              <w:rPr>
                <w:rFonts w:ascii="Arial" w:cs="Arial" w:eastAsia="Arial" w:hAnsi="Arial"/>
                <w:sz w:val="14"/>
                <w:szCs w:val="14"/>
                <w:color w:val="auto"/>
              </w:rPr>
              <w:t>= 2.9167% - 1.75%</w:t>
            </w:r>
          </w:p>
        </w:tc>
      </w:tr>
    </w:tbl>
    <w:p>
      <w:pPr>
        <w:ind w:left="2480" w:hanging="110"/>
        <w:spacing w:after="0" w:line="221" w:lineRule="auto"/>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1.1667%</w:t>
      </w:r>
    </w:p>
    <w:p>
      <w:pPr>
        <w:ind w:left="2480" w:hanging="110"/>
        <w:spacing w:after="0" w:line="221" w:lineRule="auto"/>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(50% X 1.1667%) + (20% X (3.55% - 2.9167%))</w:t>
      </w:r>
    </w:p>
    <w:p>
      <w:pPr>
        <w:ind w:left="2480" w:hanging="110"/>
        <w:spacing w:after="0" w:line="221" w:lineRule="auto"/>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0.5833% + (20% X 0.6333%)</w:t>
      </w:r>
    </w:p>
    <w:p>
      <w:pPr>
        <w:ind w:left="2480" w:hanging="110"/>
        <w:spacing w:after="0" w:line="221" w:lineRule="auto"/>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0.5833% + 0.1267%</w:t>
      </w:r>
    </w:p>
    <w:p>
      <w:pPr>
        <w:ind w:left="2480" w:hanging="110"/>
        <w:spacing w:after="0"/>
        <w:tabs>
          <w:tab w:leader="none" w:pos="24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0.71%</w:t>
      </w:r>
    </w:p>
    <w:p>
      <w:pPr>
        <w:spacing w:after="0" w:line="137"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345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line="221"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Represents 1.0% annualized base management fee.</w:t>
      </w:r>
    </w:p>
    <w:p>
      <w:pPr>
        <w:ind w:left="380" w:right="200" w:hanging="372"/>
        <w:spacing w:after="0" w:line="237"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FMV of Investment B determined to be $25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Investment B sold for $31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None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$6 million capital gains incentive fee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None</w:t>
      </w:r>
    </w:p>
    <w:p>
      <w:pPr>
        <w:spacing w:after="0" w:line="123"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$200,000 capital gains incentive fee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right="520"/>
        <w:spacing w:after="0" w:line="253" w:lineRule="auto"/>
        <w:rPr>
          <w:sz w:val="20"/>
          <w:szCs w:val="20"/>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FMV of Investment B determined to be $35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5: Investment B sold for $20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None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$5 million capital gains incentive fee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ind w:left="1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Year 3: $1.4 million capital gains incentive fee </w:t>
      </w:r>
      <w:r>
        <w:rPr>
          <w:rFonts w:ascii="Arial" w:cs="Arial" w:eastAsia="Arial" w:hAnsi="Arial"/>
          <w:sz w:val="12"/>
          <w:szCs w:val="12"/>
          <w:color w:val="auto"/>
        </w:rPr>
        <w:t>(1)</w:t>
      </w:r>
    </w:p>
    <w:p>
      <w:pPr>
        <w:spacing w:after="0" w:line="136" w:lineRule="exact"/>
        <w:rPr>
          <w:sz w:val="20"/>
          <w:szCs w:val="20"/>
          <w:color w:val="auto"/>
        </w:rPr>
      </w:pPr>
    </w:p>
    <w:p>
      <w:pPr>
        <w:ind w:left="160" w:right="300"/>
        <w:spacing w:after="0" w:line="253"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$0.6 million capital gains incentive fee</w:t>
      </w:r>
    </w:p>
    <w:p>
      <w:pPr>
        <w:spacing w:after="0" w:line="123"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$5 million of unrealized appreciation)) less $6.4 million (previous cumulative capital gains fee paid in Year 2 of $5 million and Year 3 of $1.4 million)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5: None</w:t>
      </w:r>
    </w:p>
    <w:p>
      <w:pPr>
        <w:spacing w:after="0" w:line="136" w:lineRule="exact"/>
        <w:rPr>
          <w:sz w:val="20"/>
          <w:szCs w:val="20"/>
          <w:color w:val="auto"/>
        </w:rPr>
      </w:pPr>
    </w:p>
    <w:p>
      <w:pPr>
        <w:ind w:left="160" w:right="42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120" w:lineRule="exact"/>
        <w:rPr>
          <w:sz w:val="20"/>
          <w:szCs w:val="20"/>
          <w:color w:val="auto"/>
        </w:rPr>
      </w:pPr>
    </w:p>
    <w:p>
      <w:pPr>
        <w:ind w:left="380" w:right="20" w:hanging="372"/>
        <w:spacing w:after="0" w:line="253"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As illustrated in Year 3 of Alternative 2 above, if we were to be wound up on a date other than December 31 of any year after year 3, we may have paid aggregate capital gain incentive fees that are more than the amount of such fees that would be payable if we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4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23" w:lineRule="exact"/>
        <w:rPr>
          <w:sz w:val="20"/>
          <w:szCs w:val="20"/>
          <w:color w:val="auto"/>
        </w:rPr>
      </w:pPr>
    </w:p>
    <w:p>
      <w:pPr>
        <w:ind w:right="680" w:firstLine="438"/>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3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2017. Unless terminated earlier as described below, the Investment Management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0"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36"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2017, 2016 and 2015, we reimbursed the Investment Adviser approximately $1.7 million, $0.8 million and $0.5 million, respectively, including expenses the Investment Adviser incurred on behalf of the Administrator, for services described above.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36"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2017. Unless terminated earlier as described below, our Administration Agreement will continue in effect for a period of one year through February 2018.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36" w:lineRule="exact"/>
        <w:rPr>
          <w:sz w:val="20"/>
          <w:szCs w:val="20"/>
          <w:color w:val="auto"/>
        </w:rPr>
      </w:pPr>
    </w:p>
    <w:p>
      <w:pPr>
        <w:ind w:right="260" w:firstLine="438"/>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PennantPark Senior Secured Loan Fund I LLC</w:t>
      </w:r>
    </w:p>
    <w:p>
      <w:pPr>
        <w:spacing w:after="0" w:line="123"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2017, PSSL had total assets of $103.8 million. As of the same date, we and Kemper had remaining commitments to fund subordinated notes and equity interests in PSSL in an aggregate of $50.9 million. PSSL’s portfolio consisted of debt investments in 18 portfolio companies as of September 30, 2017. As of September 30, 2017, at fair value, the largest investment in a single portfolio company in PSSL was $8.1 million and the five largest investments totaled $34.9 million. PSSL invests in portfolio companies in the same industries in which we may directly invest.</w:t>
      </w:r>
    </w:p>
    <w:p>
      <w:pPr>
        <w:spacing w:after="0" w:line="11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and Regulated Investment Company Regulations</w:t>
      </w:r>
    </w:p>
    <w:p>
      <w:pPr>
        <w:spacing w:after="0" w:line="13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07" w:lineRule="exact"/>
        <w:rPr>
          <w:sz w:val="20"/>
          <w:szCs w:val="20"/>
          <w:color w:val="auto"/>
        </w:rPr>
      </w:pPr>
    </w:p>
    <w:p>
      <w:pPr>
        <w:ind w:right="80" w:firstLine="438"/>
        <w:spacing w:after="0" w:line="226" w:lineRule="auto"/>
        <w:rPr>
          <w:sz w:val="20"/>
          <w:szCs w:val="20"/>
          <w:color w:val="auto"/>
        </w:rPr>
      </w:pPr>
      <w:r>
        <w:rPr>
          <w:rFonts w:ascii="Arial" w:cs="Arial" w:eastAsia="Arial" w:hAnsi="Arial"/>
          <w:sz w:val="14"/>
          <w:szCs w:val="14"/>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36"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4" w:lineRule="exact"/>
        <w:rPr>
          <w:sz w:val="20"/>
          <w:szCs w:val="20"/>
          <w:color w:val="auto"/>
        </w:rPr>
      </w:pPr>
    </w:p>
    <w:p>
      <w:pPr>
        <w:ind w:left="920" w:right="40" w:hanging="359"/>
        <w:spacing w:after="0" w:line="238"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4"/>
          <w:szCs w:val="14"/>
          <w:color w:val="auto"/>
        </w:rPr>
      </w:pPr>
    </w:p>
    <w:p>
      <w:pPr>
        <w:ind w:left="1480" w:hanging="365"/>
        <w:spacing w:after="0"/>
        <w:tabs>
          <w:tab w:leader="none" w:pos="14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36" w:lineRule="exact"/>
        <w:rPr>
          <w:rFonts w:ascii="Arial" w:cs="Arial" w:eastAsia="Arial" w:hAnsi="Arial"/>
          <w:sz w:val="14"/>
          <w:szCs w:val="14"/>
          <w:color w:val="auto"/>
        </w:rPr>
      </w:pPr>
    </w:p>
    <w:p>
      <w:pPr>
        <w:ind w:left="1480" w:right="120" w:hanging="365"/>
        <w:spacing w:after="0" w:line="253" w:lineRule="auto"/>
        <w:tabs>
          <w:tab w:leader="none" w:pos="14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1480" w:hanging="365"/>
        <w:spacing w:after="0"/>
        <w:tabs>
          <w:tab w:leader="none" w:pos="14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3"/>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3"/>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36" w:lineRule="exact"/>
        <w:rPr>
          <w:rFonts w:ascii="Arial" w:cs="Arial" w:eastAsia="Arial" w:hAnsi="Arial"/>
          <w:sz w:val="14"/>
          <w:szCs w:val="14"/>
          <w:color w:val="auto"/>
        </w:rPr>
      </w:pPr>
    </w:p>
    <w:p>
      <w:pPr>
        <w:ind w:left="2040" w:right="380" w:hanging="372"/>
        <w:spacing w:after="0" w:line="290" w:lineRule="auto"/>
        <w:tabs>
          <w:tab w:leader="none" w:pos="2040" w:val="left"/>
        </w:tabs>
        <w:numPr>
          <w:ilvl w:val="2"/>
          <w:numId w:val="23"/>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4" w:lineRule="exact"/>
        <w:rPr>
          <w:rFonts w:ascii="Arial" w:cs="Arial" w:eastAsia="Arial" w:hAnsi="Arial"/>
          <w:sz w:val="13"/>
          <w:szCs w:val="13"/>
          <w:color w:val="auto"/>
        </w:rPr>
      </w:pPr>
    </w:p>
    <w:p>
      <w:pPr>
        <w:ind w:left="920" w:hanging="359"/>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36" w:lineRule="exact"/>
        <w:rPr>
          <w:rFonts w:ascii="Arial" w:cs="Arial" w:eastAsia="Arial" w:hAnsi="Arial"/>
          <w:sz w:val="14"/>
          <w:szCs w:val="14"/>
          <w:color w:val="auto"/>
        </w:rPr>
      </w:pPr>
    </w:p>
    <w:p>
      <w:pPr>
        <w:ind w:left="920" w:right="180" w:hanging="359"/>
        <w:spacing w:after="0" w:line="238"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920" w:right="400" w:hanging="359"/>
        <w:spacing w:after="0" w:line="253"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920" w:right="240" w:hanging="359"/>
        <w:spacing w:after="0" w:line="253"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36"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are required to make available significant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13" w:name="page14"/>
    <w:bookmarkEnd w:id="13"/>
    <w:p>
      <w:pPr>
        <w:ind w:right="580"/>
        <w:spacing w:after="0" w:line="253" w:lineRule="auto"/>
        <w:rPr>
          <w:sz w:val="20"/>
          <w:szCs w:val="20"/>
          <w:color w:val="auto"/>
        </w:rPr>
      </w:pPr>
      <w:r>
        <w:rPr>
          <w:rFonts w:ascii="Arial" w:cs="Arial" w:eastAsia="Arial" w:hAnsi="Arial"/>
          <w:sz w:val="14"/>
          <w:szCs w:val="14"/>
          <w:color w:val="auto"/>
        </w:rPr>
        <w:t>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36"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You may also obtain a copy of our joint code of ethics, after paying a duplicating fee, by electronic request at the following email address: </w:t>
      </w:r>
      <w:r>
        <w:rPr>
          <w:rFonts w:ascii="Arial" w:cs="Arial" w:eastAsia="Arial" w:hAnsi="Arial"/>
          <w:sz w:val="14"/>
          <w:szCs w:val="14"/>
          <w:i w:val="1"/>
          <w:iCs w:val="1"/>
          <w:u w:val="single" w:color="auto"/>
          <w:color w:val="auto"/>
        </w:rPr>
        <w:t>publicinfo@sec.gov</w:t>
      </w:r>
      <w:r>
        <w:rPr>
          <w:rFonts w:ascii="Arial" w:cs="Arial" w:eastAsia="Arial" w:hAnsi="Arial"/>
          <w:sz w:val="14"/>
          <w:szCs w:val="14"/>
          <w:color w:val="auto"/>
        </w:rPr>
        <w:t>, or by writing the SEC’s Public Reference Section, 100 F Street, N.E., Washington, D.C. 20549.</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Introduction</w:t>
      </w:r>
    </w:p>
    <w:p>
      <w:pPr>
        <w:spacing w:after="0" w:line="123"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Policies</w:t>
      </w:r>
    </w:p>
    <w:p>
      <w:pPr>
        <w:spacing w:after="0" w:line="12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Voting Records</w:t>
      </w:r>
    </w:p>
    <w:p>
      <w:pPr>
        <w:spacing w:after="0" w:line="123"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2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0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11"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i w:val="1"/>
          <w:iCs w:val="1"/>
          <w:color w:val="auto"/>
        </w:rPr>
        <w:t>Other</w:t>
      </w:r>
    </w:p>
    <w:p>
      <w:pPr>
        <w:spacing w:after="0" w:line="123"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2"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36"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example:</w:t>
      </w:r>
    </w:p>
    <w:p>
      <w:pPr>
        <w:spacing w:after="0" w:line="136" w:lineRule="exact"/>
        <w:rPr>
          <w:sz w:val="20"/>
          <w:szCs w:val="20"/>
          <w:color w:val="auto"/>
        </w:rPr>
      </w:pPr>
    </w:p>
    <w:p>
      <w:pPr>
        <w:ind w:left="920" w:right="380" w:hanging="359"/>
        <w:spacing w:after="0" w:line="253" w:lineRule="auto"/>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jc w:val="both"/>
        <w:ind w:left="920" w:right="160" w:hanging="359"/>
        <w:spacing w:after="0" w:line="238" w:lineRule="auto"/>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123"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investment company taxable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36" w:lineRule="exact"/>
        <w:rPr>
          <w:sz w:val="20"/>
          <w:szCs w:val="20"/>
          <w:color w:val="auto"/>
        </w:rPr>
      </w:pPr>
    </w:p>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36" w:lineRule="exact"/>
        <w:rPr>
          <w:rFonts w:ascii="Arial" w:cs="Arial" w:eastAsia="Arial" w:hAnsi="Arial"/>
          <w:sz w:val="14"/>
          <w:szCs w:val="14"/>
          <w:color w:val="auto"/>
        </w:rPr>
      </w:pPr>
    </w:p>
    <w:p>
      <w:pPr>
        <w:ind w:left="920" w:right="120" w:hanging="359"/>
        <w:spacing w:after="0" w:line="238"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115" w:lineRule="exact"/>
        <w:rPr>
          <w:rFonts w:ascii="Arial" w:cs="Arial" w:eastAsia="Arial" w:hAnsi="Arial"/>
          <w:sz w:val="14"/>
          <w:szCs w:val="14"/>
          <w:color w:val="auto"/>
        </w:rPr>
      </w:pPr>
    </w:p>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36" w:lineRule="exact"/>
        <w:rPr>
          <w:rFonts w:ascii="Arial" w:cs="Arial" w:eastAsia="Arial" w:hAnsi="Arial"/>
          <w:sz w:val="14"/>
          <w:szCs w:val="14"/>
          <w:color w:val="auto"/>
        </w:rPr>
      </w:pPr>
    </w:p>
    <w:p>
      <w:pPr>
        <w:ind w:left="1480" w:right="20" w:hanging="365"/>
        <w:spacing w:after="0" w:line="290" w:lineRule="auto"/>
        <w:tabs>
          <w:tab w:leader="none" w:pos="148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4" w:lineRule="exact"/>
        <w:rPr>
          <w:rFonts w:ascii="Arial" w:cs="Arial" w:eastAsia="Arial" w:hAnsi="Arial"/>
          <w:sz w:val="13"/>
          <w:szCs w:val="13"/>
          <w:color w:val="auto"/>
        </w:rPr>
      </w:pPr>
    </w:p>
    <w:p>
      <w:pPr>
        <w:ind w:left="1480" w:right="160" w:hanging="365"/>
        <w:spacing w:after="0" w:line="238" w:lineRule="auto"/>
        <w:tabs>
          <w:tab w:leader="none" w:pos="14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w:t>
      </w:r>
    </w:p>
    <w:p>
      <w:pPr>
        <w:ind w:firstLine="8"/>
        <w:spacing w:after="0" w:line="227" w:lineRule="auto"/>
        <w:tabs>
          <w:tab w:leader="none" w:pos="204" w:val="left"/>
        </w:tabs>
        <w:numPr>
          <w:ilvl w:val="0"/>
          <w:numId w:val="26"/>
        </w:numPr>
        <w:rPr>
          <w:rFonts w:ascii="Arial" w:cs="Arial" w:eastAsia="Arial" w:hAnsi="Arial"/>
          <w:sz w:val="14"/>
          <w:szCs w:val="14"/>
          <w:color w:val="auto"/>
        </w:rPr>
      </w:pPr>
      <w:r>
        <w:rPr>
          <w:rFonts w:ascii="Arial" w:cs="Arial" w:eastAsia="Arial" w:hAnsi="Arial"/>
          <w:sz w:val="14"/>
          <w:szCs w:val="14"/>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36"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5" w:name="page16"/>
    <w:bookmarkEnd w:id="15"/>
    <w:p>
      <w:pPr>
        <w:ind w:right="80" w:firstLine="438"/>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0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Gain or loss realized by us from equity securities and warrants acquired by us, as well as any loss attributable to the lapse of such warrants, generally will be treated as capital gain or loss.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gain or loss generally will be long-term or short-term, depending on how long we held a particular warrant.</w:t>
      </w:r>
    </w:p>
    <w:p>
      <w:pPr>
        <w:spacing w:after="0" w:line="124"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0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04"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84"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6" w:name="page17"/>
    <w:bookmarkEnd w:id="16"/>
    <w:p>
      <w:pPr>
        <w:ind w:firstLine="438"/>
        <w:spacing w:after="0" w:line="228" w:lineRule="auto"/>
        <w:rPr>
          <w:sz w:val="20"/>
          <w:szCs w:val="20"/>
          <w:color w:val="auto"/>
        </w:rPr>
      </w:pPr>
      <w:r>
        <w:rPr>
          <w:rFonts w:ascii="Arial" w:cs="Arial" w:eastAsia="Arial" w:hAnsi="Arial"/>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Funding I’s Credit Facility.</w:t>
      </w:r>
    </w:p>
    <w:p>
      <w:pPr>
        <w:spacing w:after="0" w:line="13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In addition to the asset coverage ratio requirements, our Credit Facility contains various covenants applicable to Funding I, which restricts our ability to borrow funds.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18" w:lineRule="exact"/>
        <w:rPr>
          <w:sz w:val="20"/>
          <w:szCs w:val="20"/>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136"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36"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3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06" w:lineRule="exact"/>
        <w:rPr>
          <w:sz w:val="20"/>
          <w:szCs w:val="20"/>
          <w:color w:val="auto"/>
        </w:rPr>
      </w:pPr>
    </w:p>
    <w:p>
      <w:pPr>
        <w:ind w:right="320" w:firstLine="438"/>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87"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04"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123"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15"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10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99"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104"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1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03"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36"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48" w:lineRule="exact"/>
        <w:rPr>
          <w:sz w:val="20"/>
          <w:szCs w:val="20"/>
          <w:color w:val="auto"/>
        </w:rPr>
      </w:pPr>
    </w:p>
    <w:p>
      <w:pPr>
        <w:ind w:right="360" w:firstLine="438"/>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34"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18" w:name="page19"/>
    <w:bookmarkEnd w:id="18"/>
    <w:p>
      <w:pPr>
        <w:ind w:right="540"/>
        <w:spacing w:after="0" w:line="253" w:lineRule="auto"/>
        <w:rPr>
          <w:sz w:val="20"/>
          <w:szCs w:val="20"/>
          <w:color w:val="auto"/>
        </w:rPr>
      </w:pPr>
      <w:r>
        <w:rPr>
          <w:rFonts w:ascii="Arial" w:cs="Arial" w:eastAsia="Arial" w:hAnsi="Arial"/>
          <w:sz w:val="14"/>
          <w:szCs w:val="14"/>
          <w:color w:val="auto"/>
        </w:rPr>
        <w:t>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36"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23"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did not incur any corporate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36"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04"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15"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93"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As a BDC, we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7"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treated as a RIC for federal income tax purposes. We may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111" w:lineRule="exact"/>
        <w:rPr>
          <w:sz w:val="20"/>
          <w:szCs w:val="20"/>
          <w:color w:val="auto"/>
        </w:rPr>
      </w:pPr>
    </w:p>
    <w:p>
      <w:pPr>
        <w:ind w:left="920" w:right="180" w:hanging="359"/>
        <w:spacing w:after="0" w:line="251" w:lineRule="auto"/>
        <w:tabs>
          <w:tab w:leader="none" w:pos="920" w:val="left"/>
        </w:tabs>
        <w:numPr>
          <w:ilvl w:val="0"/>
          <w:numId w:val="2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we are exposed to typical risks associated with leverage, including an increased risk of loss. If we issue preferred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13"/>
          <w:szCs w:val="13"/>
          <w:color w:val="auto"/>
        </w:rPr>
      </w:pPr>
    </w:p>
    <w:p>
      <w:pPr>
        <w:ind w:left="920" w:right="20" w:hanging="359"/>
        <w:spacing w:after="0" w:line="229"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Additional Common Stock. </w:t>
      </w:r>
      <w:r>
        <w:rPr>
          <w:rFonts w:ascii="Arial" w:cs="Arial" w:eastAsia="Arial" w:hAnsi="Arial"/>
          <w:sz w:val="14"/>
          <w:szCs w:val="14"/>
          <w:color w:val="auto"/>
        </w:rPr>
        <w:t>Our board of directors may decide to issue common stock to finance our operations rather than issuing debt or other senior securities. As a BDC,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9" w:name="page20"/>
    <w:bookmarkEnd w:id="19"/>
    <w:p>
      <w:pPr>
        <w:ind w:left="920" w:right="40"/>
        <w:spacing w:after="0" w:line="225" w:lineRule="auto"/>
        <w:rPr>
          <w:sz w:val="20"/>
          <w:szCs w:val="20"/>
          <w:color w:val="auto"/>
        </w:rPr>
      </w:pPr>
      <w:r>
        <w:rPr>
          <w:rFonts w:ascii="Arial" w:cs="Arial" w:eastAsia="Arial" w:hAnsi="Arial"/>
          <w:sz w:val="14"/>
          <w:szCs w:val="14"/>
          <w:color w:val="auto"/>
        </w:rPr>
        <w:t>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21" w:lineRule="exact"/>
        <w:rPr>
          <w:sz w:val="20"/>
          <w:szCs w:val="20"/>
          <w:color w:val="auto"/>
        </w:rPr>
      </w:pPr>
    </w:p>
    <w:p>
      <w:pPr>
        <w:ind w:left="920" w:hanging="359"/>
        <w:spacing w:after="0" w:line="242" w:lineRule="auto"/>
        <w:tabs>
          <w:tab w:leader="none" w:pos="920" w:val="left"/>
        </w:tabs>
        <w:numPr>
          <w:ilvl w:val="0"/>
          <w:numId w:val="2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and the rules and regulations of the SEC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23" w:lineRule="exact"/>
        <w:rPr>
          <w:sz w:val="20"/>
          <w:szCs w:val="20"/>
          <w:color w:val="auto"/>
        </w:rPr>
      </w:pPr>
    </w:p>
    <w:p>
      <w:pPr>
        <w:jc w:val="both"/>
        <w:ind w:right="300" w:firstLine="438"/>
        <w:spacing w:after="0" w:line="238" w:lineRule="auto"/>
        <w:rPr>
          <w:sz w:val="20"/>
          <w:szCs w:val="20"/>
          <w:color w:val="auto"/>
        </w:rPr>
      </w:pPr>
      <w:r>
        <w:rPr>
          <w:rFonts w:ascii="Arial" w:cs="Arial" w:eastAsia="Arial" w:hAnsi="Arial"/>
          <w:sz w:val="14"/>
          <w:szCs w:val="14"/>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1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Our current debt is governed by the terms of the Credit Facility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23"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As of September 30, 2017, we had outstanding borrowings of $253.8 million under our Credit Facility with a current interest rate of 3.18%, exclusive of the fees on the undrawn commitment. To cover the annual interest on our borrowings of $253.8 million outstanding as of September 30, 2017, at the weighted average annual rate of 3.18%, we would have to receive an annual yield of at least 1.13%.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07"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September 30, 2017 of 34% of total assets (including such borrowed funds), at the current interest rate at the time of 3.18%,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2340" w:type="dxa"/>
            <w:vAlign w:val="bottom"/>
            <w:shd w:val="clear" w:color="auto" w:fill="CCECFF"/>
          </w:tcPr>
          <w:p>
            <w:pPr>
              <w:jc w:val="right"/>
              <w:ind w:right="368"/>
              <w:spacing w:after="0"/>
              <w:rPr>
                <w:sz w:val="20"/>
                <w:szCs w:val="20"/>
                <w:color w:val="auto"/>
              </w:rPr>
            </w:pPr>
            <w:r>
              <w:rPr>
                <w:rFonts w:ascii="Arial" w:cs="Arial" w:eastAsia="Arial" w:hAnsi="Arial"/>
                <w:sz w:val="14"/>
                <w:szCs w:val="14"/>
                <w:color w:val="auto"/>
              </w:rPr>
              <w:t>(10.0)%</w:t>
            </w:r>
          </w:p>
        </w:tc>
        <w:tc>
          <w:tcPr>
            <w:tcW w:w="1280" w:type="dxa"/>
            <w:vAlign w:val="bottom"/>
            <w:shd w:val="clear" w:color="auto" w:fill="CCECFF"/>
          </w:tcPr>
          <w:p>
            <w:pPr>
              <w:jc w:val="right"/>
              <w:ind w:right="368"/>
              <w:spacing w:after="0"/>
              <w:rPr>
                <w:sz w:val="20"/>
                <w:szCs w:val="20"/>
                <w:color w:val="auto"/>
              </w:rPr>
            </w:pPr>
            <w:r>
              <w:rPr>
                <w:rFonts w:ascii="Arial" w:cs="Arial" w:eastAsia="Arial" w:hAnsi="Arial"/>
                <w:sz w:val="14"/>
                <w:szCs w:val="14"/>
                <w:color w:val="auto"/>
              </w:rPr>
              <w:t>(5.0)%</w:t>
            </w:r>
          </w:p>
        </w:tc>
        <w:tc>
          <w:tcPr>
            <w:tcW w:w="130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ind w:right="368"/>
              <w:spacing w:after="0"/>
              <w:rPr>
                <w:sz w:val="20"/>
                <w:szCs w:val="20"/>
                <w:color w:val="auto"/>
              </w:rPr>
            </w:pPr>
            <w:r>
              <w:rPr>
                <w:rFonts w:ascii="Arial" w:cs="Arial" w:eastAsia="Arial" w:hAnsi="Arial"/>
                <w:sz w:val="14"/>
                <w:szCs w:val="14"/>
                <w:color w:val="auto"/>
              </w:rPr>
              <w:t>5.0%</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2340" w:type="dxa"/>
            <w:vAlign w:val="bottom"/>
          </w:tcPr>
          <w:p>
            <w:pPr>
              <w:jc w:val="right"/>
              <w:ind w:right="368"/>
              <w:spacing w:after="0"/>
              <w:rPr>
                <w:sz w:val="20"/>
                <w:szCs w:val="20"/>
                <w:color w:val="auto"/>
              </w:rPr>
            </w:pPr>
            <w:r>
              <w:rPr>
                <w:rFonts w:ascii="Arial" w:cs="Arial" w:eastAsia="Arial" w:hAnsi="Arial"/>
                <w:sz w:val="14"/>
                <w:szCs w:val="14"/>
                <w:color w:val="auto"/>
              </w:rPr>
              <w:t>(18.1)%</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(9.9)%</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(1.8)%</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6.4%</w:t>
            </w:r>
          </w:p>
        </w:tc>
        <w:tc>
          <w:tcPr>
            <w:tcW w:w="820" w:type="dxa"/>
            <w:vAlign w:val="bottom"/>
          </w:tcPr>
          <w:p>
            <w:pPr>
              <w:jc w:val="right"/>
              <w:spacing w:after="0"/>
              <w:rPr>
                <w:sz w:val="20"/>
                <w:szCs w:val="20"/>
                <w:color w:val="auto"/>
              </w:rPr>
            </w:pPr>
            <w:r>
              <w:rPr>
                <w:rFonts w:ascii="Arial" w:cs="Arial" w:eastAsia="Arial" w:hAnsi="Arial"/>
                <w:sz w:val="14"/>
                <w:szCs w:val="14"/>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3"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80" w:right="220" w:hanging="372"/>
        <w:spacing w:after="0" w:line="255" w:lineRule="auto"/>
        <w:tabs>
          <w:tab w:leader="none" w:pos="380" w:val="left"/>
        </w:tabs>
        <w:numPr>
          <w:ilvl w:val="0"/>
          <w:numId w:val="30"/>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right="50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93"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36"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As a result of any issuance of debt securities and borrowings under our Credit Facility,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3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14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Our Credit Facility expires in August 2020.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w:t>
      </w:r>
    </w:p>
    <w:p>
      <w:pPr>
        <w:spacing w:after="0" w:line="2" w:lineRule="exact"/>
        <w:rPr>
          <w:sz w:val="20"/>
          <w:szCs w:val="20"/>
          <w:color w:val="auto"/>
        </w:rPr>
      </w:pPr>
    </w:p>
    <w:p>
      <w:pPr>
        <w:ind w:right="220" w:firstLine="8"/>
        <w:spacing w:after="0" w:line="237" w:lineRule="auto"/>
        <w:tabs>
          <w:tab w:leader="none" w:pos="204"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02"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36" w:lineRule="exact"/>
        <w:rPr>
          <w:sz w:val="20"/>
          <w:szCs w:val="20"/>
          <w:color w:val="auto"/>
        </w:rPr>
      </w:pPr>
    </w:p>
    <w:p>
      <w:pPr>
        <w:ind w:right="60" w:firstLine="438"/>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21" w:name="page22"/>
    <w:bookmarkEnd w:id="21"/>
    <w:p>
      <w:pPr>
        <w:ind w:right="60" w:firstLine="438"/>
        <w:spacing w:after="0" w:line="231" w:lineRule="auto"/>
        <w:rPr>
          <w:sz w:val="20"/>
          <w:szCs w:val="20"/>
          <w:color w:val="auto"/>
        </w:rPr>
      </w:pPr>
      <w:r>
        <w:rPr>
          <w:rFonts w:ascii="Arial" w:cs="Arial" w:eastAsia="Arial" w:hAnsi="Arial"/>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03" w:lineRule="exact"/>
        <w:rPr>
          <w:sz w:val="20"/>
          <w:szCs w:val="20"/>
          <w:color w:val="auto"/>
        </w:rPr>
      </w:pPr>
    </w:p>
    <w:p>
      <w:pPr>
        <w:jc w:val="both"/>
        <w:ind w:right="500" w:firstLine="438"/>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136"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23"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136" w:lineRule="exact"/>
        <w:rPr>
          <w:sz w:val="20"/>
          <w:szCs w:val="20"/>
          <w:color w:val="auto"/>
        </w:rPr>
      </w:pPr>
    </w:p>
    <w:p>
      <w:pPr>
        <w:jc w:val="both"/>
        <w:ind w:right="20" w:firstLine="438"/>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136"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100" w:firstLine="438"/>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23"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2" w:name="page23"/>
    <w:bookmarkEnd w:id="22"/>
    <w:p>
      <w:pPr>
        <w:ind w:left="440"/>
        <w:spacing w:after="0"/>
        <w:rPr>
          <w:sz w:val="20"/>
          <w:szCs w:val="20"/>
          <w:color w:val="auto"/>
        </w:rPr>
      </w:pPr>
      <w:r>
        <w:rPr>
          <w:rFonts w:ascii="Arial" w:cs="Arial" w:eastAsia="Arial" w:hAnsi="Arial"/>
          <w:sz w:val="14"/>
          <w:szCs w:val="14"/>
          <w:color w:val="auto"/>
        </w:rPr>
        <w:t>These factors include the following:</w:t>
      </w:r>
    </w:p>
    <w:p>
      <w:pPr>
        <w:spacing w:after="0" w:line="123" w:lineRule="exact"/>
        <w:rPr>
          <w:sz w:val="20"/>
          <w:szCs w:val="20"/>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36" w:lineRule="exact"/>
        <w:rPr>
          <w:sz w:val="20"/>
          <w:szCs w:val="20"/>
          <w:color w:val="auto"/>
        </w:rPr>
      </w:pPr>
    </w:p>
    <w:p>
      <w:pPr>
        <w:ind w:right="200" w:firstLine="438"/>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123" w:lineRule="exact"/>
        <w:rPr>
          <w:sz w:val="20"/>
          <w:szCs w:val="20"/>
          <w:color w:val="auto"/>
        </w:rPr>
      </w:pPr>
    </w:p>
    <w:p>
      <w:pPr>
        <w:jc w:val="both"/>
        <w:ind w:right="200" w:firstLine="438"/>
        <w:spacing w:after="0" w:line="238" w:lineRule="auto"/>
        <w:rPr>
          <w:sz w:val="20"/>
          <w:szCs w:val="20"/>
          <w:color w:val="auto"/>
        </w:rPr>
      </w:pPr>
      <w:r>
        <w:rPr>
          <w:rFonts w:ascii="Arial" w:cs="Arial" w:eastAsia="Arial" w:hAnsi="Arial"/>
          <w:sz w:val="14"/>
          <w:szCs w:val="14"/>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06" w:lineRule="exact"/>
        <w:rPr>
          <w:sz w:val="20"/>
          <w:szCs w:val="20"/>
          <w:color w:val="auto"/>
        </w:rPr>
      </w:pPr>
    </w:p>
    <w:p>
      <w:pPr>
        <w:ind w:right="120" w:firstLine="438"/>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98"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3" w:name="page24"/>
    <w:bookmarkEnd w:id="23"/>
    <w:p>
      <w:pPr>
        <w:spacing w:after="0" w:line="253" w:lineRule="auto"/>
        <w:rPr>
          <w:sz w:val="20"/>
          <w:szCs w:val="20"/>
          <w:color w:val="auto"/>
        </w:rPr>
      </w:pPr>
      <w:r>
        <w:rPr>
          <w:rFonts w:ascii="Arial" w:cs="Arial" w:eastAsia="Arial" w:hAnsi="Arial"/>
          <w:sz w:val="14"/>
          <w:szCs w:val="14"/>
          <w:color w:val="auto"/>
        </w:rPr>
        <w:t>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93"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02"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7" w:lineRule="exact"/>
        <w:rPr>
          <w:sz w:val="20"/>
          <w:szCs w:val="20"/>
          <w:color w:val="auto"/>
        </w:rPr>
      </w:pPr>
    </w:p>
    <w:p>
      <w:pPr>
        <w:ind w:right="160" w:firstLine="438"/>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23"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123"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23"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intend to invest primarily in Floating Rate Loans, which may consist of first lien secured debt, second lien secured debt, subordinated debt and selected equity investments issued by U.S. middle-market companies.</w:t>
      </w:r>
    </w:p>
    <w:p>
      <w:pPr>
        <w:spacing w:after="0" w:line="106" w:lineRule="exact"/>
        <w:rPr>
          <w:sz w:val="20"/>
          <w:szCs w:val="20"/>
          <w:color w:val="auto"/>
        </w:rPr>
      </w:pPr>
    </w:p>
    <w:p>
      <w:pPr>
        <w:ind w:left="920" w:hanging="359"/>
        <w:spacing w:after="0" w:line="248" w:lineRule="auto"/>
        <w:tabs>
          <w:tab w:leader="none" w:pos="920"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Floating Rate Loans: </w:t>
      </w:r>
      <w:r>
        <w:rPr>
          <w:rFonts w:ascii="Arial" w:cs="Arial" w:eastAsia="Arial" w:hAnsi="Arial"/>
          <w:sz w:val="13"/>
          <w:szCs w:val="13"/>
          <w:color w:val="auto"/>
        </w:rPr>
        <w:t>The Floating Rate Loans we invest in are usually rated below investment grade or may also be unrated. Investments in Floating Rate Loans rated below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112" w:lineRule="exact"/>
        <w:rPr>
          <w:rFonts w:ascii="Arial" w:cs="Arial" w:eastAsia="Arial" w:hAnsi="Arial"/>
          <w:sz w:val="13"/>
          <w:szCs w:val="13"/>
          <w:color w:val="auto"/>
        </w:rPr>
      </w:pPr>
    </w:p>
    <w:p>
      <w:pPr>
        <w:ind w:left="920" w:right="20"/>
        <w:spacing w:after="0" w:line="245" w:lineRule="auto"/>
        <w:rPr>
          <w:rFonts w:ascii="Arial" w:cs="Arial" w:eastAsia="Arial" w:hAnsi="Arial"/>
          <w:sz w:val="13"/>
          <w:szCs w:val="13"/>
          <w:color w:val="auto"/>
        </w:rPr>
      </w:pPr>
      <w:r>
        <w:rPr>
          <w:rFonts w:ascii="Arial" w:cs="Arial" w:eastAsia="Arial" w:hAnsi="Arial"/>
          <w:sz w:val="13"/>
          <w:szCs w:val="13"/>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115" w:lineRule="exact"/>
        <w:rPr>
          <w:rFonts w:ascii="Arial" w:cs="Arial" w:eastAsia="Arial" w:hAnsi="Arial"/>
          <w:sz w:val="13"/>
          <w:szCs w:val="13"/>
          <w:color w:val="auto"/>
        </w:rPr>
      </w:pPr>
    </w:p>
    <w:p>
      <w:pPr>
        <w:ind w:left="920" w:right="80"/>
        <w:spacing w:after="0" w:line="226" w:lineRule="auto"/>
        <w:rPr>
          <w:rFonts w:ascii="Arial" w:cs="Arial" w:eastAsia="Arial" w:hAnsi="Arial"/>
          <w:sz w:val="13"/>
          <w:szCs w:val="13"/>
          <w:color w:val="auto"/>
        </w:rPr>
      </w:pPr>
      <w:r>
        <w:rPr>
          <w:rFonts w:ascii="Arial" w:cs="Arial" w:eastAsia="Arial" w:hAnsi="Arial"/>
          <w:sz w:val="14"/>
          <w:szCs w:val="14"/>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24" w:name="page25"/>
    <w:bookmarkEnd w:id="24"/>
    <w:p>
      <w:pPr>
        <w:ind w:left="920" w:right="220"/>
        <w:spacing w:after="0" w:line="253" w:lineRule="auto"/>
        <w:rPr>
          <w:sz w:val="20"/>
          <w:szCs w:val="20"/>
          <w:color w:val="auto"/>
        </w:rPr>
      </w:pPr>
      <w:r>
        <w:rPr>
          <w:rFonts w:ascii="Arial" w:cs="Arial" w:eastAsia="Arial" w:hAnsi="Arial"/>
          <w:sz w:val="14"/>
          <w:szCs w:val="14"/>
          <w:color w:val="auto"/>
        </w:rPr>
        <w:t>fraud risk with respect to such Floating Rate Loans than we expected when initially purchasing the participation. Floating Rate Loans can be first lien secured debt, second lien secured debt or subordinated debt.</w:t>
      </w:r>
    </w:p>
    <w:p>
      <w:pPr>
        <w:spacing w:after="0" w:line="93" w:lineRule="exact"/>
        <w:rPr>
          <w:sz w:val="20"/>
          <w:szCs w:val="20"/>
          <w:color w:val="auto"/>
        </w:rPr>
      </w:pPr>
    </w:p>
    <w:p>
      <w:pPr>
        <w:ind w:left="920" w:right="20" w:hanging="359"/>
        <w:spacing w:after="0" w:line="227"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First Lien Secured Debt: </w:t>
      </w:r>
      <w:r>
        <w:rPr>
          <w:rFonts w:ascii="Arial" w:cs="Arial" w:eastAsia="Arial" w:hAnsi="Arial"/>
          <w:sz w:val="14"/>
          <w:szCs w:val="14"/>
          <w:color w:val="auto"/>
        </w:rPr>
        <w:t>When we extend first lien secured debt, we will generally take a security interest in the available assets of these portfolio companies, including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18" w:lineRule="exact"/>
        <w:rPr>
          <w:rFonts w:ascii="Arial" w:cs="Arial" w:eastAsia="Arial" w:hAnsi="Arial"/>
          <w:sz w:val="14"/>
          <w:szCs w:val="14"/>
          <w:color w:val="auto"/>
        </w:rPr>
      </w:pPr>
    </w:p>
    <w:p>
      <w:pPr>
        <w:ind w:left="920" w:right="60" w:hanging="359"/>
        <w:spacing w:after="0" w:line="229"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Second Lien Secured Debt: </w:t>
      </w:r>
      <w:r>
        <w:rPr>
          <w:rFonts w:ascii="Arial" w:cs="Arial" w:eastAsia="Arial" w:hAnsi="Arial"/>
          <w:sz w:val="14"/>
          <w:szCs w:val="14"/>
          <w:color w:val="auto"/>
        </w:rPr>
        <w:t>Our second lien secured debt usually ranks junior in priority of payment to first lien secured debt. Second lien secured debt holds a second priority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7" w:lineRule="exact"/>
        <w:rPr>
          <w:rFonts w:ascii="Arial" w:cs="Arial" w:eastAsia="Arial" w:hAnsi="Arial"/>
          <w:sz w:val="14"/>
          <w:szCs w:val="14"/>
          <w:color w:val="auto"/>
        </w:rPr>
      </w:pPr>
    </w:p>
    <w:p>
      <w:pPr>
        <w:ind w:left="920" w:hanging="359"/>
        <w:spacing w:after="0" w:line="229"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Subordinated Debt: </w:t>
      </w:r>
      <w:r>
        <w:rPr>
          <w:rFonts w:ascii="Arial" w:cs="Arial" w:eastAsia="Arial" w:hAnsi="Arial"/>
          <w:sz w:val="14"/>
          <w:szCs w:val="14"/>
          <w:color w:val="auto"/>
        </w:rPr>
        <w:t>Our subordinated debt usually ranks junior in priority of payment to first lien secured debt and second lien secured debt, and are often unsecured. As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17" w:lineRule="exact"/>
        <w:rPr>
          <w:rFonts w:ascii="Arial" w:cs="Arial" w:eastAsia="Arial" w:hAnsi="Arial"/>
          <w:sz w:val="14"/>
          <w:szCs w:val="14"/>
          <w:color w:val="auto"/>
        </w:rPr>
      </w:pPr>
    </w:p>
    <w:p>
      <w:pPr>
        <w:ind w:left="920" w:right="60" w:hanging="359"/>
        <w:spacing w:after="0" w:line="247" w:lineRule="auto"/>
        <w:tabs>
          <w:tab w:leader="none" w:pos="920" w:val="left"/>
        </w:tabs>
        <w:numPr>
          <w:ilvl w:val="0"/>
          <w:numId w:val="3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36" w:lineRule="exact"/>
        <w:rPr>
          <w:sz w:val="20"/>
          <w:szCs w:val="20"/>
          <w:color w:val="auto"/>
        </w:rPr>
      </w:pPr>
    </w:p>
    <w:p>
      <w:pPr>
        <w:ind w:left="920" w:right="520" w:hanging="359"/>
        <w:spacing w:after="0" w:line="238"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14"/>
          <w:szCs w:val="14"/>
          <w:color w:val="auto"/>
        </w:rPr>
      </w:pPr>
    </w:p>
    <w:p>
      <w:pPr>
        <w:ind w:left="920" w:right="60" w:hanging="359"/>
        <w:spacing w:after="0" w:line="335" w:lineRule="auto"/>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60" w:lineRule="exact"/>
        <w:rPr>
          <w:rFonts w:ascii="Arial" w:cs="Arial" w:eastAsia="Arial" w:hAnsi="Arial"/>
          <w:sz w:val="12"/>
          <w:szCs w:val="12"/>
          <w:color w:val="auto"/>
        </w:rPr>
      </w:pPr>
    </w:p>
    <w:p>
      <w:pPr>
        <w:ind w:left="920" w:right="340" w:hanging="359"/>
        <w:spacing w:after="0" w:line="253"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6" w:lineRule="exact"/>
        <w:rPr>
          <w:rFonts w:ascii="Arial" w:cs="Arial" w:eastAsia="Arial" w:hAnsi="Arial"/>
          <w:sz w:val="14"/>
          <w:szCs w:val="14"/>
          <w:color w:val="auto"/>
        </w:rPr>
      </w:pPr>
    </w:p>
    <w:p>
      <w:pPr>
        <w:ind w:left="920" w:right="200" w:hanging="359"/>
        <w:spacing w:after="0" w:line="233"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17" w:lineRule="exact"/>
        <w:rPr>
          <w:rFonts w:ascii="Arial" w:cs="Arial" w:eastAsia="Arial" w:hAnsi="Arial"/>
          <w:sz w:val="14"/>
          <w:szCs w:val="14"/>
          <w:color w:val="auto"/>
        </w:rPr>
      </w:pPr>
    </w:p>
    <w:p>
      <w:pPr>
        <w:ind w:left="920" w:right="380" w:hanging="359"/>
        <w:spacing w:after="0" w:line="253"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0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04"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3"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06"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23"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6"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36" w:lineRule="exact"/>
        <w:rPr>
          <w:sz w:val="20"/>
          <w:szCs w:val="20"/>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3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116"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9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17" w:lineRule="exact"/>
        <w:rPr>
          <w:sz w:val="20"/>
          <w:szCs w:val="20"/>
          <w:color w:val="auto"/>
        </w:rPr>
      </w:pPr>
    </w:p>
    <w:p>
      <w:pPr>
        <w:ind w:right="36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6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23"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9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48"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2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7"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23" w:lineRule="exact"/>
        <w:rPr>
          <w:sz w:val="20"/>
          <w:szCs w:val="20"/>
          <w:color w:val="auto"/>
        </w:rPr>
      </w:pPr>
    </w:p>
    <w:p>
      <w:pPr>
        <w:ind w:right="20" w:firstLine="438"/>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27"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15"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15"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04"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36"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36"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23"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36"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$14.48 and $13.23 on September 30, 2017 and 2016, respectively. Our NAV per share was $14.10 and $14.06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23"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6" w:lineRule="exact"/>
        <w:rPr>
          <w:sz w:val="20"/>
          <w:szCs w:val="20"/>
          <w:color w:val="auto"/>
        </w:rPr>
      </w:pPr>
    </w:p>
    <w:p>
      <w:pPr>
        <w:ind w:left="920" w:right="60" w:hanging="359"/>
        <w:spacing w:after="0" w:line="253"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loss of our BDC or RIC status;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8" w:name="page29"/>
    <w:bookmarkEnd w:id="28"/>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35"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34"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9"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1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tabs>
          <w:tab w:leader="none" w:pos="9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As of September 30, 2017,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PART II</w:t>
      </w:r>
    </w:p>
    <w:p>
      <w:pPr>
        <w:spacing w:after="0" w:line="27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275"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declared per share since October 1, 2015.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Premium /</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Premium /</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(Discount)</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(Discount)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Closing Sale Prices</w:t>
            </w: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of High Sale</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of Low Sale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Distributions</w:t>
            </w:r>
          </w:p>
        </w:tc>
      </w:tr>
      <w:tr>
        <w:trPr>
          <w:trHeight w:val="237"/>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20"/>
                <w:szCs w:val="20"/>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Declared</w:t>
            </w:r>
          </w:p>
        </w:tc>
      </w:tr>
      <w:tr>
        <w:trPr>
          <w:trHeight w:val="155"/>
        </w:trPr>
        <w:tc>
          <w:tcPr>
            <w:tcW w:w="3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Fiscal Year Ended September 30, 2017</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CCECFF"/>
            </w:tcBorders>
            <w:shd w:val="clear" w:color="auto" w:fill="CCECFF"/>
          </w:tcPr>
          <w:p>
            <w:pPr>
              <w:spacing w:after="0"/>
              <w:rPr>
                <w:sz w:val="13"/>
                <w:szCs w:val="13"/>
                <w:color w:val="auto"/>
              </w:rPr>
            </w:pPr>
          </w:p>
        </w:tc>
        <w:tc>
          <w:tcPr>
            <w:tcW w:w="110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Fourth quarter</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14.10</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14.48</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13.96</w:t>
            </w:r>
          </w:p>
        </w:tc>
        <w:tc>
          <w:tcPr>
            <w:tcW w:w="22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1500" w:type="dxa"/>
            <w:vAlign w:val="bottom"/>
            <w:gridSpan w:val="3"/>
          </w:tcPr>
          <w:p>
            <w:pPr>
              <w:jc w:val="right"/>
              <w:ind w:right="20"/>
              <w:spacing w:after="0"/>
              <w:rPr>
                <w:sz w:val="20"/>
                <w:szCs w:val="20"/>
                <w:color w:val="auto"/>
              </w:rPr>
            </w:pPr>
            <w:r>
              <w:rPr>
                <w:rFonts w:ascii="Arial" w:cs="Arial" w:eastAsia="Arial" w:hAnsi="Arial"/>
                <w:sz w:val="14"/>
                <w:szCs w:val="14"/>
                <w:color w:val="auto"/>
              </w:rPr>
              <w:t>(1)%  $</w:t>
            </w:r>
          </w:p>
        </w:tc>
        <w:tc>
          <w:tcPr>
            <w:tcW w:w="1000" w:type="dxa"/>
            <w:vAlign w:val="bottom"/>
          </w:tcPr>
          <w:p>
            <w:pPr>
              <w:jc w:val="right"/>
              <w:spacing w:after="0"/>
              <w:rPr>
                <w:sz w:val="20"/>
                <w:szCs w:val="20"/>
                <w:color w:val="auto"/>
              </w:rPr>
            </w:pPr>
            <w:r>
              <w:rPr>
                <w:rFonts w:ascii="Arial" w:cs="Arial" w:eastAsia="Arial" w:hAnsi="Arial"/>
                <w:sz w:val="14"/>
                <w:szCs w:val="14"/>
                <w:color w:val="auto"/>
              </w:rPr>
              <w:t>0.285</w:t>
            </w:r>
          </w:p>
        </w:tc>
        <w:tc>
          <w:tcPr>
            <w:tcW w:w="120" w:type="dxa"/>
            <w:vAlign w:val="bottom"/>
          </w:tcPr>
          <w:p>
            <w:pPr>
              <w:spacing w:after="0"/>
              <w:rPr>
                <w:sz w:val="14"/>
                <w:szCs w:val="14"/>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Third quarter</w:t>
            </w:r>
          </w:p>
        </w:tc>
        <w:tc>
          <w:tcPr>
            <w:tcW w:w="1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14.05</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13.61</w:t>
            </w:r>
          </w:p>
        </w:tc>
        <w:tc>
          <w:tcPr>
            <w:tcW w:w="22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20" w:type="dxa"/>
            <w:vAlign w:val="bottom"/>
            <w:shd w:val="clear" w:color="auto" w:fill="CCECFF"/>
          </w:tcPr>
          <w:p>
            <w:pPr>
              <w:spacing w:after="0"/>
              <w:rPr>
                <w:sz w:val="14"/>
                <w:szCs w:val="14"/>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Second quarter</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13.42</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0.285</w:t>
            </w:r>
          </w:p>
        </w:tc>
        <w:tc>
          <w:tcPr>
            <w:tcW w:w="120" w:type="dxa"/>
            <w:vAlign w:val="bottom"/>
          </w:tcPr>
          <w:p>
            <w:pPr>
              <w:spacing w:after="0"/>
              <w:rPr>
                <w:sz w:val="14"/>
                <w:szCs w:val="14"/>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quarter</w:t>
            </w:r>
          </w:p>
        </w:tc>
        <w:tc>
          <w:tcPr>
            <w:tcW w:w="1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12.44</w:t>
            </w:r>
          </w:p>
        </w:tc>
        <w:tc>
          <w:tcPr>
            <w:tcW w:w="22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20" w:type="dxa"/>
            <w:vAlign w:val="bottom"/>
            <w:shd w:val="clear" w:color="auto" w:fill="CCECFF"/>
          </w:tcPr>
          <w:p>
            <w:pPr>
              <w:spacing w:after="0"/>
              <w:rPr>
                <w:sz w:val="14"/>
                <w:szCs w:val="14"/>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 September 30, 2016</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Fourth quarter</w:t>
            </w:r>
          </w:p>
        </w:tc>
        <w:tc>
          <w:tcPr>
            <w:tcW w:w="1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14.06</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13.26</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12.54</w:t>
            </w:r>
          </w:p>
        </w:tc>
        <w:tc>
          <w:tcPr>
            <w:tcW w:w="22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w:t>
            </w: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20" w:type="dxa"/>
            <w:vAlign w:val="bottom"/>
            <w:shd w:val="clear" w:color="auto" w:fill="CCECFF"/>
          </w:tcPr>
          <w:p>
            <w:pPr>
              <w:spacing w:after="0"/>
              <w:rPr>
                <w:sz w:val="14"/>
                <w:szCs w:val="14"/>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Third quarter</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11.58</w:t>
            </w:r>
          </w:p>
        </w:tc>
        <w:tc>
          <w:tcPr>
            <w:tcW w:w="2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(9)</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0.285</w:t>
            </w:r>
          </w:p>
        </w:tc>
        <w:tc>
          <w:tcPr>
            <w:tcW w:w="120" w:type="dxa"/>
            <w:vAlign w:val="bottom"/>
          </w:tcPr>
          <w:p>
            <w:pPr>
              <w:spacing w:after="0"/>
              <w:rPr>
                <w:sz w:val="14"/>
                <w:szCs w:val="14"/>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quarter</w:t>
            </w:r>
          </w:p>
        </w:tc>
        <w:tc>
          <w:tcPr>
            <w:tcW w:w="1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13.54</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10.09</w:t>
            </w:r>
          </w:p>
        </w:tc>
        <w:tc>
          <w:tcPr>
            <w:tcW w:w="22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(14)</w:t>
            </w: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20" w:type="dxa"/>
            <w:vAlign w:val="bottom"/>
            <w:shd w:val="clear" w:color="auto" w:fill="CCECFF"/>
          </w:tcPr>
          <w:p>
            <w:pPr>
              <w:spacing w:after="0"/>
              <w:rPr>
                <w:sz w:val="14"/>
                <w:szCs w:val="14"/>
                <w:color w:val="auto"/>
              </w:rPr>
            </w:pPr>
          </w:p>
        </w:tc>
      </w:tr>
      <w:tr>
        <w:trPr>
          <w:trHeight w:val="182"/>
        </w:trPr>
        <w:tc>
          <w:tcPr>
            <w:tcW w:w="3360" w:type="dxa"/>
            <w:vAlign w:val="bottom"/>
            <w:gridSpan w:val="2"/>
          </w:tcPr>
          <w:p>
            <w:pPr>
              <w:spacing w:after="0"/>
              <w:rPr>
                <w:sz w:val="20"/>
                <w:szCs w:val="20"/>
                <w:color w:val="auto"/>
              </w:rPr>
            </w:pPr>
            <w:r>
              <w:rPr>
                <w:rFonts w:ascii="Arial" w:cs="Arial" w:eastAsia="Arial" w:hAnsi="Arial"/>
                <w:sz w:val="14"/>
                <w:szCs w:val="14"/>
                <w:color w:val="auto"/>
              </w:rPr>
              <w:t>First quarter</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10.79</w:t>
            </w:r>
          </w:p>
        </w:tc>
        <w:tc>
          <w:tcPr>
            <w:tcW w:w="22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(10)</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0.285</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4" w:lineRule="exact"/>
        <w:rPr>
          <w:sz w:val="20"/>
          <w:szCs w:val="20"/>
          <w:color w:val="auto"/>
        </w:rPr>
      </w:pPr>
    </w:p>
    <w:p>
      <w:pPr>
        <w:ind w:left="380" w:right="260" w:hanging="372"/>
        <w:spacing w:after="0" w:line="230" w:lineRule="auto"/>
        <w:tabs>
          <w:tab w:leader="none" w:pos="380" w:val="left"/>
        </w:tabs>
        <w:numPr>
          <w:ilvl w:val="0"/>
          <w:numId w:val="39"/>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80" w:hanging="372"/>
        <w:spacing w:after="0"/>
        <w:tabs>
          <w:tab w:leader="none" w:pos="380" w:val="left"/>
        </w:tabs>
        <w:numPr>
          <w:ilvl w:val="0"/>
          <w:numId w:val="39"/>
        </w:numPr>
        <w:rPr>
          <w:rFonts w:ascii="Arial" w:cs="Arial" w:eastAsia="Arial" w:hAnsi="Arial"/>
          <w:sz w:val="12"/>
          <w:szCs w:val="12"/>
          <w:color w:val="auto"/>
        </w:rPr>
      </w:pPr>
      <w:r>
        <w:rPr>
          <w:rFonts w:ascii="Arial" w:cs="Arial" w:eastAsia="Arial" w:hAnsi="Arial"/>
          <w:sz w:val="14"/>
          <w:szCs w:val="14"/>
          <w:color w:val="auto"/>
        </w:rPr>
        <w:t>Calculated as the respective high or low closing sale prices less NAV per share, divided by the quarter-end NAV per share.</w:t>
      </w:r>
    </w:p>
    <w:p>
      <w:pPr>
        <w:spacing w:after="0" w:line="124"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$14.48 and $13.23 on September 30, 2017 and 2016, respectively. Our NAV per share was $14.10 and $14.06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30, 2017, we had 40 stockholders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repurchase any of our common stock under our share repurchase plan during the year ended September 30, 2017.</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4"/>
          <w:szCs w:val="14"/>
          <w:b w:val="1"/>
          <w:bCs w:val="1"/>
          <w:color w:val="auto"/>
        </w:rPr>
        <w:t>DISTRIBUTIONS</w:t>
      </w:r>
    </w:p>
    <w:p>
      <w:pPr>
        <w:spacing w:after="0" w:line="275"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that we have declared on our common stock in the last two fiscal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2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Payment Dates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7140" w:type="dxa"/>
            <w:vAlign w:val="bottom"/>
            <w:gridSpan w:val="2"/>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56"/>
        </w:trPr>
        <w:tc>
          <w:tcPr>
            <w:tcW w:w="69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Fiscal Year Ended September 30, 2017</w:t>
            </w:r>
          </w:p>
        </w:tc>
        <w:tc>
          <w:tcPr>
            <w:tcW w:w="200" w:type="dxa"/>
            <w:vAlign w:val="bottom"/>
            <w:tcBorders>
              <w:top w:val="single" w:sz="8" w:color="CCECFF"/>
            </w:tcBorders>
            <w:shd w:val="clear" w:color="auto" w:fill="CCECFF"/>
          </w:tcPr>
          <w:p>
            <w:pPr>
              <w:spacing w:after="0"/>
              <w:rPr>
                <w:sz w:val="13"/>
                <w:szCs w:val="13"/>
                <w:color w:val="auto"/>
              </w:rPr>
            </w:pPr>
          </w:p>
        </w:tc>
        <w:tc>
          <w:tcPr>
            <w:tcW w:w="19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September 20,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October 2, 2017</w:t>
            </w:r>
          </w:p>
        </w:tc>
        <w:tc>
          <w:tcPr>
            <w:tcW w:w="300" w:type="dxa"/>
            <w:vAlign w:val="bottom"/>
            <w:gridSpan w:val="2"/>
          </w:tcPr>
          <w:p>
            <w:pPr>
              <w:jc w:val="right"/>
              <w:ind w:right="16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August 18,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0"/>
              </w:rPr>
              <w:t>September 1,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July 20,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August 1,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June 21,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5"/>
              </w:rPr>
              <w:t>July 3,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May 19,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June 1,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April 19,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May 1,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March 22,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April 3,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February 17, 2017</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March 1,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January 20, 2017</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February 1, 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December 22, 2016</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1"/>
              </w:rPr>
              <w:t>January 3, 2017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November 18, 2016</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December 1, 2016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October 20, 2016</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November 1, 2016</w:t>
            </w: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4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w:t>
            </w:r>
          </w:p>
        </w:tc>
        <w:tc>
          <w:tcPr>
            <w:tcW w:w="1940" w:type="dxa"/>
            <w:vAlign w:val="bottom"/>
            <w:tcBorders>
              <w:bottom w:val="single" w:sz="8" w:color="CCECFF"/>
            </w:tcBorders>
          </w:tcPr>
          <w:p>
            <w:pPr>
              <w:spacing w:after="0"/>
              <w:rPr>
                <w:sz w:val="17"/>
                <w:szCs w:val="17"/>
                <w:color w:val="auto"/>
              </w:rPr>
            </w:pPr>
          </w:p>
        </w:tc>
        <w:tc>
          <w:tcPr>
            <w:tcW w:w="20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1.140</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14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Fiscal Year Ended September 30, 2016</w:t>
            </w:r>
          </w:p>
        </w:tc>
        <w:tc>
          <w:tcPr>
            <w:tcW w:w="19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September 21, 2016</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October 3, 2016</w:t>
            </w:r>
          </w:p>
        </w:tc>
        <w:tc>
          <w:tcPr>
            <w:tcW w:w="300" w:type="dxa"/>
            <w:vAlign w:val="bottom"/>
            <w:gridSpan w:val="2"/>
          </w:tcPr>
          <w:p>
            <w:pPr>
              <w:jc w:val="right"/>
              <w:ind w:right="16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August 19, 2016</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0"/>
              </w:rPr>
              <w:t>September 1, 2016</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July 20, 2016</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August 1, 2016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June 20, 2016</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5"/>
              </w:rPr>
              <w:t>July 1, 2016</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May 20, 2016</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June 1, 2016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April 20, 2016</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May 2, 2016</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March 18, 2016</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April 1, 2016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February 18, 2016</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March 1, 2016</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January 20, 2016</w:t>
            </w:r>
          </w:p>
        </w:tc>
        <w:tc>
          <w:tcPr>
            <w:tcW w:w="2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February 1, 2016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December 24, 2015</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1"/>
              </w:rPr>
              <w:t>January 4, 2016</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500"/>
              <w:spacing w:after="0"/>
              <w:rPr>
                <w:sz w:val="20"/>
                <w:szCs w:val="20"/>
                <w:color w:val="auto"/>
              </w:rPr>
            </w:pPr>
            <w:r>
              <w:rPr>
                <w:rFonts w:ascii="Arial" w:cs="Arial" w:eastAsia="Arial" w:hAnsi="Arial"/>
                <w:sz w:val="14"/>
                <w:szCs w:val="14"/>
                <w:color w:val="auto"/>
              </w:rPr>
              <w:t>November 19, 2015</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December 1, 2015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October 21, 2015</w:t>
            </w:r>
          </w:p>
        </w:tc>
        <w:tc>
          <w:tcPr>
            <w:tcW w:w="2140" w:type="dxa"/>
            <w:vAlign w:val="bottom"/>
            <w:gridSpan w:val="2"/>
            <w:shd w:val="clear" w:color="auto" w:fill="CCECFF"/>
          </w:tcPr>
          <w:p>
            <w:pPr>
              <w:jc w:val="center"/>
              <w:ind w:right="220"/>
              <w:spacing w:after="0"/>
              <w:rPr>
                <w:sz w:val="20"/>
                <w:szCs w:val="20"/>
                <w:color w:val="auto"/>
              </w:rPr>
            </w:pPr>
            <w:r>
              <w:rPr>
                <w:rFonts w:ascii="Arial" w:cs="Arial" w:eastAsia="Arial" w:hAnsi="Arial"/>
                <w:sz w:val="14"/>
                <w:szCs w:val="14"/>
                <w:color w:val="auto"/>
                <w:w w:val="93"/>
              </w:rPr>
              <w:t>November 2, 2015</w:t>
            </w: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w:t>
            </w: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In January 2018, a Form 1099-DIV will be sent to stockholders subject to information reporting that will state the amount and composition of distributions and provide information with respect to appropriate tax treatment of our distributions.</w:t>
      </w:r>
    </w:p>
    <w:p>
      <w:pPr>
        <w:spacing w:after="0" w:line="106" w:lineRule="exact"/>
        <w:rPr>
          <w:sz w:val="20"/>
          <w:szCs w:val="20"/>
          <w:color w:val="auto"/>
        </w:rPr>
      </w:pPr>
    </w:p>
    <w:p>
      <w:pPr>
        <w:jc w:val="both"/>
        <w:ind w:right="380" w:firstLine="438"/>
        <w:spacing w:after="0" w:line="238"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fiscal years ended September 30, 2017 and 2016 from ordinary income (including short-term gains), if any, totaled $34.8 million and $30.5 million, or $1.15 and $1.14 per share, respectively, based on the weighted average shares outstanding for the respective periods.</w:t>
      </w:r>
    </w:p>
    <w:p>
      <w:pPr>
        <w:spacing w:after="0" w:line="102"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8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23"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2012,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75565</wp:posOffset>
            </wp:positionV>
            <wp:extent cx="6103620" cy="3197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0362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80" w:firstLine="438"/>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69" w:right="419" w:bottom="1440" w:gutter="0" w:footer="0" w:header="0"/>
        </w:sectPr>
      </w:pPr>
    </w:p>
    <w:bookmarkStart w:id="33" w:name="page34"/>
    <w:bookmarkEnd w:id="33"/>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39"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September 30,</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5"/>
        </w:trPr>
        <w:tc>
          <w:tcPr>
            <w:tcW w:w="50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CFF"/>
            </w:tcBorders>
          </w:tcPr>
          <w:p>
            <w:pPr>
              <w:spacing w:after="0"/>
              <w:rPr>
                <w:sz w:val="13"/>
                <w:szCs w:val="13"/>
                <w:color w:val="auto"/>
              </w:rPr>
            </w:pPr>
          </w:p>
        </w:tc>
      </w:tr>
      <w:tr>
        <w:trPr>
          <w:trHeight w:val="156"/>
        </w:trPr>
        <w:tc>
          <w:tcPr>
            <w:tcW w:w="50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Total investment income</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59,497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46,301</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30,355</w:t>
            </w: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30,357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18,867</w:t>
            </w: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Total expenses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26,052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18,965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12,695</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8,344</w:t>
            </w: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Net investment income</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27,336</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17,660</w:t>
            </w: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16,636</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10,523</w:t>
            </w: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Net realized and unrealized gain (loss)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6,153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(5,156)</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3,878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1,461</w:t>
            </w: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36,325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33,489</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12,504</w:t>
            </w: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20,514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11,985</w:t>
            </w: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Net asset value</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14.06</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13.95</w:t>
            </w: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w:t>
            </w: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(0.31)</w:t>
            </w: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0.15</w:t>
            </w: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0.77</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(1), (2)</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w:t>
            </w: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b w:val="1"/>
                <w:bCs w:val="1"/>
                <w:color w:val="auto"/>
              </w:rPr>
              <w:t>Consolidated Statements of Assets and Liabilities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747,345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631,420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416,120</w:t>
            </w: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372,874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328,802</w:t>
            </w: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Total investment portfolio</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710,499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598,888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391,312</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348,428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317,804</w:t>
            </w: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Credit Facility payable </w:t>
            </w:r>
            <w:r>
              <w:rPr>
                <w:rFonts w:ascii="Arial" w:cs="Arial" w:eastAsia="Arial" w:hAnsi="Arial"/>
                <w:sz w:val="12"/>
                <w:szCs w:val="12"/>
                <w:color w:val="auto"/>
              </w:rPr>
              <w:t>(3)</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256,858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232,389</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29,600</w:t>
            </w: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146,949</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99,600</w:t>
            </w: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Total net asset value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457,906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375,907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372,890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214,528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210,066</w:t>
            </w:r>
          </w:p>
        </w:tc>
        <w:tc>
          <w:tcPr>
            <w:tcW w:w="140" w:type="dxa"/>
            <w:vAlign w:val="bottom"/>
          </w:tcPr>
          <w:p>
            <w:pPr>
              <w:spacing w:after="0"/>
              <w:rPr>
                <w:sz w:val="14"/>
                <w:szCs w:val="14"/>
                <w:color w:val="auto"/>
              </w:rPr>
            </w:pP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Other data:</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(4)</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18.71%</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21.77%</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(6.01)%</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8.05%</w:t>
            </w:r>
          </w:p>
        </w:tc>
        <w:tc>
          <w:tcPr>
            <w:tcW w:w="2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17.17%</w:t>
            </w:r>
          </w:p>
        </w:tc>
      </w:tr>
      <w:tr>
        <w:trPr>
          <w:trHeight w:val="162"/>
        </w:trPr>
        <w:tc>
          <w:tcPr>
            <w:tcW w:w="5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(5)</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w:t>
            </w:r>
          </w:p>
        </w:tc>
        <w:tc>
          <w:tcPr>
            <w:tcW w:w="3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CFF"/>
          </w:tcPr>
          <w:p>
            <w:pPr>
              <w:spacing w:after="0"/>
              <w:rPr>
                <w:sz w:val="14"/>
                <w:szCs w:val="14"/>
                <w:color w:val="auto"/>
              </w:rPr>
            </w:pPr>
          </w:p>
        </w:tc>
      </w:tr>
      <w:tr>
        <w:trPr>
          <w:trHeight w:val="182"/>
        </w:trPr>
        <w:tc>
          <w:tcPr>
            <w:tcW w:w="508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(5)</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7.8%</w:t>
            </w:r>
          </w:p>
        </w:tc>
        <w:tc>
          <w:tcPr>
            <w:tcW w:w="2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7.9%</w:t>
            </w:r>
          </w:p>
        </w:tc>
        <w:tc>
          <w:tcPr>
            <w:tcW w:w="3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3"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00" w:hanging="372"/>
        <w:spacing w:after="0" w:line="221" w:lineRule="auto"/>
        <w:tabs>
          <w:tab w:leader="none" w:pos="3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ind w:left="380" w:hanging="372"/>
        <w:spacing w:after="0" w:line="221" w:lineRule="auto"/>
        <w:tabs>
          <w:tab w:leader="none" w:pos="3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At fair value.</w:t>
      </w:r>
    </w:p>
    <w:p>
      <w:pPr>
        <w:ind w:left="380" w:hanging="372"/>
        <w:spacing w:after="0" w:line="221" w:lineRule="auto"/>
        <w:tabs>
          <w:tab w:leader="none" w:pos="3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80" w:hanging="372"/>
        <w:spacing w:after="0"/>
        <w:tabs>
          <w:tab w:leader="none" w:pos="3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tabs>
          <w:tab w:leader="none" w:pos="9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4"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98"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ind w:right="1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23"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117" w:lineRule="exact"/>
        <w:rPr>
          <w:sz w:val="20"/>
          <w:szCs w:val="20"/>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40" w:hanging="359"/>
        <w:spacing w:after="0" w:line="264" w:lineRule="auto"/>
        <w:tabs>
          <w:tab w:leader="none" w:pos="9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27" w:lineRule="exact"/>
        <w:rPr>
          <w:sz w:val="20"/>
          <w:szCs w:val="20"/>
          <w:color w:val="auto"/>
        </w:rPr>
      </w:pPr>
    </w:p>
    <w:p>
      <w:pPr>
        <w:ind w:right="320" w:firstLine="438"/>
        <w:spacing w:after="0" w:line="238" w:lineRule="auto"/>
        <w:rPr>
          <w:sz w:val="20"/>
          <w:szCs w:val="20"/>
          <w:color w:val="auto"/>
        </w:rPr>
      </w:pPr>
      <w:r>
        <w:rPr>
          <w:rFonts w:ascii="Arial" w:cs="Arial" w:eastAsia="Arial" w:hAnsi="Arial"/>
          <w:sz w:val="14"/>
          <w:szCs w:val="14"/>
          <w:color w:val="auto"/>
        </w:rPr>
        <w:t>As of September 30, 2017, our portfolio totaled $710.5 million and consisted of $609.7 million of first lien secured debt, $37.8 million of second lien secured debt, $37.5 million of subordinated debt (including $30.1 million in PSSL) and $25.5 million of preferred and common equity (including $13.4 million in PSSL). Our debt portfolio consisted of 99% variable-rate investments (including 7% where LIBOR was below the floor) and 1% fixed-rate investments. As of September 30, 2017, we had one company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36" w:name="page37"/>
    <w:bookmarkEnd w:id="36"/>
    <w:p>
      <w:pPr>
        <w:ind w:right="100"/>
        <w:spacing w:after="0" w:line="233" w:lineRule="auto"/>
        <w:rPr>
          <w:sz w:val="20"/>
          <w:szCs w:val="20"/>
          <w:color w:val="auto"/>
        </w:rPr>
      </w:pPr>
      <w:r>
        <w:rPr>
          <w:rFonts w:ascii="Arial" w:cs="Arial" w:eastAsia="Arial" w:hAnsi="Arial"/>
          <w:sz w:val="14"/>
          <w:szCs w:val="14"/>
          <w:color w:val="auto"/>
        </w:rPr>
        <w:t>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(including 4% in PSSL) and 4% in preferred and common equity (including 2% in PSSL). As of September 30, 2017, all of the investments held in PSSL were first lien secured debt.</w:t>
      </w:r>
    </w:p>
    <w:p>
      <w:pPr>
        <w:spacing w:after="0" w:line="104" w:lineRule="exact"/>
        <w:rPr>
          <w:sz w:val="20"/>
          <w:szCs w:val="20"/>
          <w:color w:val="auto"/>
        </w:rPr>
      </w:pPr>
    </w:p>
    <w:p>
      <w:pPr>
        <w:ind w:right="140" w:firstLine="438"/>
        <w:spacing w:after="0" w:line="251" w:lineRule="auto"/>
        <w:rPr>
          <w:sz w:val="20"/>
          <w:szCs w:val="20"/>
          <w:color w:val="auto"/>
        </w:rPr>
      </w:pPr>
      <w:r>
        <w:rPr>
          <w:rFonts w:ascii="Arial" w:cs="Arial" w:eastAsia="Arial" w:hAnsi="Arial"/>
          <w:sz w:val="13"/>
          <w:szCs w:val="13"/>
          <w:color w:val="auto"/>
        </w:rPr>
        <w:t>As of September 30, 2016, our portfolio totaled $598.9 million and consisted of $548.4 million of first lien secured debt, $36.6 million of second lien secured debt, $3.2 million of subordinated debt and $10.7 million of preferred and common equity. Our debt portfolio consisted of 99% variable-rate investments (including 94% where LIBOR was below the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first lien secured debt, 6% in second lien secured debt and 2% in subordinated debt, preferred and common equity.</w:t>
      </w:r>
    </w:p>
    <w:p>
      <w:pPr>
        <w:spacing w:after="0" w:line="109"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For the fiscal year ended September 30, 2017, we invested $508.9 million of investments in 29 new and 49 existing portfolio companies with a weighted average yield on debt investments of 7.7%. Sales and repayments of investments for the year ended September 30, 2017 totaled $406.5 million.</w:t>
      </w:r>
    </w:p>
    <w:p>
      <w:pPr>
        <w:spacing w:after="0" w:line="10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93"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Our portfolio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3" w:lineRule="exact"/>
        <w:rPr>
          <w:sz w:val="20"/>
          <w:szCs w:val="20"/>
          <w:color w:val="auto"/>
        </w:rPr>
      </w:pPr>
    </w:p>
    <w:p>
      <w:pPr>
        <w:ind w:left="920" w:right="20" w:hanging="359"/>
        <w:spacing w:after="0" w:line="253" w:lineRule="auto"/>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00" w:hanging="359"/>
        <w:spacing w:after="0" w:line="238" w:lineRule="auto"/>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6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2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7" w:name="page38"/>
    <w:bookmarkEnd w:id="37"/>
    <w:p>
      <w:pPr>
        <w:ind w:left="1380" w:right="280" w:hanging="809"/>
        <w:spacing w:after="0" w:line="289"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5"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2" w:lineRule="exact"/>
        <w:rPr>
          <w:sz w:val="20"/>
          <w:szCs w:val="20"/>
          <w:color w:val="auto"/>
        </w:rPr>
      </w:pPr>
    </w:p>
    <w:p>
      <w:pPr>
        <w:ind w:right="520" w:firstLine="438"/>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4" w:lineRule="exact"/>
        <w:rPr>
          <w:sz w:val="20"/>
          <w:szCs w:val="20"/>
          <w:color w:val="auto"/>
        </w:rPr>
      </w:pPr>
    </w:p>
    <w:p>
      <w:pPr>
        <w:ind w:right="10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$0.1 million, $0.9 million and $2.3 million, relating to amendment fees on the Credit Facility during the years ended September 30, 2017, 2016 and 2015,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2017, 2016 and 2015, our Credit Facility had a net change in unrealized (appreciation) depreciation of $(3.6) million, $0.5 million and $0.5 million, respectively. As of September 30, 2017 and 2016, the net unrealized (appreciation) depreciation on our Credit Facility totaled $(3.1)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3"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Credit Facility during the reporting period, including any reversal of previously recorded unrealized appreciation or depreciation, when gains or losses are realized.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have not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2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7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fiscal years ended September 30, 2017, 2016 and 2015.</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Investment income for the fiscal year ended September 30, 2017 was $59.5 million (including $4.6 million from a litigation settlement related to a former portfolio company of MCG, which is not expected to be recurring) and was attributable to $50.0 million from first lien secured debt, $4.0 million from second lien secured debt and $0.9 million from subordinated debt. The increase in investment income over the prior year was primarily due to the growth of our portfolio.</w:t>
      </w:r>
    </w:p>
    <w:p>
      <w:pPr>
        <w:spacing w:after="0" w:line="115"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Investment income for the fiscal year ended September 30, 2016 was $46.3 million (including $3.3 million from a litigation settlement related to a former portfolio company of MCG, which is not expected to be recurring) and was attributable to $33.1 million from first lien secured debt, $6.1 million from second lien secured debt and $3.8 million from subordinated debt. The increase in investment income over the prior year was primarily due to the growth of our portfolio.</w:t>
      </w:r>
    </w:p>
    <w:p>
      <w:pPr>
        <w:spacing w:after="0" w:line="102"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Investment income for the fiscal year ended September 30, 2015 was $30.4 million and was attributable to $23.5 million from first lien secured debt, $5.7 million from second lien secured debt and $1.2 million from subordinated debt.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Expenses for the fiscal year ended September 30, 2017 totaled $26.1 million. Base management fee for the same period totaled $6.9 million, incentive fee totaled $6.2 million (including $0.1 million on realized gains and $1.2 million on net unrealized gains accrued but not payable), Credit Facility expenses totaled $8.5 million (including $0.1 million of Credit Facility amendment expenses), general and administrative expenses totaled $4.2 million and provision for taxes totaled $0.3 million. The increase in expenses over the prior year was primarily due to increases in base management and incentive fees as a result from the growth of our portfolio.</w:t>
      </w:r>
    </w:p>
    <w:p>
      <w:pPr>
        <w:spacing w:after="0" w:line="10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117"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2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Net investment income totaled $33.4 million or $1.10 per share, $27.3 million or $1.02 per share and $17.7 million or $1.08 per share, for the fiscal years ended September 30, 2017, 2016 and 2015, respectively. The increase in net investment income compared to the prior year was primarily due to the growth of our portfolio.</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Sales and repayments of investments for the fiscal years ended September 30, 2017, 2016 and 2015 totaled $406.5 million, $164.2 million and $195.0 million, respectively. Net realized gains (losses) totaled $5.4 million, $(1.4) million and $0.4 million for the same periods, respectively. The change in realized gains/losses was primarily due to changes in the market conditions of our investments and the values at which they were realized.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For the fiscal years ended September 30, 2017, 2016 and 2015, we reported unrealized appreciation (depreciation) on investments of $1.1 million, $7.0 million and $(6.1) million, respectively. As of September 30, 2017 and 2016, net unrealized appreciation on investments totaled $2.0 million and $1.0 million, respectively. The net change in unrealized appreciation (depreciation) on our investments for fiscal year ended September 30, 2017 compared to the prior year was driven primarily by changes in the capital market conditions, financial performance of certain portfolio companies, and the reversal of unrealized depreciation (appreciation) of investments sold.</w:t>
      </w:r>
    </w:p>
    <w:p>
      <w:pPr>
        <w:spacing w:after="0" w:line="104"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For the fiscal years ended September 30, 2017, 2016 and 2015, our Credit Facility had a change in unrealized (appreciation) depreciation of $(3.6) million, $0.5 million and $0.5 million, respectively. As of September 30, 2017 and 2016, net unrealized (appreciation) depreciation on our Credit Facility totaled $(3.1) million and $0.5 million, respectively. The change for fiscal year ended September 30, 2017 compared to the prior year was due to changes in the capital markets.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Net change in net assets resulting from operations totaled $36.3 million or $1.20 per share, $33.5 million or $1.25 per share and $12.5 million or $0.77 per share, for the fiscal years ended September 30, 2017, 2016 and 2015, respectively. The dollar increase in the net change in net assets from operations for fiscal year ended September 30, 2017 compared to the prior year reflects the change in portfolio investment valuation during the reporting period.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jc w:val="both"/>
        <w:ind w:right="40" w:firstLine="438"/>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01"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Funding I’s multi-currency Credit Facility with the Lenders was $375 million as of September 30, 2017,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2017 and 2016, Funding I had $253.8 million and $232.9 million of outstanding borrowings under the Credit Facility, respectively. The Credit Facility had a weighted average interest rate of 3.18% and 2.57%, exclusive of the fee on undrawn commitments as of September 30, 2017 and 2016, respectively.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9" w:name="page40"/>
    <w:bookmarkEnd w:id="39"/>
    <w:p>
      <w:pPr>
        <w:jc w:val="both"/>
        <w:ind w:right="260"/>
        <w:spacing w:after="0" w:line="238" w:lineRule="auto"/>
        <w:rPr>
          <w:sz w:val="20"/>
          <w:szCs w:val="20"/>
          <w:color w:val="auto"/>
        </w:rPr>
      </w:pPr>
      <w:r>
        <w:rPr>
          <w:rFonts w:ascii="Arial" w:cs="Arial" w:eastAsia="Arial" w:hAnsi="Arial"/>
          <w:sz w:val="14"/>
          <w:szCs w:val="14"/>
          <w:color w:val="auto"/>
        </w:rPr>
        <w:t>The annualized weighted average cost of debt for the fiscal years ended September 30, 2017, 2016 and 2015, inclusive of the fee on the undrawn commitment of 0.375% on the Credit Facility and amendment costs, was 3.14%, 4.16% and 4.48%, respectively. As of September 30, 2017 and 2016, we had $121.2 million and $117.1 million of unused borrowing capacity under our Credit Facility, respectively, subject to regulatory restrictions.</w:t>
      </w:r>
    </w:p>
    <w:p>
      <w:pPr>
        <w:spacing w:after="0" w:line="102" w:lineRule="exact"/>
        <w:rPr>
          <w:sz w:val="20"/>
          <w:szCs w:val="20"/>
          <w:color w:val="auto"/>
        </w:rPr>
      </w:pPr>
    </w:p>
    <w:p>
      <w:pPr>
        <w:ind w:right="14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2017, we were in compliance with the covenants relating to our Credit Facility.</w:t>
      </w:r>
    </w:p>
    <w:p>
      <w:pPr>
        <w:spacing w:after="0" w:line="11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02"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2017, 2016 and 2015, we issued 5.8 million, zero and 11.8 million shares, respectively. As a result, we raised approximately $81.0 million, zero and $164.7 million in gross proceeds from issuances of our equity capital.</w:t>
      </w:r>
    </w:p>
    <w:p>
      <w:pPr>
        <w:spacing w:after="0" w:line="116"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On September 30, 2017 and 2016, we had cash equivalents of $18.9 million and $28.9 million, respectively, available for investing and general corporate purposes. We believe our liquidity and capital resources are sufficient to take advantage of market opportunities.</w:t>
      </w:r>
    </w:p>
    <w:p>
      <w:pPr>
        <w:spacing w:after="0" w:line="93"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Our operating activities used cash of $76.7 million for the year ended September 30, 2017, and our financing activities provided cash of $67.1 million for the same period. Our operating activities used cash primarily for our investment activities and our financing activities provided cash primarily from our February 2017 equity offering and net borrowings under the Credit Facility.</w:t>
      </w:r>
    </w:p>
    <w:p>
      <w:pPr>
        <w:spacing w:after="0" w:line="115" w:lineRule="exact"/>
        <w:rPr>
          <w:sz w:val="20"/>
          <w:szCs w:val="20"/>
          <w:color w:val="auto"/>
        </w:rPr>
      </w:pPr>
    </w:p>
    <w:p>
      <w:pPr>
        <w:ind w:right="600" w:firstLine="438"/>
        <w:spacing w:after="0" w:line="290" w:lineRule="auto"/>
        <w:rPr>
          <w:sz w:val="20"/>
          <w:szCs w:val="20"/>
          <w:color w:val="auto"/>
        </w:rPr>
      </w:pPr>
      <w:r>
        <w:rPr>
          <w:rFonts w:ascii="Arial" w:cs="Arial" w:eastAsia="Arial" w:hAnsi="Arial"/>
          <w:sz w:val="13"/>
          <w:szCs w:val="13"/>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84"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27"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2017, PSSL had total assets of $103.8 million. As of the same date, we and Kemper had remaining commitments to fund subordinated notes and equity interests in PSSL in an aggregate of $50.9 million. PSSL’s portfolio consisted of debt investments in 18 portfolio companies as of September 30, 2017. As of September 30, 2017, at fair value, the largest investment in a single portfolio company in PSSL was $8.1 million and the five largest investments totaled $34.9 million. PSSL invests in portfolio companies in the same industries in which we may directly invest.</w:t>
      </w:r>
    </w:p>
    <w:p>
      <w:pPr>
        <w:spacing w:after="0" w:line="11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16"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04"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September 30, 2017 allowed PSSL Subsidiary to borrow up to $100.0 million at any one time outstanding,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4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99,994,314</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42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456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8,080,000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4560" w:type="dxa"/>
            <w:vAlign w:val="bottom"/>
            <w:gridSpan w:val="2"/>
            <w:shd w:val="clear" w:color="auto" w:fill="CCECFF"/>
          </w:tcPr>
          <w:p>
            <w:pPr>
              <w:jc w:val="right"/>
              <w:ind w:right="169"/>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34,935,330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580" w:type="dxa"/>
            <w:vAlign w:val="bottom"/>
          </w:tcPr>
          <w:p>
            <w:pPr>
              <w:spacing w:after="0"/>
              <w:rPr>
                <w:sz w:val="24"/>
                <w:szCs w:val="24"/>
                <w:color w:val="auto"/>
              </w:rPr>
            </w:pPr>
          </w:p>
        </w:tc>
        <w:tc>
          <w:tcPr>
            <w:tcW w:w="4280" w:type="dxa"/>
            <w:vAlign w:val="bottom"/>
          </w:tcPr>
          <w:p>
            <w:pPr>
              <w:jc w:val="right"/>
              <w:ind w:right="3088"/>
              <w:spacing w:after="0"/>
              <w:rPr>
                <w:sz w:val="20"/>
                <w:szCs w:val="20"/>
                <w:color w:val="auto"/>
              </w:rPr>
            </w:pPr>
            <w:r>
              <w:rPr>
                <w:rFonts w:ascii="Arial" w:cs="Arial" w:eastAsia="Arial" w:hAnsi="Arial"/>
                <w:sz w:val="14"/>
                <w:szCs w:val="14"/>
                <w:color w:val="auto"/>
              </w:rPr>
              <w:t>38</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40" w:name="page41"/>
    <w:bookmarkEnd w:id="40"/>
    <w:p>
      <w:pPr>
        <w:ind w:left="44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560" w:type="dxa"/>
            <w:vAlign w:val="bottom"/>
          </w:tcPr>
          <w:p>
            <w:pPr>
              <w:jc w:val="right"/>
              <w:ind w:right="202"/>
              <w:spacing w:after="0"/>
              <w:rPr>
                <w:sz w:val="20"/>
                <w:szCs w:val="20"/>
                <w:color w:val="auto"/>
              </w:rPr>
            </w:pPr>
            <w:r>
              <w:rPr>
                <w:rFonts w:ascii="Arial" w:cs="Arial" w:eastAsia="Arial" w:hAnsi="Arial"/>
                <w:sz w:val="12"/>
                <w:szCs w:val="12"/>
                <w:b w:val="1"/>
                <w:bCs w:val="1"/>
                <w:color w:val="auto"/>
              </w:rPr>
              <w:t>Par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Companies—651.7%</w:t>
            </w:r>
          </w:p>
        </w:tc>
        <w:tc>
          <w:tcPr>
            <w:tcW w:w="25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Debt—651.7%</w:t>
            </w:r>
          </w:p>
        </w:tc>
        <w:tc>
          <w:tcPr>
            <w:tcW w:w="1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04/04/2022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08/01/2024</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04/22/2022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05/16/2022</w:t>
            </w: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11/29/2023</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03/31/2023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10/31/2024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12/09/2020</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09/30/2022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10/12/2021</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12/30/2021</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05/01/2023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09/28/2022</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02/10/2023</w:t>
            </w: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03/03/2022</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07/19/2021</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12/02/2021</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03/01/2023</w:t>
            </w:r>
          </w:p>
        </w:tc>
        <w:tc>
          <w:tcPr>
            <w:tcW w:w="266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920" w:type="dxa"/>
            <w:vAlign w:val="bottom"/>
            <w:tcBorders>
              <w:bottom w:val="single" w:sz="8" w:color="CCECFF"/>
            </w:tcBorders>
            <w:gridSpan w:val="2"/>
          </w:tcPr>
          <w:p>
            <w:pPr>
              <w:ind w:left="48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6"/>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18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18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1180" w:type="dxa"/>
            <w:vAlign w:val="bottom"/>
            <w:tcBorders>
              <w:bottom w:val="single" w:sz="8" w:color="CCECFF"/>
            </w:tcBorders>
            <w:shd w:val="clear" w:color="auto" w:fill="CCECFF"/>
          </w:tcPr>
          <w:p>
            <w:pPr>
              <w:spacing w:after="0"/>
              <w:rPr>
                <w:sz w:val="12"/>
                <w:szCs w:val="12"/>
                <w:color w:val="auto"/>
              </w:rPr>
            </w:pPr>
          </w:p>
        </w:tc>
        <w:tc>
          <w:tcPr>
            <w:tcW w:w="2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6"/>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CFF"/>
            </w:tcBorders>
          </w:tcPr>
          <w:p>
            <w:pPr>
              <w:spacing w:after="0" w:line="20" w:lineRule="exact"/>
              <w:rPr>
                <w:sz w:val="1"/>
                <w:szCs w:val="1"/>
                <w:color w:val="auto"/>
              </w:rPr>
            </w:pPr>
          </w:p>
        </w:tc>
        <w:tc>
          <w:tcPr>
            <w:tcW w:w="1180" w:type="dxa"/>
            <w:vAlign w:val="bottom"/>
            <w:tcBorders>
              <w:top w:val="single" w:sz="8" w:color="CCECFF"/>
            </w:tcBorders>
          </w:tcPr>
          <w:p>
            <w:pPr>
              <w:spacing w:after="0" w:line="20" w:lineRule="exact"/>
              <w:rPr>
                <w:sz w:val="1"/>
                <w:szCs w:val="1"/>
                <w:color w:val="auto"/>
              </w:rPr>
            </w:pPr>
          </w:p>
        </w:tc>
        <w:tc>
          <w:tcPr>
            <w:tcW w:w="25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6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54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20" w:type="dxa"/>
            <w:vAlign w:val="bottom"/>
          </w:tcPr>
          <w:p>
            <w:pPr>
              <w:jc w:val="center"/>
              <w:ind w:left="118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20" w:type="dxa"/>
            <w:vAlign w:val="bottom"/>
          </w:tcPr>
          <w:p>
            <w:pPr>
              <w:jc w:val="center"/>
              <w:ind w:left="1188"/>
              <w:spacing w:after="0"/>
              <w:rPr>
                <w:sz w:val="20"/>
                <w:szCs w:val="20"/>
                <w:color w:val="auto"/>
              </w:rPr>
            </w:pPr>
            <w:r>
              <w:rPr>
                <w:rFonts w:ascii="Arial" w:cs="Arial" w:eastAsia="Arial" w:hAnsi="Arial"/>
                <w:sz w:val="14"/>
                <w:szCs w:val="14"/>
                <w:b w:val="1"/>
                <w:bCs w:val="1"/>
                <w:color w:val="auto"/>
                <w:w w:val="91"/>
              </w:rPr>
              <w:t>Statement of Assets and Liabilities</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6"/>
        </w:trPr>
        <w:tc>
          <w:tcPr>
            <w:tcW w:w="774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CCECFF"/>
            </w:tcBorders>
            <w:shd w:val="clear" w:color="auto" w:fill="CCECFF"/>
          </w:tcPr>
          <w:p>
            <w:pPr>
              <w:spacing w:after="0"/>
              <w:rPr>
                <w:sz w:val="13"/>
                <w:szCs w:val="13"/>
                <w:color w:val="auto"/>
              </w:rPr>
            </w:pPr>
          </w:p>
        </w:tc>
        <w:tc>
          <w:tcPr>
            <w:tcW w:w="8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spacing w:after="0"/>
              <w:rPr>
                <w:sz w:val="13"/>
                <w:szCs w:val="13"/>
                <w:color w:val="auto"/>
              </w:rPr>
            </w:pPr>
          </w:p>
        </w:tc>
        <w:tc>
          <w:tcPr>
            <w:tcW w:w="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(cost—$99,544,903)</w:t>
            </w:r>
          </w:p>
        </w:tc>
        <w:tc>
          <w:tcPr>
            <w:tcW w:w="158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99,994,314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Cash and cash equivalents (cost—$2,371,169)</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2,371,263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332,980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700" w:type="dxa"/>
            <w:vAlign w:val="bottom"/>
            <w:tcBorders>
              <w:bottom w:val="single" w:sz="8" w:color="CCECFF"/>
            </w:tcBorders>
          </w:tcPr>
          <w:p>
            <w:pPr>
              <w:spacing w:after="0"/>
              <w:rPr>
                <w:sz w:val="14"/>
                <w:szCs w:val="14"/>
                <w:color w:val="auto"/>
              </w:rPr>
            </w:pPr>
          </w:p>
        </w:tc>
        <w:tc>
          <w:tcPr>
            <w:tcW w:w="820" w:type="dxa"/>
            <w:vAlign w:val="bottom"/>
            <w:tcBorders>
              <w:bottom w:val="single" w:sz="8" w:color="CCEC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1,131,029</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54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7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82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103,829,586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27,095,850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26,783,885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Subordinated notes payable</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34,400,000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97,531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subordinated notes</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12,107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700" w:type="dxa"/>
            <w:vAlign w:val="bottom"/>
            <w:tcBorders>
              <w:bottom w:val="single" w:sz="8" w:color="CCECFF"/>
            </w:tcBorders>
          </w:tcPr>
          <w:p>
            <w:pPr>
              <w:spacing w:after="0"/>
              <w:rPr>
                <w:sz w:val="14"/>
                <w:szCs w:val="14"/>
                <w:color w:val="auto"/>
              </w:rPr>
            </w:pPr>
          </w:p>
        </w:tc>
        <w:tc>
          <w:tcPr>
            <w:tcW w:w="820" w:type="dxa"/>
            <w:vAlign w:val="bottom"/>
            <w:tcBorders>
              <w:bottom w:val="single" w:sz="8" w:color="CCEC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97,192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shd w:val="clear" w:color="auto" w:fill="CCECFF"/>
          </w:tcPr>
          <w:p>
            <w:pPr>
              <w:spacing w:after="0"/>
              <w:rPr>
                <w:sz w:val="13"/>
                <w:szCs w:val="13"/>
                <w:color w:val="auto"/>
              </w:rPr>
            </w:pPr>
          </w:p>
        </w:tc>
        <w:tc>
          <w:tcPr>
            <w:tcW w:w="754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7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82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88,486,565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40" w:type="dxa"/>
            <w:vAlign w:val="bottom"/>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Members' equity</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Paid-in capital</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14,742,857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Undistributed net investment income</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120,575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Accumulated net realized gain on investments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4"/>
                <w:szCs w:val="14"/>
                <w:color w:val="auto"/>
              </w:rPr>
              <w:t>100,920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unrealized appreciation on investments</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449,505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Net unrealized appreciation on foreign currency translations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4"/>
                <w:szCs w:val="14"/>
                <w:color w:val="auto"/>
              </w:rPr>
              <w:t>(70,836)</w:t>
            </w:r>
          </w:p>
        </w:tc>
        <w:tc>
          <w:tcPr>
            <w:tcW w:w="0" w:type="dxa"/>
            <w:vAlign w:val="bottom"/>
          </w:tcPr>
          <w:p>
            <w:pPr>
              <w:spacing w:after="0"/>
              <w:rPr>
                <w:sz w:val="1"/>
                <w:szCs w:val="1"/>
                <w:color w:val="auto"/>
              </w:rPr>
            </w:pPr>
          </w:p>
        </w:tc>
      </w:tr>
      <w:tr>
        <w:trPr>
          <w:trHeight w:val="155"/>
        </w:trPr>
        <w:tc>
          <w:tcPr>
            <w:tcW w:w="200" w:type="dxa"/>
            <w:vAlign w:val="bottom"/>
            <w:tcBorders>
              <w:top w:val="single" w:sz="8" w:color="CCECFF"/>
            </w:tcBorders>
            <w:shd w:val="clear" w:color="auto" w:fill="CCECFF"/>
          </w:tcPr>
          <w:p>
            <w:pPr>
              <w:spacing w:after="0"/>
              <w:rPr>
                <w:sz w:val="13"/>
                <w:szCs w:val="13"/>
                <w:color w:val="auto"/>
              </w:rPr>
            </w:pPr>
          </w:p>
        </w:tc>
        <w:tc>
          <w:tcPr>
            <w:tcW w:w="7540" w:type="dxa"/>
            <w:vAlign w:val="bottom"/>
            <w:tcBorders>
              <w:top w:val="single" w:sz="8" w:color="CCECFF"/>
            </w:tcBorders>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members' equity</w:t>
            </w:r>
          </w:p>
        </w:tc>
        <w:tc>
          <w:tcPr>
            <w:tcW w:w="700" w:type="dxa"/>
            <w:vAlign w:val="bottom"/>
            <w:tcBorders>
              <w:top w:val="single" w:sz="8" w:color="CCECFF"/>
            </w:tcBorders>
            <w:shd w:val="clear" w:color="auto" w:fill="CCECFF"/>
          </w:tcPr>
          <w:p>
            <w:pPr>
              <w:spacing w:after="0"/>
              <w:rPr>
                <w:sz w:val="13"/>
                <w:szCs w:val="13"/>
                <w:color w:val="auto"/>
              </w:rPr>
            </w:pPr>
          </w:p>
        </w:tc>
        <w:tc>
          <w:tcPr>
            <w:tcW w:w="8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bottom w:val="single" w:sz="8" w:color="auto"/>
            </w:tcBorders>
            <w:shd w:val="clear" w:color="auto" w:fill="CCECFF"/>
          </w:tcPr>
          <w:p>
            <w:pPr>
              <w:spacing w:after="0"/>
              <w:rPr>
                <w:sz w:val="13"/>
                <w:szCs w:val="13"/>
                <w:color w:val="auto"/>
              </w:rPr>
            </w:pPr>
          </w:p>
        </w:tc>
        <w:tc>
          <w:tcPr>
            <w:tcW w:w="182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15,343,021</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754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103,829,586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5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540" w:type="dxa"/>
            <w:vAlign w:val="bottom"/>
            <w:gridSpan w:val="2"/>
          </w:tcPr>
          <w:p>
            <w:pPr>
              <w:ind w:left="180"/>
              <w:spacing w:after="0"/>
              <w:rPr>
                <w:sz w:val="20"/>
                <w:szCs w:val="20"/>
                <w:color w:val="auto"/>
              </w:rPr>
            </w:pPr>
            <w:r>
              <w:rPr>
                <w:rFonts w:ascii="Arial" w:cs="Arial" w:eastAsia="Arial" w:hAnsi="Arial"/>
                <w:sz w:val="14"/>
                <w:szCs w:val="14"/>
                <w:color w:val="auto"/>
              </w:rPr>
              <w:t>PSSL had no outstanding commitments to fund investments as of September 30, 2017.</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5620" w:type="dxa"/>
            <w:vAlign w:val="bottom"/>
          </w:tcPr>
          <w:p>
            <w:pPr>
              <w:jc w:val="center"/>
              <w:ind w:left="118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20" w:type="dxa"/>
            <w:vAlign w:val="bottom"/>
          </w:tcPr>
          <w:p>
            <w:pPr>
              <w:jc w:val="center"/>
              <w:ind w:left="1188"/>
              <w:spacing w:after="0"/>
              <w:rPr>
                <w:sz w:val="20"/>
                <w:szCs w:val="20"/>
                <w:color w:val="auto"/>
              </w:rPr>
            </w:pPr>
            <w:r>
              <w:rPr>
                <w:rFonts w:ascii="Arial" w:cs="Arial" w:eastAsia="Arial" w:hAnsi="Arial"/>
                <w:sz w:val="14"/>
                <w:szCs w:val="14"/>
                <w:b w:val="1"/>
                <w:bCs w:val="1"/>
                <w:color w:val="auto"/>
                <w:w w:val="91"/>
              </w:rPr>
              <w:t>Statements of Operations</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gridSpan w:val="3"/>
            <w:vMerge w:val="restart"/>
          </w:tcPr>
          <w:p>
            <w:pPr>
              <w:jc w:val="center"/>
              <w:ind w:right="100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May 4, 2017 (inception)</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through September 30, 2017</w:t>
            </w:r>
          </w:p>
        </w:tc>
        <w:tc>
          <w:tcPr>
            <w:tcW w:w="0" w:type="dxa"/>
            <w:vAlign w:val="bottom"/>
          </w:tcPr>
          <w:p>
            <w:pPr>
              <w:spacing w:after="0"/>
              <w:rPr>
                <w:sz w:val="1"/>
                <w:szCs w:val="1"/>
                <w:color w:val="auto"/>
              </w:rPr>
            </w:pPr>
          </w:p>
        </w:tc>
      </w:tr>
      <w:tr>
        <w:trPr>
          <w:trHeight w:val="155"/>
        </w:trPr>
        <w:tc>
          <w:tcPr>
            <w:tcW w:w="774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700" w:type="dxa"/>
            <w:vAlign w:val="bottom"/>
            <w:tcBorders>
              <w:top w:val="single" w:sz="8" w:color="CCECFF"/>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1520" w:type="dxa"/>
            <w:vAlign w:val="bottom"/>
            <w:gridSpan w:val="2"/>
            <w:shd w:val="clear" w:color="auto" w:fill="CCECFF"/>
          </w:tcPr>
          <w:p>
            <w:pPr>
              <w:jc w:val="right"/>
              <w:ind w:right="6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1,365,433</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CCECFF"/>
            </w:tcBorders>
          </w:tcPr>
          <w:p>
            <w:pPr>
              <w:spacing w:after="0"/>
              <w:rPr>
                <w:sz w:val="13"/>
                <w:szCs w:val="13"/>
                <w:color w:val="auto"/>
              </w:rPr>
            </w:pPr>
          </w:p>
        </w:tc>
        <w:tc>
          <w:tcPr>
            <w:tcW w:w="754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700" w:type="dxa"/>
            <w:vAlign w:val="bottom"/>
            <w:tcBorders>
              <w:bottom w:val="single" w:sz="8" w:color="CCECFF"/>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1,365,433</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4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7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40" w:type="dxa"/>
            <w:vAlign w:val="bottom"/>
            <w:gridSpan w:val="2"/>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442,554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expense on subordinated notes</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585,840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40" w:type="dxa"/>
            <w:vAlign w:val="bottom"/>
            <w:gridSpan w:val="2"/>
          </w:tcPr>
          <w:p>
            <w:pPr>
              <w:ind w:left="60"/>
              <w:spacing w:after="0"/>
              <w:rPr>
                <w:sz w:val="20"/>
                <w:szCs w:val="20"/>
                <w:color w:val="auto"/>
              </w:rPr>
            </w:pPr>
            <w:r>
              <w:rPr>
                <w:rFonts w:ascii="Arial" w:cs="Arial" w:eastAsia="Arial" w:hAnsi="Arial"/>
                <w:sz w:val="14"/>
                <w:szCs w:val="14"/>
                <w:color w:val="auto"/>
              </w:rPr>
              <w:t>Administrative services expenses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67,528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700" w:type="dxa"/>
            <w:vAlign w:val="bottom"/>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148,936</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54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70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1,244,858</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54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700" w:type="dxa"/>
            <w:vAlign w:val="bottom"/>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120,575</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foreign currency translations</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100,920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spacing w:after="0"/>
              <w:rPr>
                <w:sz w:val="20"/>
                <w:szCs w:val="20"/>
                <w:color w:val="auto"/>
              </w:rPr>
            </w:pPr>
            <w:r>
              <w:rPr>
                <w:rFonts w:ascii="Arial" w:cs="Arial" w:eastAsia="Arial" w:hAnsi="Arial"/>
                <w:sz w:val="14"/>
                <w:szCs w:val="14"/>
                <w:color w:val="auto"/>
              </w:rPr>
              <w:t>Net change in unrealized appreciation on:</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5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7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449,505</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540" w:type="dxa"/>
            <w:vAlign w:val="bottom"/>
            <w:gridSpan w:val="2"/>
          </w:tcPr>
          <w:p>
            <w:pPr>
              <w:ind w:left="60"/>
              <w:spacing w:after="0"/>
              <w:rPr>
                <w:sz w:val="20"/>
                <w:szCs w:val="20"/>
                <w:color w:val="auto"/>
              </w:rPr>
            </w:pPr>
            <w:r>
              <w:rPr>
                <w:rFonts w:ascii="Arial" w:cs="Arial" w:eastAsia="Arial" w:hAnsi="Arial"/>
                <w:sz w:val="14"/>
                <w:szCs w:val="14"/>
                <w:color w:val="auto"/>
              </w:rPr>
              <w:t>Foreign currency translations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3"/>
          </w:tcPr>
          <w:p>
            <w:pPr>
              <w:jc w:val="right"/>
              <w:ind w:right="80"/>
              <w:spacing w:after="0"/>
              <w:rPr>
                <w:sz w:val="20"/>
                <w:szCs w:val="20"/>
                <w:color w:val="auto"/>
              </w:rPr>
            </w:pPr>
            <w:r>
              <w:rPr>
                <w:rFonts w:ascii="Arial" w:cs="Arial" w:eastAsia="Arial" w:hAnsi="Arial"/>
                <w:sz w:val="14"/>
                <w:szCs w:val="14"/>
                <w:color w:val="auto"/>
              </w:rPr>
              <w:t>(70,836)</w:t>
            </w:r>
          </w:p>
        </w:tc>
        <w:tc>
          <w:tcPr>
            <w:tcW w:w="0" w:type="dxa"/>
            <w:vAlign w:val="bottom"/>
          </w:tcPr>
          <w:p>
            <w:pPr>
              <w:spacing w:after="0"/>
              <w:rPr>
                <w:sz w:val="1"/>
                <w:szCs w:val="1"/>
                <w:color w:val="auto"/>
              </w:rPr>
            </w:pPr>
          </w:p>
        </w:tc>
      </w:tr>
      <w:tr>
        <w:trPr>
          <w:trHeight w:val="156"/>
        </w:trPr>
        <w:tc>
          <w:tcPr>
            <w:tcW w:w="200" w:type="dxa"/>
            <w:vAlign w:val="bottom"/>
            <w:tcBorders>
              <w:top w:val="single" w:sz="8" w:color="CCECFF"/>
            </w:tcBorders>
            <w:shd w:val="clear" w:color="auto" w:fill="CCECFF"/>
          </w:tcPr>
          <w:p>
            <w:pPr>
              <w:spacing w:after="0"/>
              <w:rPr>
                <w:sz w:val="13"/>
                <w:szCs w:val="13"/>
                <w:color w:val="auto"/>
              </w:rPr>
            </w:pPr>
          </w:p>
        </w:tc>
        <w:tc>
          <w:tcPr>
            <w:tcW w:w="7540" w:type="dxa"/>
            <w:vAlign w:val="bottom"/>
            <w:tcBorders>
              <w:top w:val="single" w:sz="8" w:color="CCECFF"/>
            </w:tcBorders>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Net change in unrealized appreciation on investments and foreign currency translations</w:t>
            </w:r>
          </w:p>
        </w:tc>
        <w:tc>
          <w:tcPr>
            <w:tcW w:w="700" w:type="dxa"/>
            <w:vAlign w:val="bottom"/>
            <w:tcBorders>
              <w:top w:val="single" w:sz="8" w:color="CCECFF"/>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spacing w:after="0"/>
              <w:rPr>
                <w:sz w:val="13"/>
                <w:szCs w:val="13"/>
                <w:color w:val="auto"/>
              </w:rPr>
            </w:pPr>
          </w:p>
        </w:tc>
        <w:tc>
          <w:tcPr>
            <w:tcW w:w="60" w:type="dxa"/>
            <w:vAlign w:val="bottom"/>
            <w:tcBorders>
              <w:top w:val="single" w:sz="8" w:color="auto"/>
              <w:bottom w:val="single" w:sz="8" w:color="auto"/>
            </w:tcBorders>
            <w:shd w:val="clear" w:color="auto" w:fill="CCECFF"/>
          </w:tcPr>
          <w:p>
            <w:pPr>
              <w:spacing w:after="0"/>
              <w:rPr>
                <w:sz w:val="13"/>
                <w:szCs w:val="13"/>
                <w:color w:val="auto"/>
              </w:rPr>
            </w:pPr>
          </w:p>
        </w:tc>
        <w:tc>
          <w:tcPr>
            <w:tcW w:w="1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378,669</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4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foreign currency translations</w:t>
            </w:r>
          </w:p>
        </w:tc>
        <w:tc>
          <w:tcPr>
            <w:tcW w:w="700" w:type="dxa"/>
            <w:vAlign w:val="bottom"/>
            <w:tcBorders>
              <w:bottom w:val="single" w:sz="8" w:color="CCEC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479,589</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40" w:type="dxa"/>
            <w:vAlign w:val="bottom"/>
            <w:tcBorders>
              <w:bottom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70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Borders>
              <w:bottom w:val="single" w:sz="8" w:color="auto"/>
            </w:tcBorders>
            <w:shd w:val="clear" w:color="auto" w:fill="CCECFF"/>
          </w:tcPr>
          <w:p>
            <w:pPr>
              <w:spacing w:after="0"/>
              <w:rPr>
                <w:sz w:val="13"/>
                <w:szCs w:val="13"/>
                <w:color w:val="auto"/>
              </w:rPr>
            </w:pPr>
          </w:p>
        </w:tc>
        <w:tc>
          <w:tcPr>
            <w:tcW w:w="1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600,164</w:t>
            </w: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on the Statement of Operations.</w:t>
      </w:r>
    </w:p>
    <w:p>
      <w:pPr>
        <w:spacing w:after="0" w:line="200" w:lineRule="exact"/>
        <w:rPr>
          <w:rFonts w:ascii="Arial" w:cs="Arial" w:eastAsia="Arial" w:hAnsi="Arial"/>
          <w:sz w:val="12"/>
          <w:szCs w:val="12"/>
          <w:color w:val="auto"/>
        </w:rPr>
      </w:pPr>
    </w:p>
    <w:p>
      <w:pPr>
        <w:spacing w:after="0" w:line="300" w:lineRule="exact"/>
        <w:rPr>
          <w:rFonts w:ascii="Arial" w:cs="Arial" w:eastAsia="Arial" w:hAnsi="Arial"/>
          <w:sz w:val="12"/>
          <w:szCs w:val="12"/>
          <w:color w:val="auto"/>
        </w:rPr>
      </w:pPr>
    </w:p>
    <w:p>
      <w:pPr>
        <w:ind w:left="5560"/>
        <w:spacing w:after="0"/>
        <w:rPr>
          <w:rFonts w:ascii="Arial" w:cs="Arial" w:eastAsia="Arial" w:hAnsi="Arial"/>
          <w:sz w:val="12"/>
          <w:szCs w:val="12"/>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1345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 summary of our significant contractual payment obligations as of September 30, 2017, including borrowings under our Credit Facility and other contractual obligations,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6"/>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253.8</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253.8</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44.5</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30.6</w:t>
            </w: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24.7</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328.9</w:t>
            </w:r>
          </w:p>
        </w:tc>
        <w:tc>
          <w:tcPr>
            <w:tcW w:w="2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278.5</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 and Note 12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6" w:lineRule="exact"/>
        <w:rPr>
          <w:sz w:val="20"/>
          <w:szCs w:val="20"/>
          <w:color w:val="auto"/>
        </w:rPr>
      </w:pPr>
    </w:p>
    <w:p>
      <w:pPr>
        <w:ind w:right="3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04"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02"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During the years ended September 30, 2017, 2016 and 2015, we declared distributions of $1.14, $1.14 and $1.12 per share, respectively, for total distributions of $34.8 million, $30.5 million and $18.9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23"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27"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Subsequent to September 30, 2017, we completed a follow-on public offering of approximately 6.3 million shares of common stock at a public offering price of $14.15 per share resulting in net proceeds of approximately $88.0 million. The Investment Adviser paid approximately $2.1 million as a portion of the sales load payable to the underwriters. We are not obligated to repay the sales load paid by our Investment Adviser.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ind w:right="400" w:firstLine="438"/>
        <w:spacing w:after="0" w:line="290" w:lineRule="auto"/>
        <w:rPr>
          <w:sz w:val="20"/>
          <w:szCs w:val="20"/>
          <w:color w:val="auto"/>
        </w:rPr>
      </w:pPr>
      <w:r>
        <w:rPr>
          <w:rFonts w:ascii="Arial" w:cs="Arial" w:eastAsia="Arial" w:hAnsi="Arial"/>
          <w:sz w:val="13"/>
          <w:szCs w:val="13"/>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w:t>
      </w:r>
    </w:p>
    <w:p>
      <w:pPr>
        <w:spacing w:after="0" w:line="71" w:lineRule="exact"/>
        <w:rPr>
          <w:sz w:val="20"/>
          <w:szCs w:val="20"/>
          <w:color w:val="auto"/>
        </w:rPr>
      </w:pPr>
    </w:p>
    <w:p>
      <w:pPr>
        <w:ind w:right="220" w:firstLine="438"/>
        <w:spacing w:after="0" w:line="255" w:lineRule="auto"/>
        <w:rPr>
          <w:sz w:val="20"/>
          <w:szCs w:val="20"/>
          <w:color w:val="auto"/>
        </w:rPr>
      </w:pPr>
      <w:r>
        <w:rPr>
          <w:rFonts w:ascii="Arial" w:cs="Arial" w:eastAsia="Arial" w:hAnsi="Arial"/>
          <w:sz w:val="13"/>
          <w:szCs w:val="13"/>
          <w:color w:val="auto"/>
        </w:rPr>
        <w:t>On November 28, 2017, we priced an offering of $138.6 million of our 3.83% Series A Notes, or the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TASE. In connection with this offering, we have dual listed our common stock on TASE.</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will apply to the reinvestment of cash distributions paid on or after December 22,</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2017.</w:t>
      </w:r>
    </w:p>
    <w:p>
      <w:pPr>
        <w:spacing w:after="0" w:line="12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2017, our debt portfolio consisted of 99% variable-rate investments (including 7% where LIBOR was below the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3"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(3,982)</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3,982</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8,269</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12,604</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16,940</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780" w:type="dxa"/>
            <w:vAlign w:val="bottom"/>
          </w:tcPr>
          <w:p>
            <w:pPr>
              <w:jc w:val="right"/>
              <w:ind w:right="3728"/>
              <w:spacing w:after="0"/>
              <w:rPr>
                <w:sz w:val="20"/>
                <w:szCs w:val="20"/>
                <w:color w:val="auto"/>
              </w:rPr>
            </w:pPr>
            <w:r>
              <w:rPr>
                <w:rFonts w:ascii="Arial" w:cs="Arial" w:eastAsia="Arial" w:hAnsi="Arial"/>
                <w:sz w:val="14"/>
                <w:szCs w:val="14"/>
                <w:b w:val="1"/>
                <w:bCs w:val="1"/>
                <w:color w:val="auto"/>
                <w:w w:val="98"/>
              </w:rPr>
              <w:t>Consolidated Financial Statements and Supplementary Data</w:t>
            </w:r>
          </w:p>
        </w:tc>
        <w:tc>
          <w:tcPr>
            <w:tcW w:w="2760" w:type="dxa"/>
            <w:vAlign w:val="bottom"/>
          </w:tcPr>
          <w:p>
            <w:pPr>
              <w:spacing w:after="0"/>
              <w:rPr>
                <w:sz w:val="16"/>
                <w:szCs w:val="16"/>
                <w:color w:val="auto"/>
              </w:rPr>
            </w:pPr>
          </w:p>
        </w:tc>
      </w:tr>
      <w:tr>
        <w:trPr>
          <w:trHeight w:val="297"/>
        </w:trPr>
        <w:tc>
          <w:tcPr>
            <w:tcW w:w="7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Management’s Report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Report of Independent Registered Public Accounting Firm</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Consolidated Statements of Assets and Liabilities as of September 30,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Consolidated Statements of Operations for the years ended September 30, 2017, 2016 and 2015</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Consolidated Statements of Changes in Net Assets for the years ended September 30, 2017, 2016 and 2015</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Consolidated Statements of Cash Flows for the years ended September 30, 2017, 2016 and 2015</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Consolidated Schedules of Investments as of September 30,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Notes to the Consolidated Financial Statements</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662"/>
        </w:trPr>
        <w:tc>
          <w:tcPr>
            <w:tcW w:w="720" w:type="dxa"/>
            <w:vAlign w:val="bottom"/>
          </w:tcPr>
          <w:p>
            <w:pPr>
              <w:spacing w:after="0"/>
              <w:rPr>
                <w:sz w:val="24"/>
                <w:szCs w:val="24"/>
                <w:color w:val="auto"/>
              </w:rPr>
            </w:pPr>
          </w:p>
        </w:tc>
        <w:tc>
          <w:tcPr>
            <w:tcW w:w="7780" w:type="dxa"/>
            <w:vAlign w:val="bottom"/>
          </w:tcPr>
          <w:p>
            <w:pPr>
              <w:jc w:val="right"/>
              <w:ind w:right="2728"/>
              <w:spacing w:after="0"/>
              <w:rPr>
                <w:sz w:val="20"/>
                <w:szCs w:val="20"/>
                <w:color w:val="auto"/>
              </w:rPr>
            </w:pPr>
            <w:r>
              <w:rPr>
                <w:rFonts w:ascii="Arial" w:cs="Arial" w:eastAsia="Arial" w:hAnsi="Arial"/>
                <w:sz w:val="14"/>
                <w:szCs w:val="14"/>
                <w:color w:val="auto"/>
              </w:rPr>
              <w:t>43</w:t>
            </w:r>
          </w:p>
        </w:tc>
        <w:tc>
          <w:tcPr>
            <w:tcW w:w="2760" w:type="dxa"/>
            <w:vAlign w:val="bottom"/>
          </w:tcPr>
          <w:p>
            <w:pPr>
              <w:spacing w:after="0"/>
              <w:rPr>
                <w:sz w:val="24"/>
                <w:szCs w:val="24"/>
                <w:color w:val="auto"/>
              </w:rPr>
            </w:pPr>
          </w:p>
        </w:tc>
      </w:tr>
      <w:tr>
        <w:trPr>
          <w:trHeight w:val="100"/>
        </w:trPr>
        <w:tc>
          <w:tcPr>
            <w:tcW w:w="720" w:type="dxa"/>
            <w:vAlign w:val="bottom"/>
            <w:tcBorders>
              <w:bottom w:val="single" w:sz="8" w:color="9A9A9A"/>
            </w:tcBorders>
          </w:tcPr>
          <w:p>
            <w:pPr>
              <w:spacing w:after="0"/>
              <w:rPr>
                <w:sz w:val="8"/>
                <w:szCs w:val="8"/>
                <w:color w:val="auto"/>
              </w:rPr>
            </w:pPr>
          </w:p>
        </w:tc>
        <w:tc>
          <w:tcPr>
            <w:tcW w:w="778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7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2017. Our internal control system is a process designed to provide reasonable assurance to our management and board of directors regarding the preparation and fair presentation of published financial statements.</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2017.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2017, our internal control over financial reporting is effective based on those criteria.</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2017.</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This report appears on page 46.</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124"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have audited the accompanying consolidated statements of assets and liabilities, including the consolidated schedules of investments, of PennantPark Floating Rate Capital Ltd. and its Subsidiaries (collectively referred to as the “Company”) as of September 30, 2017 and 2016, and the related consolidated statements of operations, changes in net assets and cash flows for each of the three years in the period ended September 30, 2017. These consolidated financial statements are the responsibility of the Company’s management. Our responsibility is to express an opinion on these financial statements based on our audits.</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Our procedures included confirmation of investments owned as of September 30, 2017, by correspondence with the custodian. We believe that our audits provide a reasonable basis for our opinion.</w:t>
      </w:r>
    </w:p>
    <w:p>
      <w:pPr>
        <w:spacing w:after="0" w:line="103"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Subsidiaries as of September 30, 2017 and 2016, and the results of their operations, changes in net assets and their cash flows for each of the three years in the period ended September 30, 2017, in conformity with U.S. generally accepted accounting principles.</w:t>
      </w:r>
    </w:p>
    <w:p>
      <w:pPr>
        <w:spacing w:after="0" w:line="115"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PennantPark Floating Rate Capital Ltd. and its Subsidiaries’ internal control over financial reporting as of September 30, 2017,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and our report dated November 30, 2017, expressed an unqualified opinion on the effectiveness of the Company’s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30, 2017</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124"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 xml:space="preserve">We have audited PennantPark Floating Rate Capital Ltd. and its Subsidiaries’ (collectively referred to as the “Company”) internal control over financial reporting as of September 30, 2017,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jc w:val="both"/>
        <w:ind w:right="60" w:firstLine="438"/>
        <w:spacing w:after="0" w:line="255"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4"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firstLine="8"/>
        <w:spacing w:after="0" w:line="229" w:lineRule="auto"/>
        <w:tabs>
          <w:tab w:leader="none" w:pos="196"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80" w:firstLine="438"/>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 xml:space="preserve">In our opinion, PennantPark Floating Rate Capital Ltd. and its Subsidiaries maintained, in all material respects, effective internal control over financial reporting as of September 30, 2017,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Committee of Sponsoring Organizations of the Treadway Commission in 2013.</w:t>
      </w:r>
    </w:p>
    <w:p>
      <w:pPr>
        <w:spacing w:after="0" w:line="71" w:lineRule="exact"/>
        <w:rPr>
          <w:sz w:val="20"/>
          <w:szCs w:val="20"/>
          <w:color w:val="auto"/>
        </w:rPr>
      </w:pPr>
    </w:p>
    <w:p>
      <w:pPr>
        <w:ind w:right="260" w:firstLine="438"/>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2017 and 2016, and the related consolidated statements of operations, changes in net assets and cash flows for each of the three years in the period ended September 30, 2017 and our report dated November 30, 2017 expressed an unqualified opinion.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30, 2017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2016</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(cost—$665,514,821 and $597,910,267,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666,973,639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598,887,525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Controlled, affiliated investments (cost—$43,000,000 and $0,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43,525,143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of investments (cost—$708,514,821 and $597,910,267, respectively)</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598,887,525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(cost—$18,847,673 and $28,903,359,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18,910,756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28,910,973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2,520,506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2,480,406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14,185,850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1,229,505</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1,141,191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631,420,095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payable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3,085,607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2,539,357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21,730,512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14,935,970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Credit Facility payable (cost—$253,783,301 and $232,907,500, respectively) (See Notes 5 and 11)</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256,858,457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232,389,498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Credit Facility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693,787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531,926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Base management fee payable (See Note 3)</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1,784,806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1,458,625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Performance-based incentive fee payable (See Note 3)</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5,061,217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3,454,914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224,739</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202,977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289,439,125</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255,513,267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Common stock, 32,480,074 and 26,730,074 shares issued and outstanding, respectively</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32,480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451,448,872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371,194,366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Undistributed net investment income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3,163,645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4,559,646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Accumulated net realized gain (loss) on investments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4,289,389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(1,376,788)</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unrealized appreciation on investments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2,047,044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984,872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(appreciation) depreciation on Credit Facility</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(3,075,156)</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518,002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457,906,274</w:t>
            </w:r>
          </w:p>
        </w:tc>
        <w:tc>
          <w:tcPr>
            <w:tcW w:w="2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375,906,828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747,345,399</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631,420,095</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14.10</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Years Ended September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6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16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52,772,368</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40,561,694</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29,203,963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1,660,371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2,334,330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1,151,336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Settlement proceeds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4,551,485</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3,299,764</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512,610</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105,502</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59,496,834</w:t>
            </w:r>
          </w:p>
        </w:tc>
        <w:tc>
          <w:tcPr>
            <w:tcW w:w="26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46,301,290</w:t>
            </w:r>
          </w:p>
        </w:tc>
        <w:tc>
          <w:tcPr>
            <w:tcW w:w="26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30,355,299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6,902,645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5,015,077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3,572,614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6,217,210</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4,791,574</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1,114,972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260"/>
              <w:spacing w:after="0"/>
              <w:rPr>
                <w:sz w:val="20"/>
                <w:szCs w:val="20"/>
                <w:color w:val="auto"/>
              </w:rPr>
            </w:pPr>
            <w:r>
              <w:rPr>
                <w:rFonts w:ascii="Arial" w:cs="Arial" w:eastAsia="Arial" w:hAnsi="Arial"/>
                <w:sz w:val="14"/>
                <w:szCs w:val="14"/>
                <w:color w:val="auto"/>
              </w:rPr>
              <w:t>Interest and expenses on the Credit Facility (See Note 11)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8,338,880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4,923,219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3,251,761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2,245,000</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1,148,281</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837,708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9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1,935,000</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2,179,257</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1,176,769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provision for taxes and amendment costs</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25,638,735</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18,057,408</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9,953,824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300,000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amendment costs (See Notes 5 and 11)</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112,736</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907,722</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2,301,478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26,051,471</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18,965,130</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12,695,302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6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33,445,363</w:t>
            </w:r>
          </w:p>
        </w:tc>
        <w:tc>
          <w:tcPr>
            <w:tcW w:w="26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27,336,160</w:t>
            </w:r>
          </w:p>
        </w:tc>
        <w:tc>
          <w:tcPr>
            <w:tcW w:w="26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17,659,997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6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(loss) on 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5,410,903</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(1,376,788)</w:t>
            </w: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395,862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537,029</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7,011,289</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(6,100,614)</w:t>
            </w:r>
          </w:p>
        </w:tc>
        <w:tc>
          <w:tcPr>
            <w:tcW w:w="0" w:type="dxa"/>
            <w:vAlign w:val="bottom"/>
          </w:tcPr>
          <w:p>
            <w:pPr>
              <w:spacing w:after="0"/>
              <w:rPr>
                <w:sz w:val="1"/>
                <w:szCs w:val="1"/>
                <w:color w:val="auto"/>
              </w:rPr>
            </w:pPr>
          </w:p>
        </w:tc>
      </w:tr>
      <w:tr>
        <w:trPr>
          <w:trHeight w:val="162"/>
        </w:trPr>
        <w:tc>
          <w:tcPr>
            <w:tcW w:w="656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525,143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(appreciation) depreciation (See Note 5 and 11)</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(3,593,158)</w:t>
            </w: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518,002</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549,000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w:t>
            </w:r>
          </w:p>
        </w:tc>
        <w:tc>
          <w:tcPr>
            <w:tcW w:w="9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(2,530,986)</w:t>
            </w:r>
          </w:p>
        </w:tc>
        <w:tc>
          <w:tcPr>
            <w:tcW w:w="26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7,529,291</w:t>
            </w:r>
          </w:p>
        </w:tc>
        <w:tc>
          <w:tcPr>
            <w:tcW w:w="26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(5,551,614)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9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2,879,917</w:t>
            </w:r>
          </w:p>
        </w:tc>
        <w:tc>
          <w:tcPr>
            <w:tcW w:w="26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6,152,503</w:t>
            </w:r>
          </w:p>
        </w:tc>
        <w:tc>
          <w:tcPr>
            <w:tcW w:w="26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(5,155,752)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9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36,325,280</w:t>
            </w:r>
          </w:p>
        </w:tc>
        <w:tc>
          <w:tcPr>
            <w:tcW w:w="26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33,488,663</w:t>
            </w:r>
          </w:p>
        </w:tc>
        <w:tc>
          <w:tcPr>
            <w:tcW w:w="26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12,504,245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56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9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1.20</w:t>
            </w:r>
          </w:p>
        </w:tc>
        <w:tc>
          <w:tcPr>
            <w:tcW w:w="2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1.25</w:t>
            </w:r>
          </w:p>
        </w:tc>
        <w:tc>
          <w:tcPr>
            <w:tcW w:w="2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0.77</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w:t>
            </w: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1.02</w:t>
            </w: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00" w:type="dxa"/>
            <w:vAlign w:val="bottom"/>
            <w:tcBorders>
              <w:bottom w:val="single" w:sz="8" w:color="CCECFF"/>
            </w:tcBorders>
          </w:tcPr>
          <w:p>
            <w:pPr>
              <w:spacing w:after="0"/>
              <w:rPr>
                <w:sz w:val="13"/>
                <w:szCs w:val="13"/>
                <w:color w:val="auto"/>
              </w:rPr>
            </w:pPr>
          </w:p>
        </w:tc>
        <w:tc>
          <w:tcPr>
            <w:tcW w:w="11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from operations:</w:t>
            </w:r>
          </w:p>
        </w:tc>
        <w:tc>
          <w:tcPr>
            <w:tcW w:w="11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33,445,363</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27,336,160</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17,659,997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1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5,410,903</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(1,376,788)</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395,862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1,062,172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7,011,289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(6,100,614)</w:t>
            </w:r>
          </w:p>
        </w:tc>
        <w:tc>
          <w:tcPr>
            <w:tcW w:w="0" w:type="dxa"/>
            <w:vAlign w:val="bottom"/>
          </w:tcPr>
          <w:p>
            <w:pPr>
              <w:spacing w:after="0"/>
              <w:rPr>
                <w:sz w:val="1"/>
                <w:szCs w:val="1"/>
                <w:color w:val="auto"/>
              </w:rPr>
            </w:pPr>
          </w:p>
        </w:tc>
      </w:tr>
      <w:tr>
        <w:trPr>
          <w:trHeight w:val="162"/>
        </w:trPr>
        <w:tc>
          <w:tcPr>
            <w:tcW w:w="55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Credit Facility</w:t>
            </w:r>
          </w:p>
        </w:tc>
        <w:tc>
          <w:tcPr>
            <w:tcW w:w="1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(3,593,158)</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518,002</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549,000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16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36,325,280</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33,488,663</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12,504,245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1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60"/>
              <w:spacing w:after="0"/>
              <w:rPr>
                <w:sz w:val="20"/>
                <w:szCs w:val="20"/>
                <w:color w:val="auto"/>
              </w:rPr>
            </w:pPr>
            <w:r>
              <w:rPr>
                <w:rFonts w:ascii="Arial" w:cs="Arial" w:eastAsia="Arial" w:hAnsi="Arial"/>
                <w:sz w:val="14"/>
                <w:szCs w:val="14"/>
                <w:color w:val="auto"/>
              </w:rPr>
              <w:t>Distribution of net investment income</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(34,842,284)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(30,076,422)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(15,976,507)</w:t>
            </w:r>
          </w:p>
        </w:tc>
        <w:tc>
          <w:tcPr>
            <w:tcW w:w="0" w:type="dxa"/>
            <w:vAlign w:val="bottom"/>
          </w:tcPr>
          <w:p>
            <w:pPr>
              <w:spacing w:after="0"/>
              <w:rPr>
                <w:sz w:val="1"/>
                <w:szCs w:val="1"/>
                <w:color w:val="auto"/>
              </w:rPr>
            </w:pPr>
          </w:p>
        </w:tc>
      </w:tr>
      <w:tr>
        <w:trPr>
          <w:trHeight w:val="162"/>
        </w:trPr>
        <w:tc>
          <w:tcPr>
            <w:tcW w:w="55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Distribution of realized gains</w:t>
            </w:r>
          </w:p>
        </w:tc>
        <w:tc>
          <w:tcPr>
            <w:tcW w:w="1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(395,862)</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(2,882,909)</w:t>
            </w:r>
          </w:p>
        </w:tc>
        <w:tc>
          <w:tcPr>
            <w:tcW w:w="0" w:type="dxa"/>
            <w:vAlign w:val="bottom"/>
          </w:tcPr>
          <w:p>
            <w:pPr>
              <w:spacing w:after="0"/>
              <w:rPr>
                <w:sz w:val="1"/>
                <w:szCs w:val="1"/>
                <w:color w:val="auto"/>
              </w:rPr>
            </w:pPr>
          </w:p>
        </w:tc>
      </w:tr>
      <w:tr>
        <w:trPr>
          <w:trHeight w:val="156"/>
        </w:trPr>
        <w:tc>
          <w:tcPr>
            <w:tcW w:w="55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116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(34,842,284)</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(30,472,284)</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(18,859,416)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1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60"/>
              <w:spacing w:after="0"/>
              <w:rPr>
                <w:sz w:val="20"/>
                <w:szCs w:val="20"/>
                <w:color w:val="auto"/>
              </w:rPr>
            </w:pPr>
            <w:r>
              <w:rPr>
                <w:rFonts w:ascii="Arial" w:cs="Arial" w:eastAsia="Arial" w:hAnsi="Arial"/>
                <w:sz w:val="14"/>
                <w:szCs w:val="14"/>
                <w:color w:val="auto"/>
              </w:rPr>
              <w:t>Public offering (See Note 1)</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80,986,450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5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Offering costs</w:t>
            </w:r>
          </w:p>
        </w:tc>
        <w:tc>
          <w:tcPr>
            <w:tcW w:w="1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(470,000)</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500" w:type="dxa"/>
            <w:vAlign w:val="bottom"/>
          </w:tcPr>
          <w:p>
            <w:pPr>
              <w:ind w:left="260"/>
              <w:spacing w:after="0"/>
              <w:rPr>
                <w:sz w:val="20"/>
                <w:szCs w:val="20"/>
                <w:color w:val="auto"/>
              </w:rPr>
            </w:pPr>
            <w:r>
              <w:rPr>
                <w:rFonts w:ascii="Arial" w:cs="Arial" w:eastAsia="Arial" w:hAnsi="Arial"/>
                <w:sz w:val="14"/>
                <w:szCs w:val="14"/>
                <w:color w:val="auto"/>
              </w:rPr>
              <w:t>Acquisition of MCG assets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164,717,910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80,516,450</w:t>
            </w: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164,717,910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11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81,999,446</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3,016,379</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158,362,739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1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year</w:t>
            </w:r>
          </w:p>
        </w:tc>
        <w:tc>
          <w:tcPr>
            <w:tcW w:w="11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6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372,890,449</w:t>
            </w:r>
          </w:p>
        </w:tc>
        <w:tc>
          <w:tcPr>
            <w:tcW w:w="24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214,527,710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0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year</w:t>
            </w:r>
          </w:p>
        </w:tc>
        <w:tc>
          <w:tcPr>
            <w:tcW w:w="11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457,906,274</w:t>
            </w:r>
          </w:p>
        </w:tc>
        <w:tc>
          <w:tcPr>
            <w:tcW w:w="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375,906,828</w:t>
            </w:r>
          </w:p>
        </w:tc>
        <w:tc>
          <w:tcPr>
            <w:tcW w:w="24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372,890,449</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260"/>
              <w:spacing w:after="0"/>
              <w:rPr>
                <w:sz w:val="20"/>
                <w:szCs w:val="20"/>
                <w:color w:val="auto"/>
              </w:rPr>
            </w:pPr>
            <w:r>
              <w:rPr>
                <w:rFonts w:ascii="Arial" w:cs="Arial" w:eastAsia="Arial" w:hAnsi="Arial"/>
                <w:sz w:val="14"/>
                <w:szCs w:val="14"/>
                <w:color w:val="auto"/>
              </w:rPr>
              <w:t>Undistributed net investment income, end of year</w:t>
            </w:r>
          </w:p>
        </w:tc>
        <w:tc>
          <w:tcPr>
            <w:tcW w:w="1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tcBorders>
              <w:bottom w:val="single" w:sz="8" w:color="CCECFF"/>
            </w:tcBorders>
            <w:vMerge w:val="continue"/>
          </w:tcPr>
          <w:p>
            <w:pPr>
              <w:spacing w:after="0"/>
              <w:rPr>
                <w:sz w:val="15"/>
                <w:szCs w:val="15"/>
                <w:color w:val="auto"/>
              </w:rPr>
            </w:pPr>
          </w:p>
        </w:tc>
        <w:tc>
          <w:tcPr>
            <w:tcW w:w="116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3,163,645</w:t>
            </w:r>
          </w:p>
        </w:tc>
        <w:tc>
          <w:tcPr>
            <w:tcW w:w="6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4,559,646</w:t>
            </w:r>
          </w:p>
        </w:tc>
        <w:tc>
          <w:tcPr>
            <w:tcW w:w="24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6,991,473</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5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60"/>
              <w:spacing w:after="0"/>
              <w:rPr>
                <w:sz w:val="20"/>
                <w:szCs w:val="20"/>
                <w:color w:val="auto"/>
              </w:rPr>
            </w:pPr>
            <w:r>
              <w:rPr>
                <w:rFonts w:ascii="Arial" w:cs="Arial" w:eastAsia="Arial" w:hAnsi="Arial"/>
                <w:sz w:val="14"/>
                <w:szCs w:val="14"/>
                <w:color w:val="auto"/>
              </w:rPr>
              <w:t>Shares issued from public offering</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5,750,000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11,832,018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CFF"/>
            </w:tcBorders>
          </w:tcPr>
          <w:p>
            <w:pPr>
              <w:spacing w:after="0"/>
              <w:rPr>
                <w:sz w:val="13"/>
                <w:szCs w:val="13"/>
                <w:color w:val="auto"/>
              </w:rPr>
            </w:pPr>
          </w:p>
        </w:tc>
        <w:tc>
          <w:tcPr>
            <w:tcW w:w="5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5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36,325,280</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33,488,663</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12,504,245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10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CFF"/>
          </w:tcPr>
          <w:p>
            <w:pPr>
              <w:ind w:left="600"/>
              <w:spacing w:after="0"/>
              <w:rPr>
                <w:sz w:val="20"/>
                <w:szCs w:val="20"/>
                <w:color w:val="auto"/>
              </w:rPr>
            </w:pPr>
            <w:r>
              <w:rPr>
                <w:rFonts w:ascii="Arial" w:cs="Arial" w:eastAsia="Arial" w:hAnsi="Arial"/>
                <w:sz w:val="14"/>
                <w:szCs w:val="14"/>
                <w:color w:val="auto"/>
              </w:rPr>
              <w:t>used in operating activities: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(1,062,172)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(7,011,289)</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6,100,614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change in unrealized appreciation (depreciation) on Credit Facility</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3,593,158</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(518,002)</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(549,000)</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Net realized (gain) loss on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(5,410,903)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1,376,788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(395,862)</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accretion of discount and amortization of premium</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(1,741,190)</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(1,679,006)</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(1,240,781)</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Purchases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(508,906,932)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(364,442,810)</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(224,170,119)</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Payment-in-kind interest</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(590,703)</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(108,066)</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(655,580)</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Proceeds from dispositions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406,484,118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164,178,802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195,049,580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interest receivable</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(40,100)</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(521,002)</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(185,534)</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decrease in receivable for investments sold</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(14,185,850)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9,001,938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decrease in prepaid expenses and other assets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(88,314)</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279,338</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(315,139)</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in payable for investments purchased</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6,794,542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5,568,470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6,205,500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(decrease) in interest payable on Credit Facility</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161,861</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307,293</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(60,273)</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in base management fee payable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326,181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502,510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(decrease) in performance-based incentive fee payable</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1,606,303</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3,451,978</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(2,177,668)</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(decrease) in accrued other expenses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21,762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(336,370)</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(1,358,635)</w:t>
            </w:r>
          </w:p>
        </w:tc>
        <w:tc>
          <w:tcPr>
            <w:tcW w:w="0" w:type="dxa"/>
            <w:vAlign w:val="bottom"/>
          </w:tcPr>
          <w:p>
            <w:pPr>
              <w:spacing w:after="0"/>
              <w:rPr>
                <w:sz w:val="1"/>
                <w:szCs w:val="1"/>
                <w:color w:val="auto"/>
              </w:rPr>
            </w:pPr>
          </w:p>
        </w:tc>
      </w:tr>
      <w:tr>
        <w:trPr>
          <w:trHeight w:val="155"/>
        </w:trPr>
        <w:tc>
          <w:tcPr>
            <w:tcW w:w="6100" w:type="dxa"/>
            <w:vAlign w:val="bottom"/>
            <w:tcBorders>
              <w:top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color w:val="auto"/>
              </w:rPr>
              <w:t>Net cash used in operating activities</w:t>
            </w:r>
          </w:p>
        </w:tc>
        <w:tc>
          <w:tcPr>
            <w:tcW w:w="5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(76,712,959)</w:t>
            </w: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(165,462,703)</w:t>
            </w:r>
          </w:p>
        </w:tc>
        <w:tc>
          <w:tcPr>
            <w:tcW w:w="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(2,205,577)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Public offering</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Offering costs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(470,000)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Acquisition of MCG assets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144,981,158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Distributions paid to stockholders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(34,296,034)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(30,472,284)</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(17,660,884)</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Borrowings under Credit Facility (See Notes 5 and 11)</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309,680,000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260,707,500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Repayments under Credit Facility (See Notes 5 and 11)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(288,804,200)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(57,400,000)</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(247,500,000)</w:t>
            </w:r>
          </w:p>
        </w:tc>
        <w:tc>
          <w:tcPr>
            <w:tcW w:w="0" w:type="dxa"/>
            <w:vAlign w:val="bottom"/>
          </w:tcPr>
          <w:p>
            <w:pPr>
              <w:spacing w:after="0"/>
              <w:rPr>
                <w:sz w:val="1"/>
                <w:szCs w:val="1"/>
                <w:color w:val="auto"/>
              </w:rPr>
            </w:pPr>
          </w:p>
        </w:tc>
      </w:tr>
      <w:tr>
        <w:trPr>
          <w:trHeight w:val="156"/>
        </w:trPr>
        <w:tc>
          <w:tcPr>
            <w:tcW w:w="6100" w:type="dxa"/>
            <w:vAlign w:val="bottom"/>
            <w:tcBorders>
              <w:top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5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67,096,216</w:t>
            </w: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172,835,216</w:t>
            </w:r>
          </w:p>
        </w:tc>
        <w:tc>
          <w:tcPr>
            <w:tcW w:w="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10,520,274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0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(9,616,743)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7,372,513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8,314,697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(383,474)</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109,946</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5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28,910,973</w:t>
            </w:r>
          </w:p>
        </w:tc>
        <w:tc>
          <w:tcPr>
            <w:tcW w:w="6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21,428,514</w:t>
            </w:r>
          </w:p>
        </w:tc>
        <w:tc>
          <w:tcPr>
            <w:tcW w:w="24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13,113,817</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5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18,910,756</w:t>
            </w:r>
          </w:p>
        </w:tc>
        <w:tc>
          <w:tcPr>
            <w:tcW w:w="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28,910,973</w:t>
            </w:r>
          </w:p>
        </w:tc>
        <w:tc>
          <w:tcPr>
            <w:tcW w:w="24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21,428,514</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0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5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8,289,755</w:t>
            </w:r>
          </w:p>
        </w:tc>
        <w:tc>
          <w:tcPr>
            <w:tcW w:w="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4,615,926</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3,313,701</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tcBorders>
              <w:bottom w:val="single" w:sz="8" w:color="CCECFF"/>
            </w:tcBorders>
            <w:vMerge w:val="continue"/>
          </w:tcPr>
          <w:p>
            <w:pPr>
              <w:spacing w:after="0"/>
              <w:rPr>
                <w:sz w:val="15"/>
                <w:szCs w:val="15"/>
                <w:color w:val="auto"/>
              </w:rPr>
            </w:pPr>
          </w:p>
        </w:tc>
        <w:tc>
          <w:tcPr>
            <w:tcW w:w="56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256,719</w:t>
            </w:r>
          </w:p>
        </w:tc>
        <w:tc>
          <w:tcPr>
            <w:tcW w:w="6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308,795</w:t>
            </w:r>
          </w:p>
        </w:tc>
        <w:tc>
          <w:tcPr>
            <w:tcW w:w="24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430,242</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10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56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35,659,395</w:t>
            </w:r>
          </w:p>
        </w:tc>
        <w:tc>
          <w:tcPr>
            <w:tcW w:w="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4,843,385</w:t>
            </w: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670,283</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60"/>
              <w:spacing w:after="0"/>
              <w:rPr>
                <w:sz w:val="20"/>
                <w:szCs w:val="20"/>
                <w:color w:val="auto"/>
              </w:rPr>
            </w:pPr>
            <w:r>
              <w:rPr>
                <w:rFonts w:ascii="Arial" w:cs="Arial" w:eastAsia="Arial" w:hAnsi="Arial"/>
                <w:sz w:val="14"/>
                <w:szCs w:val="14"/>
                <w:color w:val="auto"/>
              </w:rPr>
              <w:t>Investments acquired from MCG in exchange for shares issued</w:t>
            </w:r>
          </w:p>
        </w:tc>
        <w:tc>
          <w:tcPr>
            <w:tcW w:w="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tcBorders>
              <w:bottom w:val="single" w:sz="8" w:color="CCECFF"/>
            </w:tcBorders>
            <w:vMerge w:val="continue"/>
          </w:tcPr>
          <w:p>
            <w:pPr>
              <w:spacing w:after="0"/>
              <w:rPr>
                <w:sz w:val="15"/>
                <w:szCs w:val="15"/>
                <w:color w:val="auto"/>
              </w:rPr>
            </w:pPr>
          </w:p>
        </w:tc>
        <w:tc>
          <w:tcPr>
            <w:tcW w:w="56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20,277,132</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10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Acquisition of other assets from MCG</w:t>
            </w:r>
          </w:p>
        </w:tc>
        <w:tc>
          <w:tcPr>
            <w:tcW w:w="56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549,031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60"/>
              <w:spacing w:after="0"/>
              <w:rPr>
                <w:sz w:val="20"/>
                <w:szCs w:val="20"/>
                <w:color w:val="auto"/>
              </w:rPr>
            </w:pPr>
            <w:r>
              <w:rPr>
                <w:rFonts w:ascii="Arial" w:cs="Arial" w:eastAsia="Arial" w:hAnsi="Arial"/>
                <w:sz w:val="14"/>
                <w:szCs w:val="14"/>
                <w:color w:val="auto"/>
              </w:rPr>
              <w:t>Acquisition of other liabilities from MCG</w:t>
            </w:r>
          </w:p>
        </w:tc>
        <w:tc>
          <w:tcPr>
            <w:tcW w:w="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1,089,411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Companies—145.7% </w:t>
            </w:r>
            <w:r>
              <w:rPr>
                <w:rFonts w:ascii="Arial" w:cs="Arial" w:eastAsia="Arial" w:hAnsi="Arial"/>
                <w:sz w:val="9"/>
                <w:szCs w:val="9"/>
                <w:b w:val="1"/>
                <w:bCs w:val="1"/>
                <w:color w:val="auto"/>
                <w:w w:val="90"/>
              </w:rPr>
              <w:t>(3), (4)</w:t>
            </w:r>
          </w:p>
        </w:tc>
        <w:tc>
          <w:tcPr>
            <w:tcW w:w="24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Debt—133.1%</w:t>
            </w: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16,225,000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16,029,514</w:t>
            </w:r>
          </w:p>
        </w:tc>
        <w:tc>
          <w:tcPr>
            <w:tcW w:w="3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16,225,000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Alera Group Holdings,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9,177,637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9,098,312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9,177,637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1,771,962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2,983,500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10,945,000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10,805,812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10,780,825</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2"/>
              </w:rPr>
              <w:t>Metals and Mining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128,248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124,746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141,073</w:t>
            </w:r>
          </w:p>
        </w:tc>
        <w:tc>
          <w:tcPr>
            <w:tcW w:w="12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5.00%)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4,691,657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4,702,500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7.78%</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10,741,453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10,574,347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10,338,648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Anesthesia Consulting &amp; Management, LP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3,970,000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3,935,087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3,890,600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(20,000)</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4,881,581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4,803,856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4,832,765</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11,970,000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11,854,093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11,850,300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2,207,741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2,326,329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2,291,698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2,326,329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15,630,360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15,263,130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15,630,360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2,443,750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2,427,358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2,346,000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5.58%</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6,982,500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7,084,560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3,923,223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3,874,613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CD&amp;R TZ Purchaser,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12,375,000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12,094,894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12,359,531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Charming Charlie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12/24/2019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3,961,544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3,935,418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3,367,313</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3.00%)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4,589,286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4,573,873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4,313,929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Clarus Glassboards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4,799,506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4,820,775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10.99%</w:t>
            </w:r>
          </w:p>
        </w:tc>
        <w:tc>
          <w:tcPr>
            <w:tcW w:w="680" w:type="dxa"/>
            <w:vAlign w:val="bottom"/>
          </w:tcPr>
          <w:p>
            <w:pPr>
              <w:jc w:val="right"/>
              <w:spacing w:after="0"/>
              <w:rPr>
                <w:sz w:val="20"/>
                <w:szCs w:val="20"/>
                <w:color w:val="auto"/>
              </w:rPr>
            </w:pPr>
            <w:r>
              <w:rPr>
                <w:rFonts w:ascii="Arial" w:cs="Arial" w:eastAsia="Arial" w:hAnsi="Arial"/>
                <w:sz w:val="12"/>
                <w:szCs w:val="12"/>
                <w:color w:val="auto"/>
              </w:rPr>
              <w:t>L+975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6,024,894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5,941,505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5,994,770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19,874,245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19,826,088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19,598,775</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9,817,138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Digital Room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11/21/2022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6,737,500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6,618,201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6,670,125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4,353,783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6.01%</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10,621,111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10,592,972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10,621,111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9.33%</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16,743,500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16,527,764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16,827,218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7,657,615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7,627,450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7,581,039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10,265,559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10,180,889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10,265,559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12,228,162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12,344,063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08/05/2019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5,862,500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5,846,053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5,386,172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7.56%</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5,918,532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5,850,581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5,740,976</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7,032,993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6,999,227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6,962,663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E+800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12,127,444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12,605,265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14,337,076</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6,693,710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3,234,375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3,328,240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530,973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7,465,921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Instant Web, LLC, Term Loan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12.30%</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4,475,493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6,486,278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Inventus Power,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4,726,503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4,701,985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4,442,913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Jackson Hewitt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4,653,450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4,596,122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4,467,312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4,002,471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3,936,841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3,889,079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12,140,282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11,975,690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12,140,282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6.16%</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241,935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967,742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10,200,000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10,036,631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10,098,000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09/12/2022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4,954,937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4,935,975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3,740,977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Lombart Brothers,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6,170,275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9.75%</w:t>
            </w:r>
          </w:p>
        </w:tc>
        <w:tc>
          <w:tcPr>
            <w:tcW w:w="680" w:type="dxa"/>
            <w:vAlign w:val="bottom"/>
          </w:tcPr>
          <w:p>
            <w:pPr>
              <w:jc w:val="right"/>
              <w:spacing w:after="0"/>
              <w:rPr>
                <w:sz w:val="20"/>
                <w:szCs w:val="20"/>
                <w:color w:val="auto"/>
              </w:rPr>
            </w:pPr>
            <w:r>
              <w:rPr>
                <w:rFonts w:ascii="Arial" w:cs="Arial" w:eastAsia="Arial" w:hAnsi="Arial"/>
                <w:sz w:val="12"/>
                <w:szCs w:val="12"/>
                <w:color w:val="auto"/>
              </w:rPr>
              <w:t>P+550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778,761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460,177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08/19/2021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4,238,073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4,204,738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4,195,692</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14,409,375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14,275,705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14,439,347</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Marketplace Events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01/27/2021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3,377,372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3,335,177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3,377,372</w:t>
            </w:r>
          </w:p>
        </w:tc>
        <w:tc>
          <w:tcPr>
            <w:tcW w:w="120" w:type="dxa"/>
            <w:vAlign w:val="bottom"/>
          </w:tcPr>
          <w:p>
            <w:pPr>
              <w:spacing w:after="0"/>
              <w:rPr>
                <w:sz w:val="13"/>
                <w:szCs w:val="13"/>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w:t>
            </w:r>
          </w:p>
        </w:tc>
        <w:tc>
          <w:tcPr>
            <w:tcW w:w="300" w:type="dxa"/>
            <w:vAlign w:val="bottom"/>
            <w:shd w:val="clear" w:color="auto" w:fill="CCECFF"/>
          </w:tcPr>
          <w:p>
            <w:pPr>
              <w:jc w:val="right"/>
              <w:ind w:right="142"/>
              <w:spacing w:after="0" w:line="136" w:lineRule="exact"/>
              <w:rPr>
                <w:sz w:val="20"/>
                <w:szCs w:val="20"/>
                <w:color w:val="auto"/>
              </w:rPr>
            </w:pPr>
            <w:r>
              <w:rPr>
                <w:rFonts w:ascii="Arial" w:cs="Arial" w:eastAsia="Arial" w:hAnsi="Arial"/>
                <w:sz w:val="12"/>
                <w:szCs w:val="12"/>
                <w:color w:val="auto"/>
                <w:w w:val="74"/>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20" w:type="dxa"/>
            <w:vAlign w:val="bottom"/>
            <w:shd w:val="clear" w:color="auto" w:fill="CCECFF"/>
          </w:tcPr>
          <w:p>
            <w:pPr>
              <w:ind w:left="140"/>
              <w:spacing w:after="0"/>
              <w:rPr>
                <w:sz w:val="20"/>
                <w:szCs w:val="20"/>
                <w:color w:val="auto"/>
              </w:rPr>
            </w:pPr>
            <w:r>
              <w:rPr>
                <w:rFonts w:ascii="Arial" w:cs="Arial" w:eastAsia="Arial" w:hAnsi="Arial"/>
                <w:sz w:val="11"/>
                <w:szCs w:val="11"/>
                <w:color w:val="auto"/>
                <w:w w:val="74"/>
              </w:rPr>
              <w:t>C</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17,070,749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11,982,846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13,581,250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7.00%</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1,243,309</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09/30/2024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5.50%</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7,425,000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7,533,750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(3,592)</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01/24/2023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9.49%</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26,294,872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26,729,488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26,513,908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02/10/2023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14,625,000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14,241,842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14,405,625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7.08%</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8,717,647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8,682,164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7,845,882</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03/03/2022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2,699,796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19,874,203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10,045,209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573,770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PT Network,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7.82%</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8,383,771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2,291,100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6.02%</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9,625,000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9,509,035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9,288,125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19,654,762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19,296,231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19,753,036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Softvision,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05/21/2021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8,678,587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Sundial Group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08/15/2024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5.99%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9,851,797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Survey Sampling International,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12/16/2020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6.27%</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5,394,946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5,366,833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5,287,047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07/25/2023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7,882,265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Tensar Corporation</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07/09/2021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6.08%</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4,631,234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4,603,617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4,295,470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12/02/2021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8,139,730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6.81%</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3,037,176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5,879,466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8,856,365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8,730,717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8,812,084</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577,759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2,905,664</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6.56%</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11,374,590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11,277,723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11,362,740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2,660,000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(2,771)</w:t>
            </w:r>
          </w:p>
        </w:tc>
      </w:tr>
      <w:tr>
        <w:trPr>
          <w:trHeight w:val="142"/>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(917)</w:t>
            </w:r>
          </w:p>
        </w:tc>
      </w:tr>
      <w:tr>
        <w:trPr>
          <w:trHeight w:val="141"/>
        </w:trPr>
        <w:tc>
          <w:tcPr>
            <w:tcW w:w="3020" w:type="dxa"/>
            <w:vAlign w:val="bottom"/>
          </w:tcPr>
          <w:p>
            <w:pPr>
              <w:ind w:left="10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7,312,500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7,278,094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7,358,203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Vistage Worldwide,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5,029,514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4,994,127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5,042,087</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7,695,662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7,636,513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7,734,140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7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tcBorders>
              <w:bottom w:val="single" w:sz="8" w:color="CCECFF"/>
            </w:tcBorders>
          </w:tcPr>
          <w:p>
            <w:pPr>
              <w:spacing w:after="0"/>
              <w:rPr>
                <w:sz w:val="12"/>
                <w:szCs w:val="12"/>
                <w:color w:val="auto"/>
              </w:rPr>
            </w:pPr>
          </w:p>
        </w:tc>
        <w:tc>
          <w:tcPr>
            <w:tcW w:w="2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607,582,054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609,668,554</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Second Lien Secured Debt—8.3%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03/31/2025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14,700,169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11.84%</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1,976,823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11,064,344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10,992,000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MailSouth,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3,714,927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3,812,750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09/29/2025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2,462,500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08/01/2018</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2,792,500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2,720,508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1,144,925</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2,623,765</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2,663,719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39,263,036</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37,833,394</w:t>
            </w:r>
          </w:p>
        </w:tc>
        <w:tc>
          <w:tcPr>
            <w:tcW w:w="100" w:type="dxa"/>
            <w:vAlign w:val="bottom"/>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12/31/2021</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417,458</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(PIK 17.00%)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10/26/2020</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2,051,232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Sonny's Enterprises,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4,662,663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173,933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7,267,407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7,432,373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472,846</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1,509,417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1,119,134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1,982,263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Equity/Warrants—2.2%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2,263,885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6,398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215,182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339,402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By Light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2,601,944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429,091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204,710</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631,240</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(The Infosoft Group,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16,020</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342,767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1,274,388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10,283,190</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10,057,055</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665,514,821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666,973,639</w:t>
            </w:r>
          </w:p>
        </w:tc>
        <w:tc>
          <w:tcPr>
            <w:tcW w:w="100" w:type="dxa"/>
            <w:vAlign w:val="bottom"/>
            <w:tcBorders>
              <w:bottom w:val="single" w:sz="8" w:color="CCECFF"/>
            </w:tcBorders>
          </w:tcPr>
          <w:p>
            <w:pPr>
              <w:spacing w:after="0"/>
              <w:rPr>
                <w:sz w:val="12"/>
                <w:szCs w:val="12"/>
                <w:color w:val="auto"/>
              </w:rPr>
            </w:pPr>
          </w:p>
        </w:tc>
      </w:tr>
      <w:tr>
        <w:trPr>
          <w:trHeight w:val="142"/>
        </w:trPr>
        <w:tc>
          <w:tcPr>
            <w:tcW w:w="39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8"/>
              </w:rPr>
              <w:t xml:space="preserve">Investments in Controlled, Affiliated Portfolio Companies—9.5% </w:t>
            </w:r>
            <w:r>
              <w:rPr>
                <w:rFonts w:ascii="Arial" w:cs="Arial" w:eastAsia="Arial" w:hAnsi="Arial"/>
                <w:sz w:val="9"/>
                <w:szCs w:val="9"/>
                <w:b w:val="1"/>
                <w:bCs w:val="1"/>
                <w:color w:val="auto"/>
                <w:w w:val="98"/>
              </w:rPr>
              <w:t>(3), (4)</w:t>
            </w: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Notes—6.6%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05/06/2024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Equity Interests—2.9% </w:t>
            </w:r>
            <w:r>
              <w:rPr>
                <w:rFonts w:ascii="Arial" w:cs="Arial" w:eastAsia="Arial" w:hAnsi="Arial"/>
                <w:sz w:val="9"/>
                <w:szCs w:val="9"/>
                <w:b w:val="1"/>
                <w:bCs w:val="1"/>
                <w:color w:val="auto"/>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12,900,000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13,425,143</w:t>
            </w:r>
          </w:p>
        </w:tc>
        <w:tc>
          <w:tcPr>
            <w:tcW w:w="100" w:type="dxa"/>
            <w:vAlign w:val="bottom"/>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43,525,143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Investments—155.2%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708,514,821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710,498,782</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Cash and Cash Equivalents—4.1%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16,818,166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16,818,166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2,029,507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2,092,590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18,847,673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18,910,756</w:t>
            </w:r>
          </w:p>
        </w:tc>
        <w:tc>
          <w:tcPr>
            <w:tcW w:w="100" w:type="dxa"/>
            <w:vAlign w:val="bottom"/>
            <w:shd w:val="clear" w:color="auto" w:fill="CCECFF"/>
          </w:tcPr>
          <w:p>
            <w:pPr>
              <w:spacing w:after="0"/>
              <w:rPr>
                <w:sz w:val="12"/>
                <w:szCs w:val="12"/>
                <w:color w:val="auto"/>
              </w:rPr>
            </w:pPr>
          </w:p>
        </w:tc>
      </w:tr>
      <w:tr>
        <w:trPr>
          <w:trHeight w:val="18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Equivalents—159.3%</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264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8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727,362,494</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729,409,538</w:t>
            </w:r>
          </w:p>
        </w:tc>
        <w:tc>
          <w:tcPr>
            <w:tcW w:w="100" w:type="dxa"/>
            <w:vAlign w:val="bottom"/>
            <w:tcBorders>
              <w:bottom w:val="single" w:sz="8" w:color="CCECFF"/>
            </w:tcBorders>
          </w:tcPr>
          <w:p>
            <w:pPr>
              <w:spacing w:after="0"/>
              <w:rPr>
                <w:sz w:val="15"/>
                <w:szCs w:val="15"/>
                <w:color w:val="auto"/>
              </w:rPr>
            </w:pPr>
          </w:p>
        </w:tc>
      </w:tr>
      <w:tr>
        <w:trPr>
          <w:trHeight w:val="129"/>
        </w:trPr>
        <w:tc>
          <w:tcPr>
            <w:tcW w:w="300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Assets—(59.3)%</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(271,503,264)</w:t>
            </w:r>
          </w:p>
        </w:tc>
      </w:tr>
      <w:tr>
        <w:trPr>
          <w:trHeight w:val="148"/>
        </w:trPr>
        <w:tc>
          <w:tcPr>
            <w:tcW w:w="300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457,906,274</w:t>
            </w:r>
          </w:p>
        </w:tc>
        <w:tc>
          <w:tcPr>
            <w:tcW w:w="10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76" w:lineRule="exact"/>
        <w:rPr>
          <w:sz w:val="20"/>
          <w:szCs w:val="20"/>
          <w:color w:val="auto"/>
        </w:rPr>
      </w:pPr>
    </w:p>
    <w:p>
      <w:pPr>
        <w:jc w:val="both"/>
        <w:ind w:left="380" w:right="120" w:hanging="372"/>
        <w:spacing w:after="0" w:line="243" w:lineRule="auto"/>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the Euro Interbank Offered Rate, or EURIBOR, the Bank Bill Swap Bid Rate, or BBSY or Prime rate, or “P.” All securities are subject to a LIBOR or Prime rate floor where a spread is provided, unless noted. The spread provided includes payment-in-kind, or PIK, interest and other fee rates, if any.</w:t>
      </w:r>
    </w:p>
    <w:p>
      <w:pPr>
        <w:spacing w:after="0" w:line="26" w:lineRule="exact"/>
        <w:rPr>
          <w:rFonts w:ascii="Arial" w:cs="Arial" w:eastAsia="Arial" w:hAnsi="Arial"/>
          <w:sz w:val="12"/>
          <w:szCs w:val="12"/>
          <w:color w:val="auto"/>
        </w:rPr>
      </w:pP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9"/>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9"/>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87% of our total assets and non-qualifying assets represent 13%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80" w:type="dxa"/>
            <w:vAlign w:val="bottom"/>
          </w:tcPr>
          <w:p>
            <w:pPr>
              <w:jc w:val="center"/>
              <w:ind w:right="102"/>
              <w:spacing w:after="0"/>
              <w:rPr>
                <w:sz w:val="20"/>
                <w:szCs w:val="20"/>
                <w:color w:val="auto"/>
              </w:rPr>
            </w:pPr>
            <w:r>
              <w:rPr>
                <w:rFonts w:ascii="Arial" w:cs="Arial" w:eastAsia="Arial" w:hAnsi="Arial"/>
                <w:sz w:val="12"/>
                <w:szCs w:val="12"/>
                <w:b w:val="1"/>
                <w:bCs w:val="1"/>
                <w:color w:val="auto"/>
                <w:w w:val="94"/>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2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Companies—159.3% </w:t>
            </w:r>
            <w:r>
              <w:rPr>
                <w:rFonts w:ascii="Arial" w:cs="Arial" w:eastAsia="Arial" w:hAnsi="Arial"/>
                <w:sz w:val="9"/>
                <w:szCs w:val="9"/>
                <w:b w:val="1"/>
                <w:bCs w:val="1"/>
                <w:color w:val="auto"/>
                <w:w w:val="90"/>
              </w:rPr>
              <w:t>(3), (4)</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Debt—145.9%</w:t>
            </w: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12,255,990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12,250,000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08/09/2021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(80,000)</w:t>
            </w: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ALG USA Holdings,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02/28/2019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12,064,454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12,037,105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12,064,454</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04/04/2022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tcPr>
          <w:p>
            <w:pPr>
              <w:jc w:val="right"/>
              <w:spacing w:after="0"/>
              <w:rPr>
                <w:sz w:val="20"/>
                <w:szCs w:val="20"/>
                <w:color w:val="auto"/>
              </w:rPr>
            </w:pPr>
            <w:r>
              <w:rPr>
                <w:rFonts w:ascii="Arial" w:cs="Arial" w:eastAsia="Arial" w:hAnsi="Arial"/>
                <w:sz w:val="12"/>
                <w:szCs w:val="12"/>
                <w:color w:val="auto"/>
              </w:rPr>
              <w:t>3,943,925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3,925,777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3,946,410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American Bath Group,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10/02/2023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2,970,000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2,992,500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American Scaffold</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03/31/2022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4,937,500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4,866,801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4,888,125</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AMF Bowling Centers,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09/19/2023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14,850,608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14,931,300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AP Gaming I,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12/21/2020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L+825</w:t>
            </w:r>
          </w:p>
        </w:tc>
        <w:tc>
          <w:tcPr>
            <w:tcW w:w="680" w:type="dxa"/>
            <w:vAlign w:val="bottom"/>
          </w:tcPr>
          <w:p>
            <w:pPr>
              <w:jc w:val="right"/>
              <w:spacing w:after="0"/>
              <w:rPr>
                <w:sz w:val="20"/>
                <w:szCs w:val="20"/>
                <w:color w:val="auto"/>
              </w:rPr>
            </w:pPr>
            <w:r>
              <w:rPr>
                <w:rFonts w:ascii="Arial" w:cs="Arial" w:eastAsia="Arial" w:hAnsi="Arial"/>
                <w:sz w:val="12"/>
                <w:szCs w:val="12"/>
                <w:color w:val="auto"/>
              </w:rPr>
              <w:t>6,534,878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6,462,308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6,220,419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04/22/2022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9,787,810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9,825,375</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Azure Midstream Energy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11/15/2018</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Energy: Oil and Gas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5,125,684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5,042,414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4,228,689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Blue Bird Body Company</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06/29/2020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3"/>
              </w:rPr>
              <w:t>Automotive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3,498,670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3,462,806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3,498,670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Broder Bros., Co., Tranche A</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tcPr>
          <w:p>
            <w:pPr>
              <w:jc w:val="right"/>
              <w:spacing w:after="0"/>
              <w:rPr>
                <w:sz w:val="20"/>
                <w:szCs w:val="20"/>
                <w:color w:val="auto"/>
              </w:rPr>
            </w:pPr>
            <w:r>
              <w:rPr>
                <w:rFonts w:ascii="Arial" w:cs="Arial" w:eastAsia="Arial" w:hAnsi="Arial"/>
                <w:sz w:val="12"/>
                <w:szCs w:val="12"/>
                <w:color w:val="auto"/>
              </w:rPr>
              <w:t>2,440,000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2,397,229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2,422,820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B</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L+1,225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2,460,000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2,415,653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2,442,679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Camin Cargo Control,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2,468,750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2,448,157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2,370,000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CareCentrix,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07/08/2021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4,847,215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4,863,375</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07/02/2020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4,962,500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4,930,912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4,850,844</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07/21/2023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12,179,928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12,343,750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Charming Charlie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12/24/2019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4,098,750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4,061,551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3,750,357</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Chicken Soup for the Soul Publishing,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01/08/2019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4,828,571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4,801,254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4,732,000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10.75%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tcPr>
          <w:p>
            <w:pPr>
              <w:jc w:val="right"/>
              <w:spacing w:after="0"/>
              <w:rPr>
                <w:sz w:val="20"/>
                <w:szCs w:val="20"/>
                <w:color w:val="auto"/>
              </w:rPr>
            </w:pPr>
            <w:r>
              <w:rPr>
                <w:rFonts w:ascii="Arial" w:cs="Arial" w:eastAsia="Arial" w:hAnsi="Arial"/>
                <w:sz w:val="12"/>
                <w:szCs w:val="12"/>
                <w:color w:val="auto"/>
              </w:rPr>
              <w:t>6,272,600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6,163,749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6,272,600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CRGT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12/21/2020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10,531,671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10,451,145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10,505,342</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Curo Health Services Holdings,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1,953,997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DBI Holding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08/02/2021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tcPr>
          <w:p>
            <w:pPr>
              <w:jc w:val="right"/>
              <w:spacing w:after="0"/>
              <w:rPr>
                <w:sz w:val="20"/>
                <w:szCs w:val="20"/>
                <w:color w:val="auto"/>
              </w:rPr>
            </w:pPr>
            <w:r>
              <w:rPr>
                <w:rFonts w:ascii="Arial" w:cs="Arial" w:eastAsia="Arial" w:hAnsi="Arial"/>
                <w:sz w:val="12"/>
                <w:szCs w:val="12"/>
                <w:color w:val="auto"/>
              </w:rPr>
              <w:t>10,000,000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9,900,163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9,900,000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DCS Business Services,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03/19/2018</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2,237,139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2,225,615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2,237,139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12/09/2020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4,925,000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4,889,096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4,875,750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4,687,500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4,659,016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4,687,500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09/10/2020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8,550,000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8,513,835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8,507,250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09/10/2020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Education Networks of America,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8,641,304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8,599,431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8,598,098</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 (Revolver)</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869,565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06/15/2022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10,972,500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10,864,398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10,972,500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Emerging Markets Communications,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07/01/2021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tcPr>
          <w:p>
            <w:pPr>
              <w:jc w:val="right"/>
              <w:spacing w:after="0"/>
              <w:rPr>
                <w:sz w:val="20"/>
                <w:szCs w:val="20"/>
                <w:color w:val="auto"/>
              </w:rPr>
            </w:pPr>
            <w:r>
              <w:rPr>
                <w:rFonts w:ascii="Arial" w:cs="Arial" w:eastAsia="Arial" w:hAnsi="Arial"/>
                <w:sz w:val="12"/>
                <w:szCs w:val="12"/>
                <w:color w:val="auto"/>
              </w:rPr>
              <w:t>4,937,500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4,875,844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4,702,969</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FHC Health Systems,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12/23/2021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4,925,000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4,884,041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4,798,821</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GlobalLogic Holdings,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05/31/2019</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tcPr>
          <w:p>
            <w:pPr>
              <w:jc w:val="right"/>
              <w:spacing w:after="0"/>
              <w:rPr>
                <w:sz w:val="20"/>
                <w:szCs w:val="20"/>
                <w:color w:val="auto"/>
              </w:rPr>
            </w:pPr>
            <w:r>
              <w:rPr>
                <w:rFonts w:ascii="Arial" w:cs="Arial" w:eastAsia="Arial" w:hAnsi="Arial"/>
                <w:sz w:val="12"/>
                <w:szCs w:val="12"/>
                <w:color w:val="auto"/>
              </w:rPr>
              <w:t>3,890,000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3,867,640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3,880,275</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Greenway Health,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6,807,500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6,765,938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6,620,294</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GTCR Valor Companies,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7,481,250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7,191,975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7,116,539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Harbortouch Payments,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6,956,250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6,889,369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7,025,812</w:t>
            </w:r>
          </w:p>
        </w:tc>
        <w:tc>
          <w:tcPr>
            <w:tcW w:w="120" w:type="dxa"/>
            <w:vAlign w:val="bottom"/>
            <w:shd w:val="clear" w:color="auto" w:fill="CCECFF"/>
          </w:tcPr>
          <w:p>
            <w:pPr>
              <w:spacing w:after="0"/>
              <w:rPr>
                <w:sz w:val="12"/>
                <w:szCs w:val="12"/>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color w:val="auto"/>
              </w:rPr>
              <w:t>Highline Aftermarket Acquisition,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04/01/2022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7,312,500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7,244,146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7,275,937</w:t>
            </w:r>
          </w:p>
        </w:tc>
        <w:tc>
          <w:tcPr>
            <w:tcW w:w="120" w:type="dxa"/>
            <w:vAlign w:val="bottom"/>
          </w:tcPr>
          <w:p>
            <w:pPr>
              <w:spacing w:after="0"/>
              <w:rPr>
                <w:sz w:val="12"/>
                <w:szCs w:val="12"/>
                <w:color w:val="auto"/>
              </w:rPr>
            </w:pPr>
          </w:p>
        </w:tc>
      </w:tr>
      <w:tr>
        <w:trPr>
          <w:trHeight w:val="141"/>
        </w:trPr>
        <w:tc>
          <w:tcPr>
            <w:tcW w:w="2940" w:type="dxa"/>
            <w:vAlign w:val="bottom"/>
          </w:tcPr>
          <w:p>
            <w:pPr>
              <w:ind w:left="100"/>
              <w:spacing w:after="0"/>
              <w:rPr>
                <w:sz w:val="20"/>
                <w:szCs w:val="20"/>
                <w:color w:val="auto"/>
              </w:rPr>
            </w:pPr>
            <w:r>
              <w:rPr>
                <w:rFonts w:ascii="Arial" w:cs="Arial" w:eastAsia="Arial" w:hAnsi="Arial"/>
                <w:sz w:val="12"/>
                <w:szCs w:val="12"/>
                <w:color w:val="auto"/>
              </w:rPr>
              <w:t>(f/k/a DYK Prime Acquisition, LLC)</w:t>
            </w: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Hollander Sleep Products,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10/21/2020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1,165,886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1,153,016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1,142,569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Hostway Corporation</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12/13/2019</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2,624,730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2,610,592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2,183,890</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08/05/2019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6,218,559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5,505,500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L+625</w:t>
            </w:r>
          </w:p>
        </w:tc>
        <w:tc>
          <w:tcPr>
            <w:tcW w:w="680" w:type="dxa"/>
            <w:vAlign w:val="bottom"/>
          </w:tcPr>
          <w:p>
            <w:pPr>
              <w:jc w:val="right"/>
              <w:spacing w:after="0"/>
              <w:rPr>
                <w:sz w:val="20"/>
                <w:szCs w:val="20"/>
                <w:color w:val="auto"/>
              </w:rPr>
            </w:pPr>
            <w:r>
              <w:rPr>
                <w:rFonts w:ascii="Arial" w:cs="Arial" w:eastAsia="Arial" w:hAnsi="Arial"/>
                <w:sz w:val="12"/>
                <w:szCs w:val="12"/>
                <w:color w:val="auto"/>
              </w:rPr>
              <w:t>6,225,820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6,133,990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6,225,820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Idera,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7,942,494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7,293,179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7,684,363</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05/01/2019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8,676,097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8,614,521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8,242,292</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Imagine! Print Solutions,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03/30/2022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5,974,987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5,914,562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6,027,269</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Instant Web, LLC, Term Loan A</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5,277,938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5,235,239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5,277,938</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B</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4,460,571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06/30/2020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6,662,719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6,609,864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6,662,719</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 (f/k/a ICC-Nexergy,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4,882,266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4,846,935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4,686,976</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Jackson Hewitt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4,900,000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4,820,995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4,753,000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02/19/2021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4,002,471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3,932,760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3,925,841</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Kendra Scott,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07/17/2020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2,850,000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2,827,307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2,821,500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12,406,250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12,210,683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12,344,219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1,209,677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10,174,500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9,984,965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9,971,010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Lanyon Solutions,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11/13/2020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1,945,020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1,940,066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1,930,432</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5,407,864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5,371,524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5,272,668</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05/10/2021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2,186,607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2,177,539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2,186,607</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05/10/2021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282,143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280,973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282,143</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Lombart Brothers,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5,901,046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6,014,925</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120" w:type="dxa"/>
            <w:vAlign w:val="bottom"/>
            <w:shd w:val="clear" w:color="auto" w:fill="CCECFF"/>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04/13/2022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1,061,947</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08/19/2021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4,951,874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01/15/2021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9,542,392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9,417,467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9,542,392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LTI Holdings,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04/18/2022</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5.25%</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5,431,250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4,973,326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5,254,734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1,362,530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1,342,162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1,342,092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340" w:type="dxa"/>
            <w:vAlign w:val="bottom"/>
            <w:gridSpan w:val="2"/>
          </w:tcPr>
          <w:p>
            <w:pPr>
              <w:ind w:left="160"/>
              <w:spacing w:after="0"/>
              <w:rPr>
                <w:sz w:val="20"/>
                <w:szCs w:val="20"/>
                <w:color w:val="auto"/>
              </w:rPr>
            </w:pPr>
            <w:r>
              <w:rPr>
                <w:rFonts w:ascii="Arial" w:cs="Arial" w:eastAsia="Arial" w:hAnsi="Arial"/>
                <w:sz w:val="12"/>
                <w:szCs w:val="12"/>
                <w:color w:val="auto"/>
                <w:w w:val="85"/>
              </w:rPr>
              <w:t>C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17,244,188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12,065,652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13,078,215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613,139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09/28/2022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4,116,608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4,075,499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4,075,442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09/28/2021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New Trident HoldCorp,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07/31/2019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8,817,647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8,767,669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8,288,588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08/19/2022</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6,268,657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6,205,970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6,205,970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w w:val="98"/>
              </w:rPr>
              <w:t xml:space="preserve">Pathway Partners Vet Management Company LLC </w:t>
            </w:r>
            <w:r>
              <w:rPr>
                <w:rFonts w:ascii="Arial" w:cs="Arial" w:eastAsia="Arial" w:hAnsi="Arial"/>
                <w:sz w:val="9"/>
                <w:szCs w:val="9"/>
                <w:color w:val="auto"/>
                <w:w w:val="98"/>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3,731,343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Polycom,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09/27/2023</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5,760,000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5,775,000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Precyse Acquisition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10/20/2022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3,932,956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4,014,938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Premier Dental Services,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11/01/2018</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Consumer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7,528,230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7,473,587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7,490,588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05/20/2021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7,281,762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7,222,561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7,281,762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05/20/2020</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Quick Weight Loss Centers,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08/23/2021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9,852,456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Research Now Group,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03/18/2021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5.50%</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6,895,000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6,867,800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6,688,150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06/18/2019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4,252,830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4,233,671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4,258,699</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Ryan,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08/07/2020</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6.75%</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4,166,413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4,163,400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Sensus USA,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04/05/2023</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Utilities: Water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9,692,511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9,999,938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Snak Club,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07/19/2021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4,968,748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4,896,623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4,919,060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Software Paradigms International Group,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05/21/2021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9,781,596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9,825,625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Sotera Defense Solutions,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04/21/2017</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5,668,843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5,614,696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5,640,499</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Sundial Group Holdings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10/19/2021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7.25%</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7,312,500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7,200,786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7,312,500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Survey Sampling International,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12/16/2020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7,446,562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7,395,200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7,409,329</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Systems Maintenance Services Holding,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10/18/2019</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5.00%</w:t>
            </w:r>
          </w:p>
        </w:tc>
        <w:tc>
          <w:tcPr>
            <w:tcW w:w="680" w:type="dxa"/>
            <w:vAlign w:val="bottom"/>
          </w:tcPr>
          <w:p>
            <w:pPr>
              <w:jc w:val="right"/>
              <w:spacing w:after="0"/>
              <w:rPr>
                <w:sz w:val="20"/>
                <w:szCs w:val="20"/>
                <w:color w:val="auto"/>
              </w:rPr>
            </w:pPr>
            <w:r>
              <w:rPr>
                <w:rFonts w:ascii="Arial" w:cs="Arial" w:eastAsia="Arial" w:hAnsi="Arial"/>
                <w:sz w:val="12"/>
                <w:szCs w:val="12"/>
                <w:color w:val="auto"/>
              </w:rPr>
              <w:t>L+400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5,834,217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5,733,000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Tensar Corporation</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07/09/2021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4,822,723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4,786,985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4,071,198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3,092,295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3,062,366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5,986,002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5,928,120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(7,092)</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TOMS Shoes,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11/02/2020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1,825,559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1,576,000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12/28/2020</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11.27%</w:t>
            </w:r>
          </w:p>
        </w:tc>
        <w:tc>
          <w:tcPr>
            <w:tcW w:w="680" w:type="dxa"/>
            <w:vAlign w:val="bottom"/>
          </w:tcPr>
          <w:p>
            <w:pPr>
              <w:jc w:val="right"/>
              <w:spacing w:after="0"/>
              <w:rPr>
                <w:sz w:val="20"/>
                <w:szCs w:val="20"/>
                <w:color w:val="auto"/>
              </w:rPr>
            </w:pPr>
            <w:r>
              <w:rPr>
                <w:rFonts w:ascii="Arial" w:cs="Arial" w:eastAsia="Arial" w:hAnsi="Arial"/>
                <w:sz w:val="12"/>
                <w:szCs w:val="12"/>
                <w:color w:val="auto"/>
              </w:rPr>
              <w:t>L+1,075</w:t>
            </w:r>
          </w:p>
        </w:tc>
        <w:tc>
          <w:tcPr>
            <w:tcW w:w="24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10,306,936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10,124,477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10,306,936</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599,702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562,432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590,706</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Universal Fiber Systems,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10/04/2021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4,962,500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4,919,423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4,937,688</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Anesthesia Partners,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12/31/2019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9,818,407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9,850,500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08/13/2021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3,089,844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Vistage Worldwide,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4,792,831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4,752,002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4,792,831</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Winchester Electronics Corporation</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06/30/2022</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7,773,579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7,703,094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7,668,171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06/30/2022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(9,605)</w:t>
            </w: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Worley Claims Services, LLC</w:t>
            </w:r>
          </w:p>
        </w:tc>
        <w:tc>
          <w:tcPr>
            <w:tcW w:w="6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9"/>
              </w:rPr>
              <w:t>10/30/2020</w:t>
            </w:r>
          </w:p>
        </w:tc>
        <w:tc>
          <w:tcPr>
            <w:tcW w:w="220" w:type="dxa"/>
            <w:vAlign w:val="bottom"/>
            <w:tcBorders>
              <w:bottom w:val="single" w:sz="8" w:color="CCECFF"/>
            </w:tcBorders>
          </w:tcPr>
          <w:p>
            <w:pPr>
              <w:spacing w:after="0"/>
              <w:rPr>
                <w:sz w:val="12"/>
                <w:szCs w:val="12"/>
                <w:color w:val="auto"/>
              </w:rPr>
            </w:pP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7,316,440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7,259,010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7,316,440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549,736,982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548,410,095</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Second Lien Secured Debt—9.7%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10/31/2018</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942,276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879,170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09/01/2017</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12/31/2020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1,971,030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Howard Berger Co.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09/30/2020</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11.00%</w:t>
            </w:r>
          </w:p>
        </w:tc>
        <w:tc>
          <w:tcPr>
            <w:tcW w:w="680" w:type="dxa"/>
            <w:vAlign w:val="bottom"/>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10,511,818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10/22/2021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3,703,724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Novitex Acquisition,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07/07/2021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12.25%</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10,914,618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11,000,000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10/02/2020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4,872,042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4,826,926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4,853,772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08/01/2017</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2,756,732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1,631,250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VT Buyer Acquisition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01/30/2023</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1,837,500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1,777,304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1,837,500</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38,404,428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36,596,692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07/30/2018</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1,135,273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1,030,320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1,035,937</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10/26/2018</w:t>
            </w:r>
          </w:p>
        </w:tc>
        <w:tc>
          <w:tcPr>
            <w:tcW w:w="220" w:type="dxa"/>
            <w:vAlign w:val="bottom"/>
          </w:tcPr>
          <w:p>
            <w:pPr>
              <w:spacing w:after="0"/>
              <w:rPr>
                <w:sz w:val="13"/>
                <w:szCs w:val="13"/>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2,069,078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2,050,767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1,975,969</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146,996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146,996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148,466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3,228,083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3,160,372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13.50%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1,319,308</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3,700,216</w:t>
            </w:r>
          </w:p>
        </w:tc>
        <w:tc>
          <w:tcPr>
            <w:tcW w:w="100" w:type="dxa"/>
            <w:vAlign w:val="bottom"/>
          </w:tcPr>
          <w:p>
            <w:pPr>
              <w:spacing w:after="0"/>
              <w:rPr>
                <w:sz w:val="13"/>
                <w:szCs w:val="13"/>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2"/>
              </w:rPr>
              <w:t>Current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Maturity</w:t>
            </w: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w w:val="88"/>
              </w:rPr>
              <w:t>Coupon</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Borders>
              <w:bottom w:val="single" w:sz="8" w:color="CCECFF"/>
            </w:tcBorders>
          </w:tcPr>
          <w:p>
            <w:pPr>
              <w:spacing w:after="0"/>
              <w:rPr>
                <w:sz w:val="12"/>
                <w:szCs w:val="12"/>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(2)</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20,096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Corfin InvestCo, L.P.</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621,550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 xml:space="preserve">e.l.f. Beauty, Inc. (f/k/a J.A. Cosmetics US, Inc.) </w:t>
            </w:r>
            <w:r>
              <w:rPr>
                <w:rFonts w:ascii="Arial" w:cs="Arial" w:eastAsia="Arial" w:hAnsi="Arial"/>
                <w:sz w:val="9"/>
                <w:szCs w:val="9"/>
                <w:color w:val="auto"/>
              </w:rPr>
              <w:t>(13)</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110,399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295,670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2,957,767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94,560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106,922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60" w:type="dxa"/>
            <w:vAlign w:val="bottom"/>
            <w:gridSpan w:val="2"/>
            <w:shd w:val="clear" w:color="auto" w:fill="CCECFF"/>
          </w:tcPr>
          <w:p>
            <w:pPr>
              <w:ind w:left="100"/>
              <w:spacing w:after="0"/>
              <w:rPr>
                <w:sz w:val="20"/>
                <w:szCs w:val="20"/>
                <w:color w:val="auto"/>
              </w:rPr>
            </w:pPr>
            <w:r>
              <w:rPr>
                <w:rFonts w:ascii="Arial" w:cs="Arial" w:eastAsia="Arial" w:hAnsi="Arial"/>
                <w:sz w:val="12"/>
                <w:szCs w:val="12"/>
                <w:color w:val="auto"/>
              </w:rPr>
              <w:t>(Advanced Cable Communications, LLC)</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tcPr>
          <w:p>
            <w:pPr>
              <w:spacing w:after="0"/>
              <w:rPr>
                <w:sz w:val="20"/>
                <w:szCs w:val="20"/>
                <w:color w:val="auto"/>
              </w:rPr>
            </w:pPr>
            <w:r>
              <w:rPr>
                <w:rFonts w:ascii="Arial" w:cs="Arial" w:eastAsia="Arial" w:hAnsi="Arial"/>
                <w:sz w:val="12"/>
                <w:szCs w:val="12"/>
                <w:color w:val="auto"/>
              </w:rPr>
              <w:t>TPC Broadband Investors, LP</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569,334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160" w:type="dxa"/>
            <w:vAlign w:val="bottom"/>
            <w:gridSpan w:val="2"/>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149,617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892,276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Vestcom Parent Holdings, Inc.</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540" w:type="dxa"/>
            <w:vAlign w:val="bottom"/>
            <w:tcBorders>
              <w:bottom w:val="single" w:sz="8" w:color="CCECFF"/>
            </w:tcBorders>
          </w:tcPr>
          <w:p>
            <w:pPr>
              <w:spacing w:after="0"/>
              <w:rPr>
                <w:sz w:val="12"/>
                <w:szCs w:val="12"/>
                <w:color w:val="auto"/>
              </w:rPr>
            </w:pPr>
          </w:p>
        </w:tc>
        <w:tc>
          <w:tcPr>
            <w:tcW w:w="3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15,179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56,895</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577,005</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5,870,491</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9,401,058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6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597,910,267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598,887,525</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Equivalents—7.7%</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4"/>
          </w:tcPr>
          <w:p>
            <w:pPr>
              <w:spacing w:after="0"/>
              <w:rPr>
                <w:sz w:val="20"/>
                <w:szCs w:val="20"/>
                <w:color w:val="auto"/>
              </w:rPr>
            </w:pPr>
            <w:r>
              <w:rPr>
                <w:rFonts w:ascii="Arial" w:cs="Arial" w:eastAsia="Arial" w:hAnsi="Arial"/>
                <w:sz w:val="12"/>
                <w:szCs w:val="12"/>
                <w:color w:val="auto"/>
                <w:w w:val="95"/>
              </w:rPr>
              <w:t>BlackRock Liquidity Funds, Temp Cash and Temp Fund, Institutional Shares</w:t>
            </w: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28,212,041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28,212,041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691,318</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698,932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5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Equivalents—167.0%</w:t>
            </w:r>
          </w:p>
        </w:tc>
        <w:tc>
          <w:tcPr>
            <w:tcW w:w="5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6"/>
              </w:rPr>
              <w:t>626,813,626</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627,798,498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3"/>
              </w:rPr>
              <w:t>(251,891,670)</w:t>
            </w:r>
          </w:p>
        </w:tc>
        <w:tc>
          <w:tcPr>
            <w:tcW w:w="0" w:type="dxa"/>
            <w:vAlign w:val="bottom"/>
          </w:tcPr>
          <w:p>
            <w:pPr>
              <w:spacing w:after="0"/>
              <w:rPr>
                <w:sz w:val="1"/>
                <w:szCs w:val="1"/>
                <w:color w:val="auto"/>
              </w:rPr>
            </w:pPr>
          </w:p>
        </w:tc>
      </w:tr>
      <w:tr>
        <w:trPr>
          <w:trHeight w:val="148"/>
        </w:trPr>
        <w:tc>
          <w:tcPr>
            <w:tcW w:w="316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5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375,906,828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3" w:lineRule="exact"/>
        <w:rPr>
          <w:sz w:val="20"/>
          <w:szCs w:val="20"/>
          <w:color w:val="auto"/>
        </w:rPr>
      </w:pPr>
    </w:p>
    <w:p>
      <w:pPr>
        <w:ind w:left="380" w:right="160" w:hanging="372"/>
        <w:spacing w:after="0" w:line="252"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2016, qualifying assets represent 95% of our total assets and non-qualifying assets represent 5%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Par amount is denominated in Canadian Dollars (C$).</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2017</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Our investment objectives are to generate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and subordinated debt and, to a lesser extent, equity investments.</w:t>
      </w:r>
    </w:p>
    <w:p>
      <w:pPr>
        <w:spacing w:after="0" w:line="113"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9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$375 million as of September 30, 2017 at LIBOR plus 200 basis points during the revolving period. The Credit Facility is secured by all of the assets held by Funding I. See Note 11.</w:t>
      </w:r>
    </w:p>
    <w:p>
      <w:pPr>
        <w:spacing w:after="0" w:line="10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15" w:lineRule="exact"/>
        <w:rPr>
          <w:sz w:val="20"/>
          <w:szCs w:val="20"/>
          <w:color w:val="auto"/>
        </w:rPr>
      </w:pPr>
    </w:p>
    <w:p>
      <w:pPr>
        <w:jc w:val="both"/>
        <w:ind w:right="300" w:firstLine="438"/>
        <w:spacing w:after="0" w:line="238" w:lineRule="auto"/>
        <w:rPr>
          <w:sz w:val="20"/>
          <w:szCs w:val="20"/>
          <w:color w:val="auto"/>
        </w:rPr>
      </w:pPr>
      <w:r>
        <w:rPr>
          <w:rFonts w:ascii="Arial" w:cs="Arial" w:eastAsia="Arial" w:hAnsi="Arial"/>
          <w:sz w:val="14"/>
          <w:szCs w:val="14"/>
          <w:color w:val="auto"/>
        </w:rPr>
        <w:t>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PSSL was formed as a Delaware limited liability company. See Note 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99"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and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20" w:right="20" w:hanging="359"/>
        <w:spacing w:after="0" w:line="253" w:lineRule="auto"/>
        <w:tabs>
          <w:tab w:leader="none" w:pos="9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920" w:right="60" w:hanging="359"/>
        <w:spacing w:after="0" w:line="264" w:lineRule="auto"/>
        <w:tabs>
          <w:tab w:leader="none" w:pos="9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00" w:hanging="359"/>
        <w:spacing w:after="0" w:line="238" w:lineRule="auto"/>
        <w:tabs>
          <w:tab w:leader="none" w:pos="9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ind w:left="920" w:right="60" w:hanging="359"/>
        <w:spacing w:after="0" w:line="253" w:lineRule="auto"/>
        <w:tabs>
          <w:tab w:leader="none" w:pos="9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98" w:lineRule="exact"/>
        <w:rPr>
          <w:sz w:val="20"/>
          <w:szCs w:val="20"/>
          <w:color w:val="auto"/>
        </w:rPr>
      </w:pPr>
    </w:p>
    <w:p>
      <w:pPr>
        <w:ind w:right="32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income taxes as a RIC, we may elect to retain a portion of our calendar year income, which may result in the imposition of an excise tax, or we may incur taxes through our Taxable Subsidiaries. For the fiscal years ended September 30, 2017, 2016 and 2015, we recorded a provision for taxes of $0.3 million, zero and $0.4 million, respectively, pertaining to U.S. federal excise tax.</w:t>
      </w:r>
    </w:p>
    <w:p>
      <w:pPr>
        <w:spacing w:after="0" w:line="99"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2017, there were no uncertain tax positions and no amounts accrued for interest or penalties.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 The Company’s tax returns for each of its federal taxable years since 2014 remain subject to examination by the Internal Revenue Service.</w:t>
      </w:r>
    </w:p>
    <w:p>
      <w:pPr>
        <w:spacing w:after="0" w:line="113"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01"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15"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3" w:lineRule="exact"/>
        <w:rPr>
          <w:sz w:val="20"/>
          <w:szCs w:val="20"/>
          <w:color w:val="auto"/>
        </w:rPr>
      </w:pPr>
    </w:p>
    <w:p>
      <w:pPr>
        <w:ind w:left="460" w:hanging="204"/>
        <w:spacing w:after="0"/>
        <w:tabs>
          <w:tab w:leader="none" w:pos="460" w:val="left"/>
        </w:tabs>
        <w:numPr>
          <w:ilvl w:val="0"/>
          <w:numId w:val="5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920" w:hanging="359"/>
        <w:spacing w:after="0"/>
        <w:tabs>
          <w:tab w:leader="none" w:pos="920" w:val="left"/>
        </w:tabs>
        <w:numPr>
          <w:ilvl w:val="1"/>
          <w:numId w:val="5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1"/>
          <w:numId w:val="5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2"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 our Consolidated Financial Statements. We do not consolidate our non-controlling interest in PSSL. See further description of our investment in PSSL in Note 4.</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Advisers,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9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2017, 2016 and 2015, the Investment Adviser earned a base management fee of $6.9 million, $5.0 million and $3.6 million, respectively, from us.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years ended September 30, 2017, 2016 and 2015, the Investment Adviser earned $4.9 million, $3.7 million and $2.2 million, respectively, in incentive fees on net investment income from us.</w:t>
      </w:r>
    </w:p>
    <w:p>
      <w:pPr>
        <w:spacing w:after="0" w:line="102"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2017, 2016 and 2015, we accrued an incentive fee on capital gains of approximately $0.1 million, zero and $(0.4) million, respectively, as calculated under the Investment Management Agreement (as described above).</w:t>
      </w:r>
    </w:p>
    <w:p>
      <w:pPr>
        <w:spacing w:after="0" w:line="10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2017, 2016 and 2015 was $1.2 million, $1.1 million and $(0.7) million, respectively.</w:t>
      </w:r>
    </w:p>
    <w:p>
      <w:pPr>
        <w:spacing w:after="0" w:line="104"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2017, 2016 and 2015, we reimbursed the Investment Adviser approximately $1.7 million, $0.8 million and $0.5 million, respectively, including expenses the Investment Adviser incurred on behalf of the Administrator, for services described above.</w:t>
      </w:r>
    </w:p>
    <w:p>
      <w:pPr>
        <w:spacing w:after="0" w:line="111" w:lineRule="exact"/>
        <w:rPr>
          <w:sz w:val="20"/>
          <w:szCs w:val="20"/>
          <w:color w:val="auto"/>
        </w:rPr>
      </w:pPr>
    </w:p>
    <w:p>
      <w:pPr>
        <w:ind w:right="400" w:firstLine="438"/>
        <w:spacing w:after="0" w:line="238" w:lineRule="auto"/>
        <w:rPr>
          <w:sz w:val="20"/>
          <w:szCs w:val="20"/>
          <w:color w:val="auto"/>
        </w:rPr>
      </w:pPr>
      <w:r>
        <w:rPr>
          <w:rFonts w:ascii="Arial" w:cs="Arial" w:eastAsia="Arial" w:hAnsi="Arial"/>
          <w:sz w:val="14"/>
          <w:szCs w:val="14"/>
          <w:color w:val="auto"/>
        </w:rPr>
        <w:t>For the year ended September 30, 2017, the Company purchased $38.1 million and sold $5.0 million in total investments to an affiliated fund managed by our Investment Adviser in accordance with, and pursuant to procedures adopted under, Rule 17a-7 of the 1940 Act. Realized gains on those sales amounted to less than $0.1 million. There were no transactions in accordance with Rule 17a-7 of the 1940 Act during the fiscal years ended September 30, 2016 and 2015.</w:t>
      </w:r>
    </w:p>
    <w:p>
      <w:pPr>
        <w:spacing w:after="0" w:line="115"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For the year ended September 30, 2017, we sold $85.1 million investments to PSSL at fair value and recognized $0.4 million of net realized gains. There were no transactions with PSSL during the years ended September 30, 2016 and 2015.</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Purchases of investments, including PIK, for the years ended September 30, 2017, 2016 and 2015 totaled $509.5 million, $364.6 million and $224.8 million, respectively. Sales and repayments of investments for the same periods totaled $406.5 million, $164.2 million and $195.0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14"/>
                <w:szCs w:val="14"/>
                <w:color w:val="auto"/>
              </w:rPr>
            </w:pPr>
          </w:p>
        </w:tc>
        <w:tc>
          <w:tcPr>
            <w:tcW w:w="312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2017</w:t>
            </w:r>
          </w:p>
        </w:tc>
        <w:tc>
          <w:tcPr>
            <w:tcW w:w="320" w:type="dxa"/>
            <w:vAlign w:val="bottom"/>
          </w:tcPr>
          <w:p>
            <w:pPr>
              <w:spacing w:after="0"/>
              <w:rPr>
                <w:sz w:val="14"/>
                <w:szCs w:val="14"/>
                <w:color w:val="auto"/>
              </w:rPr>
            </w:pPr>
          </w:p>
        </w:tc>
        <w:tc>
          <w:tcPr>
            <w:tcW w:w="294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607,582,054</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549,736,982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39,263,036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38,404,428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36,596,692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7,267,407</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7,432,373</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3,228,083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3,160,372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Subordinated note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30,100,000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30,100,000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11,402,324</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12,039,318</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6,540,774</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10,720,366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12,900,000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13,425,143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540" w:type="dxa"/>
            <w:vAlign w:val="bottom"/>
            <w:tcBorders>
              <w:top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708,514,821</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597,910,267</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598,887,525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18,847,673</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28,903,359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727,362,494</w:t>
            </w:r>
          </w:p>
        </w:tc>
        <w:tc>
          <w:tcPr>
            <w:tcW w:w="28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729,409,538</w:t>
            </w:r>
          </w:p>
        </w:tc>
        <w:tc>
          <w:tcPr>
            <w:tcW w:w="28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626,813,626</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627,798,498</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820" w:type="dxa"/>
            <w:vAlign w:val="bottom"/>
            <w:tcBorders>
              <w:bottom w:val="single" w:sz="8" w:color="auto"/>
            </w:tcBorders>
          </w:tcPr>
          <w:p>
            <w:pPr>
              <w:spacing w:after="0"/>
              <w:rPr>
                <w:sz w:val="14"/>
                <w:szCs w:val="14"/>
                <w:color w:val="auto"/>
              </w:rPr>
            </w:pPr>
          </w:p>
        </w:tc>
        <w:tc>
          <w:tcPr>
            <w:tcW w:w="20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September 30, 2017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9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High Tech Industries</w:t>
            </w:r>
          </w:p>
        </w:tc>
        <w:tc>
          <w:tcPr>
            <w:tcW w:w="2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10%</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3"/>
                <w:szCs w:val="13"/>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Non-Durable</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Wholesale</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Media: Broadcasting and Subscription</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60" w:type="dxa"/>
            <w:vAlign w:val="bottom"/>
            <w:shd w:val="clear" w:color="auto" w:fill="CCECFF"/>
          </w:tcPr>
          <w:p>
            <w:pPr>
              <w:spacing w:after="0"/>
              <w:rPr>
                <w:sz w:val="20"/>
                <w:szCs w:val="20"/>
                <w:color w:val="auto"/>
              </w:rPr>
            </w:pPr>
            <w:r>
              <w:rPr>
                <w:rFonts w:ascii="Arial" w:cs="Arial" w:eastAsia="Arial" w:hAnsi="Arial"/>
                <w:sz w:val="14"/>
                <w:szCs w:val="14"/>
                <w:color w:val="auto"/>
                <w:w w:val="94"/>
              </w:rPr>
              <w:t>Retail</w:t>
            </w:r>
          </w:p>
        </w:tc>
        <w:tc>
          <w:tcPr>
            <w:tcW w:w="2580" w:type="dxa"/>
            <w:vAlign w:val="bottom"/>
            <w:shd w:val="clear" w:color="auto" w:fill="CCECFF"/>
          </w:tcPr>
          <w:p>
            <w:pPr>
              <w:spacing w:after="0"/>
              <w:rPr>
                <w:sz w:val="14"/>
                <w:szCs w:val="14"/>
                <w:color w:val="auto"/>
              </w:rPr>
            </w:pP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Banking, Finance, Insurance and Real Estate</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542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Utilities: Water</w:t>
            </w: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9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All Other</w:t>
            </w:r>
          </w:p>
        </w:tc>
        <w:tc>
          <w:tcPr>
            <w:tcW w:w="3020" w:type="dxa"/>
            <w:vAlign w:val="bottom"/>
            <w:gridSpan w:val="2"/>
            <w:shd w:val="clear" w:color="auto" w:fill="CCECFF"/>
          </w:tcPr>
          <w:p>
            <w:pPr>
              <w:spacing w:after="0"/>
              <w:rPr>
                <w:sz w:val="14"/>
                <w:szCs w:val="14"/>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2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6"/>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43"/>
        </w:trPr>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36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2017, PSSL had total assets of $103.8 million. As of the same date, we and Kemper had remaining commitments to fund subordinated notes and equity interests in PSSL in an aggregate of $50.9 million. PSSL’s portfolio consisted of debt investments in 18 portfolio companies as of September 30, 2017. As of September 30, 2017, at fair value, the largest investment in a single portfolio company in PSSL was $8.1 million and the five largest investments totaled $34.9 million. PSSL invests in portfolio companies in the same industries in which we may directly invest.</w:t>
      </w:r>
    </w:p>
    <w:p>
      <w:pPr>
        <w:spacing w:after="0" w:line="103"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provide capital to PSSL in the form of subordinated notes and equity interests. The subordinated notes are junior in right of payment to the repayment of temporary contributions made by us to fund investments of PSSL. As of September 30, 2017, we and Kemper owned 87.5% and 12.5%, respectively, of each of the outstanding subordinated notes and equity interests. Our investment in PSSL consisted of subordinated notes of $30.1 million and equity interests of $12.9 million as of September 30, 2017. As of the same date, we had commitments to fund subordinated notes to PSSL of $61.3 million, of which $31.2 million was unfunded. As of September 30, 2017, we had commitments to fund equity interests in PSSL of $26.2 million, of which $13.3 million was unfunded.</w:t>
      </w:r>
    </w:p>
    <w:p>
      <w:pPr>
        <w:spacing w:after="0" w:line="116"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September 30, 2017 allowed PSSL Subsidiary to borrow up to $100.0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4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99,994,314</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42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456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8,080,000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4560" w:type="dxa"/>
            <w:vAlign w:val="bottom"/>
            <w:gridSpan w:val="2"/>
            <w:shd w:val="clear" w:color="auto" w:fill="CCECFF"/>
          </w:tcPr>
          <w:p>
            <w:pPr>
              <w:jc w:val="right"/>
              <w:ind w:right="169"/>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34,935,330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6"/>
        </w:trPr>
        <w:tc>
          <w:tcPr>
            <w:tcW w:w="4580" w:type="dxa"/>
            <w:vAlign w:val="bottom"/>
          </w:tcPr>
          <w:p>
            <w:pPr>
              <w:spacing w:after="0"/>
              <w:rPr>
                <w:sz w:val="24"/>
                <w:szCs w:val="24"/>
                <w:color w:val="auto"/>
              </w:rPr>
            </w:pPr>
          </w:p>
        </w:tc>
        <w:tc>
          <w:tcPr>
            <w:tcW w:w="4280" w:type="dxa"/>
            <w:vAlign w:val="bottom"/>
          </w:tcPr>
          <w:p>
            <w:pPr>
              <w:jc w:val="right"/>
              <w:ind w:right="3088"/>
              <w:spacing w:after="0"/>
              <w:rPr>
                <w:sz w:val="20"/>
                <w:szCs w:val="20"/>
                <w:color w:val="auto"/>
              </w:rPr>
            </w:pPr>
            <w:r>
              <w:rPr>
                <w:rFonts w:ascii="Arial" w:cs="Arial" w:eastAsia="Arial" w:hAnsi="Arial"/>
                <w:sz w:val="14"/>
                <w:szCs w:val="14"/>
                <w:color w:val="auto"/>
              </w:rPr>
              <w:t>61</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560" w:type="dxa"/>
            <w:vAlign w:val="bottom"/>
          </w:tcPr>
          <w:p>
            <w:pPr>
              <w:jc w:val="right"/>
              <w:ind w:right="202"/>
              <w:spacing w:after="0"/>
              <w:rPr>
                <w:sz w:val="20"/>
                <w:szCs w:val="20"/>
                <w:color w:val="auto"/>
              </w:rPr>
            </w:pPr>
            <w:r>
              <w:rPr>
                <w:rFonts w:ascii="Arial" w:cs="Arial" w:eastAsia="Arial" w:hAnsi="Arial"/>
                <w:sz w:val="12"/>
                <w:szCs w:val="12"/>
                <w:b w:val="1"/>
                <w:bCs w:val="1"/>
                <w:color w:val="auto"/>
              </w:rPr>
              <w:t>Par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Companies—651.7%</w:t>
            </w:r>
          </w:p>
        </w:tc>
        <w:tc>
          <w:tcPr>
            <w:tcW w:w="25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Debt—651.7%</w:t>
            </w:r>
          </w:p>
        </w:tc>
        <w:tc>
          <w:tcPr>
            <w:tcW w:w="1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04/04/2022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08/01/2024</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04/22/2022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05/16/2022</w:t>
            </w: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11/29/2023</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03/31/2023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10/31/2024</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12/09/2020</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09/30/2022</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10/12/2021</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12/30/2021</w:t>
            </w:r>
          </w:p>
        </w:tc>
        <w:tc>
          <w:tcPr>
            <w:tcW w:w="266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05/01/2023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09/28/2022</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02/10/2023</w:t>
            </w: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03/03/2022</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07/19/2021</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12/02/2021</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920" w:type="dxa"/>
            <w:vAlign w:val="bottom"/>
            <w:gridSpan w:val="2"/>
            <w:shd w:val="clear" w:color="auto" w:fill="CCECFF"/>
          </w:tcPr>
          <w:p>
            <w:pPr>
              <w:ind w:left="48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03/01/2023</w:t>
            </w:r>
          </w:p>
        </w:tc>
        <w:tc>
          <w:tcPr>
            <w:tcW w:w="266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920" w:type="dxa"/>
            <w:vAlign w:val="bottom"/>
            <w:tcBorders>
              <w:bottom w:val="single" w:sz="8" w:color="CCECFF"/>
            </w:tcBorders>
            <w:gridSpan w:val="2"/>
          </w:tcPr>
          <w:p>
            <w:pPr>
              <w:ind w:left="48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6"/>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18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18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1180" w:type="dxa"/>
            <w:vAlign w:val="bottom"/>
            <w:tcBorders>
              <w:bottom w:val="single" w:sz="8" w:color="CCECFF"/>
            </w:tcBorders>
            <w:shd w:val="clear" w:color="auto" w:fill="CCECFF"/>
          </w:tcPr>
          <w:p>
            <w:pPr>
              <w:spacing w:after="0"/>
              <w:rPr>
                <w:sz w:val="12"/>
                <w:szCs w:val="12"/>
                <w:color w:val="auto"/>
              </w:rPr>
            </w:pPr>
          </w:p>
        </w:tc>
        <w:tc>
          <w:tcPr>
            <w:tcW w:w="2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6"/>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CFF"/>
            </w:tcBorders>
          </w:tcPr>
          <w:p>
            <w:pPr>
              <w:spacing w:after="0" w:line="20" w:lineRule="exact"/>
              <w:rPr>
                <w:sz w:val="1"/>
                <w:szCs w:val="1"/>
                <w:color w:val="auto"/>
              </w:rPr>
            </w:pPr>
          </w:p>
        </w:tc>
        <w:tc>
          <w:tcPr>
            <w:tcW w:w="1180" w:type="dxa"/>
            <w:vAlign w:val="bottom"/>
            <w:tcBorders>
              <w:top w:val="single" w:sz="8" w:color="CCECFF"/>
            </w:tcBorders>
          </w:tcPr>
          <w:p>
            <w:pPr>
              <w:spacing w:after="0" w:line="20" w:lineRule="exact"/>
              <w:rPr>
                <w:sz w:val="1"/>
                <w:szCs w:val="1"/>
                <w:color w:val="auto"/>
              </w:rPr>
            </w:pPr>
          </w:p>
        </w:tc>
        <w:tc>
          <w:tcPr>
            <w:tcW w:w="25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6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62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700" w:type="dxa"/>
            <w:vAlign w:val="bottom"/>
          </w:tcPr>
          <w:p>
            <w:pPr>
              <w:jc w:val="center"/>
              <w:ind w:left="110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700" w:type="dxa"/>
            <w:vAlign w:val="bottom"/>
          </w:tcPr>
          <w:p>
            <w:pPr>
              <w:jc w:val="center"/>
              <w:ind w:left="1108"/>
              <w:spacing w:after="0"/>
              <w:rPr>
                <w:sz w:val="20"/>
                <w:szCs w:val="20"/>
                <w:color w:val="auto"/>
              </w:rPr>
            </w:pPr>
            <w:r>
              <w:rPr>
                <w:rFonts w:ascii="Arial" w:cs="Arial" w:eastAsia="Arial" w:hAnsi="Arial"/>
                <w:sz w:val="14"/>
                <w:szCs w:val="14"/>
                <w:b w:val="1"/>
                <w:bCs w:val="1"/>
                <w:color w:val="auto"/>
                <w:w w:val="91"/>
              </w:rPr>
              <w:t>Statement of Assets and Liabilities</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5"/>
        </w:trPr>
        <w:tc>
          <w:tcPr>
            <w:tcW w:w="782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820" w:type="dxa"/>
            <w:vAlign w:val="bottom"/>
            <w:tcBorders>
              <w:top w:val="single" w:sz="8" w:color="CCECFF"/>
            </w:tcBorders>
            <w:shd w:val="clear" w:color="auto" w:fill="CCECFF"/>
          </w:tcPr>
          <w:p>
            <w:pPr>
              <w:spacing w:after="0"/>
              <w:rPr>
                <w:sz w:val="13"/>
                <w:szCs w:val="13"/>
                <w:color w:val="auto"/>
              </w:rPr>
            </w:pPr>
          </w:p>
        </w:tc>
        <w:tc>
          <w:tcPr>
            <w:tcW w:w="6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740" w:type="dxa"/>
            <w:vAlign w:val="bottom"/>
            <w:tcBorders>
              <w:top w:val="single" w:sz="8" w:color="auto"/>
            </w:tcBorders>
            <w:shd w:val="clear" w:color="auto" w:fill="CCECFF"/>
          </w:tcPr>
          <w:p>
            <w:pPr>
              <w:spacing w:after="0"/>
              <w:rPr>
                <w:sz w:val="13"/>
                <w:szCs w:val="13"/>
                <w:color w:val="auto"/>
              </w:rPr>
            </w:pPr>
          </w:p>
        </w:tc>
        <w:tc>
          <w:tcPr>
            <w:tcW w:w="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6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(cost—$99,544,903)</w:t>
            </w:r>
          </w:p>
        </w:tc>
        <w:tc>
          <w:tcPr>
            <w:tcW w:w="1560" w:type="dxa"/>
            <w:vAlign w:val="bottom"/>
            <w:gridSpan w:val="3"/>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99,994,314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Cash and cash equivalents (cost—$2,371,169)</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2,371,263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332,980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820" w:type="dxa"/>
            <w:vAlign w:val="bottom"/>
            <w:tcBorders>
              <w:bottom w:val="single" w:sz="8" w:color="CCECFF"/>
            </w:tcBorders>
          </w:tcPr>
          <w:p>
            <w:pPr>
              <w:spacing w:after="0"/>
              <w:rPr>
                <w:sz w:val="14"/>
                <w:szCs w:val="14"/>
                <w:color w:val="auto"/>
              </w:rPr>
            </w:pPr>
          </w:p>
        </w:tc>
        <w:tc>
          <w:tcPr>
            <w:tcW w:w="6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1,131,029</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shd w:val="clear" w:color="auto" w:fill="CCECFF"/>
          </w:tcPr>
          <w:p>
            <w:pPr>
              <w:spacing w:after="0"/>
              <w:rPr>
                <w:sz w:val="13"/>
                <w:szCs w:val="13"/>
                <w:color w:val="auto"/>
              </w:rPr>
            </w:pPr>
          </w:p>
        </w:tc>
        <w:tc>
          <w:tcPr>
            <w:tcW w:w="76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8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7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103,829,586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27,095,850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26,783,885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Subordinated notes payable</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34,400,000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97,531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subordinated notes</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12,107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820" w:type="dxa"/>
            <w:vAlign w:val="bottom"/>
            <w:tcBorders>
              <w:bottom w:val="single" w:sz="8" w:color="CCECFF"/>
            </w:tcBorders>
          </w:tcPr>
          <w:p>
            <w:pPr>
              <w:spacing w:after="0"/>
              <w:rPr>
                <w:sz w:val="14"/>
                <w:szCs w:val="14"/>
                <w:color w:val="auto"/>
              </w:rPr>
            </w:pPr>
          </w:p>
        </w:tc>
        <w:tc>
          <w:tcPr>
            <w:tcW w:w="6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97,192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62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8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7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88,486,565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Members' equity</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Paid-in capital</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14,742,857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Undistributed net investment income</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120,575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Accumulated net realized gain on investments</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100,920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unrealized appreciation on investments</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449,505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Net unrealized appreciation on foreign currency translations</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4"/>
                <w:szCs w:val="14"/>
                <w:color w:val="auto"/>
              </w:rPr>
              <w:t>(70,836)</w:t>
            </w:r>
          </w:p>
        </w:tc>
        <w:tc>
          <w:tcPr>
            <w:tcW w:w="0" w:type="dxa"/>
            <w:vAlign w:val="bottom"/>
          </w:tcPr>
          <w:p>
            <w:pPr>
              <w:spacing w:after="0"/>
              <w:rPr>
                <w:sz w:val="1"/>
                <w:szCs w:val="1"/>
                <w:color w:val="auto"/>
              </w:rPr>
            </w:pPr>
          </w:p>
        </w:tc>
      </w:tr>
      <w:tr>
        <w:trPr>
          <w:trHeight w:val="156"/>
        </w:trPr>
        <w:tc>
          <w:tcPr>
            <w:tcW w:w="200" w:type="dxa"/>
            <w:vAlign w:val="bottom"/>
            <w:tcBorders>
              <w:top w:val="single" w:sz="8" w:color="CCECFF"/>
            </w:tcBorders>
            <w:shd w:val="clear" w:color="auto" w:fill="CCECFF"/>
          </w:tcPr>
          <w:p>
            <w:pPr>
              <w:spacing w:after="0"/>
              <w:rPr>
                <w:sz w:val="13"/>
                <w:szCs w:val="13"/>
                <w:color w:val="auto"/>
              </w:rPr>
            </w:pPr>
          </w:p>
        </w:tc>
        <w:tc>
          <w:tcPr>
            <w:tcW w:w="7620" w:type="dxa"/>
            <w:vAlign w:val="bottom"/>
            <w:tcBorders>
              <w:top w:val="single" w:sz="8" w:color="CCECFF"/>
            </w:tcBorders>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members' equity</w:t>
            </w:r>
          </w:p>
        </w:tc>
        <w:tc>
          <w:tcPr>
            <w:tcW w:w="820" w:type="dxa"/>
            <w:vAlign w:val="bottom"/>
            <w:tcBorders>
              <w:top w:val="single" w:sz="8" w:color="CCECFF"/>
            </w:tcBorders>
            <w:shd w:val="clear" w:color="auto" w:fill="CCECFF"/>
          </w:tcPr>
          <w:p>
            <w:pPr>
              <w:spacing w:after="0"/>
              <w:rPr>
                <w:sz w:val="13"/>
                <w:szCs w:val="13"/>
                <w:color w:val="auto"/>
              </w:rPr>
            </w:pPr>
          </w:p>
        </w:tc>
        <w:tc>
          <w:tcPr>
            <w:tcW w:w="6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76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15,343,021</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762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103,829,586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5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620" w:type="dxa"/>
            <w:vAlign w:val="bottom"/>
            <w:gridSpan w:val="2"/>
          </w:tcPr>
          <w:p>
            <w:pPr>
              <w:ind w:left="180"/>
              <w:spacing w:after="0"/>
              <w:rPr>
                <w:sz w:val="20"/>
                <w:szCs w:val="20"/>
                <w:color w:val="auto"/>
              </w:rPr>
            </w:pPr>
            <w:r>
              <w:rPr>
                <w:rFonts w:ascii="Arial" w:cs="Arial" w:eastAsia="Arial" w:hAnsi="Arial"/>
                <w:sz w:val="14"/>
                <w:szCs w:val="14"/>
                <w:color w:val="auto"/>
              </w:rPr>
              <w:t>PSSL had no outstanding commitments to fund investments as of September 30, 2017.</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5700" w:type="dxa"/>
            <w:vAlign w:val="bottom"/>
          </w:tcPr>
          <w:p>
            <w:pPr>
              <w:jc w:val="center"/>
              <w:ind w:left="110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700" w:type="dxa"/>
            <w:vAlign w:val="bottom"/>
          </w:tcPr>
          <w:p>
            <w:pPr>
              <w:jc w:val="center"/>
              <w:ind w:left="1108"/>
              <w:spacing w:after="0"/>
              <w:rPr>
                <w:sz w:val="20"/>
                <w:szCs w:val="20"/>
                <w:color w:val="auto"/>
              </w:rPr>
            </w:pPr>
            <w:r>
              <w:rPr>
                <w:rFonts w:ascii="Arial" w:cs="Arial" w:eastAsia="Arial" w:hAnsi="Arial"/>
                <w:sz w:val="14"/>
                <w:szCs w:val="14"/>
                <w:b w:val="1"/>
                <w:bCs w:val="1"/>
                <w:color w:val="auto"/>
                <w:w w:val="91"/>
              </w:rPr>
              <w:t>Statements of Operations</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vMerge w:val="restart"/>
          </w:tcPr>
          <w:p>
            <w:pPr>
              <w:jc w:val="center"/>
              <w:ind w:right="88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May 4, 2017 (inception)</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through September 30, 2017</w:t>
            </w:r>
          </w:p>
        </w:tc>
        <w:tc>
          <w:tcPr>
            <w:tcW w:w="0" w:type="dxa"/>
            <w:vAlign w:val="bottom"/>
          </w:tcPr>
          <w:p>
            <w:pPr>
              <w:spacing w:after="0"/>
              <w:rPr>
                <w:sz w:val="1"/>
                <w:szCs w:val="1"/>
                <w:color w:val="auto"/>
              </w:rPr>
            </w:pPr>
          </w:p>
        </w:tc>
      </w:tr>
      <w:tr>
        <w:trPr>
          <w:trHeight w:val="155"/>
        </w:trPr>
        <w:tc>
          <w:tcPr>
            <w:tcW w:w="782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820" w:type="dxa"/>
            <w:vAlign w:val="bottom"/>
            <w:tcBorders>
              <w:top w:val="single" w:sz="8" w:color="CCECFF"/>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740" w:type="dxa"/>
            <w:vAlign w:val="bottom"/>
            <w:tcBorders>
              <w:top w:val="single" w:sz="8" w:color="auto"/>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6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1440" w:type="dxa"/>
            <w:vAlign w:val="bottom"/>
            <w:gridSpan w:val="2"/>
            <w:shd w:val="clear" w:color="auto" w:fill="CCECFF"/>
          </w:tcPr>
          <w:p>
            <w:pPr>
              <w:jc w:val="right"/>
              <w:ind w:right="49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1,365,433</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6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820" w:type="dxa"/>
            <w:vAlign w:val="bottom"/>
            <w:tcBorders>
              <w:bottom w:val="single" w:sz="8" w:color="CCECFF"/>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1,365,433</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7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620" w:type="dxa"/>
            <w:vAlign w:val="bottom"/>
            <w:gridSpan w:val="2"/>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442,554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6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expense on subordinated notes</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585,840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620" w:type="dxa"/>
            <w:vAlign w:val="bottom"/>
            <w:gridSpan w:val="2"/>
          </w:tcPr>
          <w:p>
            <w:pPr>
              <w:ind w:left="60"/>
              <w:spacing w:after="0"/>
              <w:rPr>
                <w:sz w:val="20"/>
                <w:szCs w:val="20"/>
                <w:color w:val="auto"/>
              </w:rPr>
            </w:pPr>
            <w:r>
              <w:rPr>
                <w:rFonts w:ascii="Arial" w:cs="Arial" w:eastAsia="Arial" w:hAnsi="Arial"/>
                <w:sz w:val="14"/>
                <w:szCs w:val="14"/>
                <w:color w:val="auto"/>
              </w:rPr>
              <w:t>Administrative services expenses</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67,528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6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820" w:type="dxa"/>
            <w:vAlign w:val="bottom"/>
            <w:shd w:val="clear" w:color="auto" w:fill="CCECFF"/>
          </w:tcPr>
          <w:p>
            <w:pPr>
              <w:spacing w:after="0"/>
              <w:rPr>
                <w:sz w:val="14"/>
                <w:szCs w:val="14"/>
                <w:color w:val="auto"/>
              </w:rPr>
            </w:pPr>
          </w:p>
        </w:tc>
        <w:tc>
          <w:tcPr>
            <w:tcW w:w="62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148,936</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CCECFF"/>
            </w:tcBorders>
          </w:tcPr>
          <w:p>
            <w:pPr>
              <w:spacing w:after="0"/>
              <w:rPr>
                <w:sz w:val="13"/>
                <w:szCs w:val="13"/>
                <w:color w:val="auto"/>
              </w:rPr>
            </w:pPr>
          </w:p>
        </w:tc>
        <w:tc>
          <w:tcPr>
            <w:tcW w:w="762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820" w:type="dxa"/>
            <w:vAlign w:val="bottom"/>
            <w:tcBorders>
              <w:bottom w:val="single" w:sz="8" w:color="CCEC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1,244,858</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762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20" w:type="dxa"/>
            <w:vAlign w:val="bottom"/>
            <w:shd w:val="clear" w:color="auto" w:fill="CCECFF"/>
          </w:tcPr>
          <w:p>
            <w:pPr>
              <w:spacing w:after="0"/>
              <w:rPr>
                <w:sz w:val="13"/>
                <w:szCs w:val="13"/>
                <w:color w:val="auto"/>
              </w:rPr>
            </w:pPr>
          </w:p>
        </w:tc>
        <w:tc>
          <w:tcPr>
            <w:tcW w:w="62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120,575</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foreign currency translations</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100,920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tcPr>
          <w:p>
            <w:pPr>
              <w:spacing w:after="0"/>
              <w:rPr>
                <w:sz w:val="20"/>
                <w:szCs w:val="20"/>
                <w:color w:val="auto"/>
              </w:rPr>
            </w:pPr>
            <w:r>
              <w:rPr>
                <w:rFonts w:ascii="Arial" w:cs="Arial" w:eastAsia="Arial" w:hAnsi="Arial"/>
                <w:sz w:val="14"/>
                <w:szCs w:val="14"/>
                <w:color w:val="auto"/>
              </w:rPr>
              <w:t>Net change in unrealized appreciation on:</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762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8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449,505</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7620" w:type="dxa"/>
            <w:vAlign w:val="bottom"/>
            <w:gridSpan w:val="2"/>
          </w:tcPr>
          <w:p>
            <w:pPr>
              <w:ind w:left="60"/>
              <w:spacing w:after="0"/>
              <w:rPr>
                <w:sz w:val="20"/>
                <w:szCs w:val="20"/>
                <w:color w:val="auto"/>
              </w:rPr>
            </w:pPr>
            <w:r>
              <w:rPr>
                <w:rFonts w:ascii="Arial" w:cs="Arial" w:eastAsia="Arial" w:hAnsi="Arial"/>
                <w:sz w:val="14"/>
                <w:szCs w:val="14"/>
                <w:color w:val="auto"/>
              </w:rPr>
              <w:t>Foreign currency translations</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right"/>
              <w:ind w:right="80"/>
              <w:spacing w:after="0"/>
              <w:rPr>
                <w:sz w:val="20"/>
                <w:szCs w:val="20"/>
                <w:color w:val="auto"/>
              </w:rPr>
            </w:pPr>
            <w:r>
              <w:rPr>
                <w:rFonts w:ascii="Arial" w:cs="Arial" w:eastAsia="Arial" w:hAnsi="Arial"/>
                <w:sz w:val="14"/>
                <w:szCs w:val="14"/>
                <w:color w:val="auto"/>
              </w:rPr>
              <w:t>(70,836)</w:t>
            </w:r>
          </w:p>
        </w:tc>
        <w:tc>
          <w:tcPr>
            <w:tcW w:w="0" w:type="dxa"/>
            <w:vAlign w:val="bottom"/>
          </w:tcPr>
          <w:p>
            <w:pPr>
              <w:spacing w:after="0"/>
              <w:rPr>
                <w:sz w:val="1"/>
                <w:szCs w:val="1"/>
                <w:color w:val="auto"/>
              </w:rPr>
            </w:pPr>
          </w:p>
        </w:tc>
      </w:tr>
      <w:tr>
        <w:trPr>
          <w:trHeight w:val="155"/>
        </w:trPr>
        <w:tc>
          <w:tcPr>
            <w:tcW w:w="200" w:type="dxa"/>
            <w:vAlign w:val="bottom"/>
            <w:tcBorders>
              <w:top w:val="single" w:sz="8" w:color="CCECFF"/>
            </w:tcBorders>
            <w:shd w:val="clear" w:color="auto" w:fill="CCECFF"/>
          </w:tcPr>
          <w:p>
            <w:pPr>
              <w:spacing w:after="0"/>
              <w:rPr>
                <w:sz w:val="13"/>
                <w:szCs w:val="13"/>
                <w:color w:val="auto"/>
              </w:rPr>
            </w:pPr>
          </w:p>
        </w:tc>
        <w:tc>
          <w:tcPr>
            <w:tcW w:w="7620" w:type="dxa"/>
            <w:vAlign w:val="bottom"/>
            <w:tcBorders>
              <w:top w:val="single" w:sz="8" w:color="CCECFF"/>
            </w:tcBorders>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Net change in unrealized appreciation on investments and foreign currency translations</w:t>
            </w:r>
          </w:p>
        </w:tc>
        <w:tc>
          <w:tcPr>
            <w:tcW w:w="820" w:type="dxa"/>
            <w:vAlign w:val="bottom"/>
            <w:tcBorders>
              <w:top w:val="single" w:sz="8" w:color="CCECFF"/>
            </w:tcBorders>
            <w:shd w:val="clear" w:color="auto" w:fill="CCECFF"/>
          </w:tcPr>
          <w:p>
            <w:pPr>
              <w:spacing w:after="0"/>
              <w:rPr>
                <w:sz w:val="13"/>
                <w:szCs w:val="13"/>
                <w:color w:val="auto"/>
              </w:rPr>
            </w:pPr>
          </w:p>
        </w:tc>
        <w:tc>
          <w:tcPr>
            <w:tcW w:w="62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378,669</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foreign currency translations</w:t>
            </w:r>
          </w:p>
        </w:tc>
        <w:tc>
          <w:tcPr>
            <w:tcW w:w="820" w:type="dxa"/>
            <w:vAlign w:val="bottom"/>
            <w:tcBorders>
              <w:bottom w:val="single" w:sz="8" w:color="CCEC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479,589</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820" w:type="dxa"/>
            <w:vAlign w:val="bottom"/>
            <w:tcBorders>
              <w:bottom w:val="single" w:sz="8" w:color="CCECFF"/>
            </w:tcBorders>
            <w:shd w:val="clear" w:color="auto" w:fill="CCECFF"/>
          </w:tcPr>
          <w:p>
            <w:pPr>
              <w:spacing w:after="0"/>
              <w:rPr>
                <w:sz w:val="13"/>
                <w:szCs w:val="13"/>
                <w:color w:val="auto"/>
              </w:rPr>
            </w:pPr>
          </w:p>
        </w:tc>
        <w:tc>
          <w:tcPr>
            <w:tcW w:w="620" w:type="dxa"/>
            <w:vAlign w:val="bottom"/>
            <w:tcBorders>
              <w:bottom w:val="single" w:sz="8" w:color="auto"/>
            </w:tcBorders>
            <w:shd w:val="clear" w:color="auto" w:fill="CCECFF"/>
          </w:tcPr>
          <w:p>
            <w:pPr>
              <w:jc w:val="right"/>
              <w:ind w:right="495"/>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CCECFF"/>
          </w:tcPr>
          <w:p>
            <w:pPr>
              <w:spacing w:after="0"/>
              <w:rPr>
                <w:sz w:val="13"/>
                <w:szCs w:val="13"/>
                <w:color w:val="auto"/>
              </w:rPr>
            </w:pPr>
          </w:p>
        </w:tc>
        <w:tc>
          <w:tcPr>
            <w:tcW w:w="1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600,164</w:t>
            </w: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on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2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30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2"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4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1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 ended September 30, 2017. During the year ended September 30, 2016, there was one reclassification from Level 2 to 1 and one reclassification from Level 3 to 2.</w:t>
      </w:r>
    </w:p>
    <w:p>
      <w:pPr>
        <w:spacing w:after="0" w:line="104"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200" w:firstLine="438"/>
        <w:spacing w:after="0" w:line="248"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13" w:lineRule="exact"/>
        <w:rPr>
          <w:sz w:val="20"/>
          <w:szCs w:val="20"/>
          <w:color w:val="auto"/>
        </w:rPr>
      </w:pPr>
    </w:p>
    <w:p>
      <w:pPr>
        <w:ind w:right="80" w:firstLine="438"/>
        <w:spacing w:after="0" w:line="244"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2017</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260,595,796</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2,500,000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349,072,758</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5.8% – 20.6% (8.6%)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35,333,394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9.6% – 14.0% (11.7%)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9.8% – 16.7% (10.4%)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6"/>
              </w:rPr>
              <w:t>6.5x – 9.0x (7.8x)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right"/>
              <w:ind w:right="5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60" w:type="dxa"/>
            <w:vAlign w:val="bottom"/>
            <w:gridSpan w:val="2"/>
            <w:vMerge w:val="restart"/>
          </w:tcPr>
          <w:p>
            <w:pPr>
              <w:jc w:val="right"/>
              <w:ind w:right="1548"/>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2016</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264,299,729</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54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jc w:val="center"/>
              <w:ind w:right="488"/>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8,064,192</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54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1,035,937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5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center"/>
              <w:ind w:right="6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284,110,366</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tcPr>
          <w:p>
            <w:pPr>
              <w:jc w:val="right"/>
              <w:spacing w:after="0"/>
              <w:rPr>
                <w:sz w:val="20"/>
                <w:szCs w:val="20"/>
                <w:color w:val="auto"/>
              </w:rPr>
            </w:pPr>
            <w:r>
              <w:rPr>
                <w:rFonts w:ascii="Arial" w:cs="Arial" w:eastAsia="Arial" w:hAnsi="Arial"/>
                <w:sz w:val="14"/>
                <w:szCs w:val="14"/>
                <w:color w:val="auto"/>
              </w:rPr>
              <w:t>5.3%</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 13.9% (8.3%)</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28,532,500</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w:t>
            </w:r>
          </w:p>
        </w:tc>
        <w:tc>
          <w:tcPr>
            <w:tcW w:w="126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 15.9% (13.7%)</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2,124,435</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40" w:type="dxa"/>
            <w:vAlign w:val="bottom"/>
          </w:tcPr>
          <w:p>
            <w:pPr>
              <w:jc w:val="right"/>
              <w:spacing w:after="0"/>
              <w:rPr>
                <w:sz w:val="20"/>
                <w:szCs w:val="20"/>
                <w:color w:val="auto"/>
              </w:rPr>
            </w:pPr>
            <w:r>
              <w:rPr>
                <w:rFonts w:ascii="Arial" w:cs="Arial" w:eastAsia="Arial" w:hAnsi="Arial"/>
                <w:sz w:val="14"/>
                <w:szCs w:val="14"/>
                <w:color w:val="auto"/>
              </w:rPr>
              <w:t>15.7%</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 16.5% (15.8%)</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7,655,677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3"/>
            <w:shd w:val="clear" w:color="auto" w:fill="CCECFF"/>
          </w:tcPr>
          <w:p>
            <w:pPr>
              <w:jc w:val="center"/>
              <w:ind w:right="120"/>
              <w:spacing w:after="0"/>
              <w:rPr>
                <w:sz w:val="20"/>
                <w:szCs w:val="20"/>
                <w:color w:val="auto"/>
              </w:rPr>
            </w:pPr>
            <w:r>
              <w:rPr>
                <w:rFonts w:ascii="Arial" w:cs="Arial" w:eastAsia="Arial" w:hAnsi="Arial"/>
                <w:sz w:val="14"/>
                <w:szCs w:val="14"/>
                <w:color w:val="auto"/>
                <w:w w:val="95"/>
              </w:rPr>
              <w:t>4.3x–9.0x (7.2x)</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595,822,836</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540" w:type="dxa"/>
            <w:vAlign w:val="bottom"/>
            <w:tcBorders>
              <w:bottom w:val="single" w:sz="8" w:color="CCECFF"/>
            </w:tcBorders>
          </w:tcPr>
          <w:p>
            <w:pPr>
              <w:spacing w:after="0"/>
              <w:rPr>
                <w:sz w:val="17"/>
                <w:szCs w:val="17"/>
                <w:color w:val="auto"/>
              </w:rPr>
            </w:pPr>
          </w:p>
        </w:tc>
        <w:tc>
          <w:tcPr>
            <w:tcW w:w="11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232,389,498</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54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CCECFF"/>
            </w:tcBorders>
            <w:shd w:val="clear" w:color="auto" w:fill="CCECFF"/>
          </w:tcPr>
          <w:p>
            <w:pPr>
              <w:jc w:val="right"/>
              <w:ind w:right="588"/>
              <w:spacing w:after="0" w:line="143" w:lineRule="exact"/>
              <w:rPr>
                <w:sz w:val="20"/>
                <w:szCs w:val="20"/>
                <w:color w:val="auto"/>
              </w:rPr>
            </w:pPr>
            <w:r>
              <w:rPr>
                <w:rFonts w:ascii="Arial" w:cs="Arial" w:eastAsia="Arial" w:hAnsi="Arial"/>
                <w:sz w:val="14"/>
                <w:szCs w:val="14"/>
                <w:color w:val="auto"/>
              </w:rPr>
              <w:t>3.4%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and Credit Facility were categorized as follows in the fair value hierarchy for ASC 820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2017</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25,464,461</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16,020</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729,409,538</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18,926,776</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right="120" w:hanging="372"/>
        <w:spacing w:after="0" w:line="253" w:lineRule="auto"/>
        <w:tabs>
          <w:tab w:leader="none" w:pos="380" w:val="left"/>
        </w:tabs>
        <w:numPr>
          <w:ilvl w:val="0"/>
          <w:numId w:val="56"/>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599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 at September 30, 2016</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14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36,596,692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36,596,692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3,160,372</w:t>
            </w:r>
          </w:p>
        </w:tc>
        <w:tc>
          <w:tcPr>
            <w:tcW w:w="2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3,160,372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10,720,366</w:t>
            </w:r>
          </w:p>
        </w:tc>
        <w:tc>
          <w:tcPr>
            <w:tcW w:w="28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106,922</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2,957,767</w:t>
            </w:r>
          </w:p>
        </w:tc>
        <w:tc>
          <w:tcPr>
            <w:tcW w:w="28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7,655,677</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2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598,887,525</w:t>
            </w:r>
          </w:p>
        </w:tc>
        <w:tc>
          <w:tcPr>
            <w:tcW w:w="2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106,922</w:t>
            </w:r>
          </w:p>
        </w:tc>
        <w:tc>
          <w:tcPr>
            <w:tcW w:w="26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2,957,767</w:t>
            </w:r>
          </w:p>
        </w:tc>
        <w:tc>
          <w:tcPr>
            <w:tcW w:w="2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2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2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627,798,498</w:t>
            </w:r>
          </w:p>
        </w:tc>
        <w:tc>
          <w:tcPr>
            <w:tcW w:w="28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29,017,895</w:t>
            </w:r>
          </w:p>
        </w:tc>
        <w:tc>
          <w:tcPr>
            <w:tcW w:w="2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2,957,767</w:t>
            </w:r>
          </w:p>
        </w:tc>
        <w:tc>
          <w:tcPr>
            <w:tcW w:w="28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232,389,498</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232,389,498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768"/>
              <w:spacing w:after="0"/>
              <w:rPr>
                <w:sz w:val="20"/>
                <w:szCs w:val="20"/>
                <w:color w:val="auto"/>
              </w:rPr>
            </w:pPr>
            <w:r>
              <w:rPr>
                <w:rFonts w:ascii="Arial" w:cs="Arial" w:eastAsia="Arial" w:hAnsi="Arial"/>
                <w:sz w:val="14"/>
                <w:szCs w:val="14"/>
                <w:b w:val="1"/>
                <w:bCs w:val="1"/>
                <w:color w:val="auto"/>
                <w:w w:val="92"/>
              </w:rPr>
              <w:t>Year Ended September 30, 2017</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47,412,741</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2,751,432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508,716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3,260,148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3,413,386</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346,315</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3,759,701</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433,620,964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77,617,862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511,238,826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(378,527,323)</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(25,071,426)</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(403,598,749)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100,814,208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710,482,762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5"/>
              </w:rPr>
              <w:t>Net change in unrealized appreciation reported within the net change in unrealized appreciation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5"/>
              </w:rPr>
              <w:t>on investments in our Consolidated Statements of Operations attributable to our Level 3 assets still held at the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2,819,530</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621,165</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3,440,695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5560"/>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5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768"/>
              <w:spacing w:after="0"/>
              <w:rPr>
                <w:sz w:val="20"/>
                <w:szCs w:val="20"/>
                <w:color w:val="auto"/>
              </w:rPr>
            </w:pPr>
            <w:r>
              <w:rPr>
                <w:rFonts w:ascii="Arial" w:cs="Arial" w:eastAsia="Arial" w:hAnsi="Arial"/>
                <w:sz w:val="14"/>
                <w:szCs w:val="14"/>
                <w:b w:val="1"/>
                <w:bCs w:val="1"/>
                <w:color w:val="auto"/>
                <w:w w:val="92"/>
              </w:rPr>
              <w:t>Year Ended September 30, 2016</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334,957,341</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56,163,940</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391,121,281</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 (losses)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744,464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(2,223,584)</w:t>
            </w: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(1,479,120)</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2,282,976</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4,804,379</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7,087,355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357,140,895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9,088,987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366,229,882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(146,715,581)</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(17,463,214)</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(164,178,795)</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(2,957,767)</w:t>
            </w: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(2,957,767)</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47,412,741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5"/>
              </w:rPr>
              <w:t>Net change in unrealized depreciation reported within the net change in unrealized appreciation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line="149" w:lineRule="exact"/>
              <w:rPr>
                <w:sz w:val="20"/>
                <w:szCs w:val="20"/>
                <w:color w:val="auto"/>
              </w:rPr>
            </w:pPr>
            <w:r>
              <w:rPr>
                <w:rFonts w:ascii="Arial" w:cs="Arial" w:eastAsia="Arial" w:hAnsi="Arial"/>
                <w:sz w:val="14"/>
                <w:szCs w:val="14"/>
                <w:color w:val="auto"/>
                <w:w w:val="95"/>
              </w:rPr>
              <w:t>on investments in our Consolidated Statements of Operations attributable to our Level 3 assets still held at the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2,617,111</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(693,738)</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1,923,373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$232,907,500 and $29,600,000,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232,389,498</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29,600,000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3,593,159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(518,002)</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309,680,000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260,707,500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(288,804,200)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(57,400,000)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$253,783,301 and $232,907,500,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256,858,457</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232,389,498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13,992,720</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October 2, 2017</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1,585,219</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26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12,200,000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12,675,800</w:t>
            </w:r>
          </w:p>
        </w:tc>
        <w:tc>
          <w:tcPr>
            <w:tcW w:w="28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14,422,852</w:t>
            </w:r>
          </w:p>
        </w:tc>
        <w:tc>
          <w:tcPr>
            <w:tcW w:w="280" w:type="dxa"/>
            <w:vAlign w:val="bottom"/>
            <w:tcBorders>
              <w:bottom w:val="single" w:sz="8" w:color="CCECFF"/>
            </w:tcBorders>
          </w:tcPr>
          <w:p>
            <w:pPr>
              <w:spacing w:after="0"/>
              <w:rPr>
                <w:sz w:val="14"/>
                <w:szCs w:val="14"/>
                <w:color w:val="auto"/>
              </w:rPr>
            </w:pPr>
          </w:p>
        </w:tc>
        <w:tc>
          <w:tcPr>
            <w:tcW w:w="1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1"/>
              </w:rPr>
              <w:t>October 2, 2017</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1,747,052</w:t>
            </w:r>
          </w:p>
        </w:tc>
        <w:tc>
          <w:tcPr>
            <w:tcW w:w="100" w:type="dxa"/>
            <w:vAlign w:val="bottom"/>
            <w:tcBorders>
              <w:bottom w:val="single" w:sz="8" w:color="CCECFF"/>
            </w:tcBorders>
          </w:tcPr>
          <w:p>
            <w:pPr>
              <w:spacing w:after="0"/>
              <w:rPr>
                <w:sz w:val="14"/>
                <w:szCs w:val="14"/>
                <w:color w:val="auto"/>
              </w:rPr>
            </w:pPr>
          </w:p>
        </w:tc>
      </w:tr>
      <w:tr>
        <w:trPr>
          <w:trHeight w:val="155"/>
        </w:trPr>
        <w:tc>
          <w:tcPr>
            <w:tcW w:w="26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25,083,301</w:t>
            </w:r>
          </w:p>
        </w:tc>
        <w:tc>
          <w:tcPr>
            <w:tcW w:w="2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28,415,572</w:t>
            </w:r>
          </w:p>
        </w:tc>
        <w:tc>
          <w:tcPr>
            <w:tcW w:w="280" w:type="dxa"/>
            <w:vAlign w:val="bottom"/>
            <w:tcBorders>
              <w:bottom w:val="single" w:sz="8" w:color="CCECFF"/>
            </w:tcBorders>
            <w:shd w:val="clear" w:color="auto" w:fill="CCECFF"/>
          </w:tcPr>
          <w:p>
            <w:pPr>
              <w:spacing w:after="0"/>
              <w:rPr>
                <w:sz w:val="13"/>
                <w:szCs w:val="13"/>
                <w:color w:val="auto"/>
              </w:rPr>
            </w:pPr>
          </w:p>
        </w:tc>
        <w:tc>
          <w:tcPr>
            <w:tcW w:w="15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3,332,271</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13,338,920</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October 3, 2016</w:t>
            </w:r>
          </w:p>
        </w:tc>
        <w:tc>
          <w:tcPr>
            <w:tcW w:w="160" w:type="dxa"/>
            <w:vAlign w:val="bottom"/>
            <w:tcBorders>
              <w:top w:val="single" w:sz="8" w:color="CCECFF"/>
            </w:tcBorders>
            <w:shd w:val="clear" w:color="auto" w:fill="CCECFF"/>
          </w:tcPr>
          <w:p>
            <w:pPr>
              <w:spacing w:after="0"/>
              <w:rPr>
                <w:sz w:val="13"/>
                <w:szCs w:val="13"/>
                <w:color w:val="auto"/>
              </w:rPr>
            </w:pPr>
          </w:p>
        </w:tc>
        <w:tc>
          <w:tcPr>
            <w:tcW w:w="520" w:type="dxa"/>
            <w:vAlign w:val="bottom"/>
            <w:tcBorders>
              <w:top w:val="single" w:sz="8" w:color="auto"/>
            </w:tcBorders>
            <w:shd w:val="clear" w:color="auto" w:fill="CCECFF"/>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931,419</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100" w:firstLine="438"/>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$0.1 million, $0.9 million and $2.3 million relating to amendment fees on the Credit Facility during the years ended September 30, 2017, 2016 and 2015,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2017 and 2016, our Credit Facility had a net change in unrealized (appreciation) depreciation of $(3.6) million and $0.5 million, respectively. As of September 30, 2017 and 2016, the net unrealized (appreciation) depreciation on our Credit Facility totaled $(3.1)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2017</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27" w:lineRule="exact"/>
        <w:rPr>
          <w:sz w:val="20"/>
          <w:szCs w:val="20"/>
          <w:color w:val="auto"/>
        </w:rPr>
      </w:pPr>
    </w:p>
    <w:p>
      <w:pPr>
        <w:ind w:right="44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5"/>
              </w:rPr>
              <w:t>Fair value at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Purchases of /</w:t>
            </w:r>
          </w:p>
        </w:tc>
        <w:tc>
          <w:tcPr>
            <w:tcW w:w="16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Sale of /</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Change in</w:t>
            </w:r>
          </w:p>
        </w:tc>
        <w:tc>
          <w:tcPr>
            <w:tcW w:w="80" w:type="dxa"/>
            <w:vAlign w:val="bottom"/>
          </w:tcPr>
          <w:p>
            <w:pPr>
              <w:spacing w:after="0"/>
              <w:rPr>
                <w:sz w:val="14"/>
                <w:szCs w:val="14"/>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 at</w:t>
            </w:r>
          </w:p>
        </w:tc>
        <w:tc>
          <w:tcPr>
            <w:tcW w:w="8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September 30, 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Affiliates</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from Affiliates</w:t>
            </w: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Accrued</w:t>
            </w: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Appreciation</w:t>
            </w:r>
          </w:p>
        </w:tc>
        <w:tc>
          <w:tcPr>
            <w:tcW w:w="8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2017</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155"/>
        </w:trPr>
        <w:tc>
          <w:tcPr>
            <w:tcW w:w="19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3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3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line="143" w:lineRule="exact"/>
              <w:rPr>
                <w:sz w:val="20"/>
                <w:szCs w:val="20"/>
                <w:color w:val="auto"/>
              </w:rPr>
            </w:pPr>
            <w:r>
              <w:rPr>
                <w:rFonts w:ascii="Arial" w:cs="Arial" w:eastAsia="Arial" w:hAnsi="Arial"/>
                <w:sz w:val="14"/>
                <w:szCs w:val="14"/>
                <w:color w:val="auto"/>
              </w:rPr>
              <w:t>PennantPark Senior Secured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40" w:type="dxa"/>
            <w:vAlign w:val="bottom"/>
          </w:tcPr>
          <w:p>
            <w:pPr>
              <w:ind w:left="120"/>
              <w:spacing w:after="0"/>
              <w:rPr>
                <w:sz w:val="20"/>
                <w:szCs w:val="20"/>
                <w:color w:val="auto"/>
              </w:rPr>
            </w:pPr>
            <w:r>
              <w:rPr>
                <w:rFonts w:ascii="Arial" w:cs="Arial" w:eastAsia="Arial" w:hAnsi="Arial"/>
                <w:sz w:val="14"/>
                <w:szCs w:val="14"/>
                <w:color w:val="auto"/>
              </w:rPr>
              <w:t>Loan Fund I LLC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43,000,000</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512,610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525,143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43,525,143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9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CFF"/>
          </w:tcPr>
          <w:p>
            <w:pPr>
              <w:ind w:left="11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43,000,000</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CFF"/>
          </w:tcPr>
          <w:p>
            <w:pPr>
              <w:ind w:left="64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512,610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525,143</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43,525,143</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CFF"/>
          </w:tcPr>
          <w:p>
            <w:pPr>
              <w:ind w:left="74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120" w:hanging="372"/>
        <w:spacing w:after="0" w:line="233" w:lineRule="auto"/>
        <w:tabs>
          <w:tab w:leader="none" w:pos="380" w:val="left"/>
        </w:tabs>
        <w:numPr>
          <w:ilvl w:val="0"/>
          <w:numId w:val="57"/>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equity interests and subordinated debt, and all portfolio and other material decision regarding PSSL must be submitted to PSSL’s board of directors or investment committee, both of which are comprised of two members appointed by each of PFLT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8"/>
              </w:rPr>
              <w:t>Years Ended September 30,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00" w:type="dxa"/>
            <w:vAlign w:val="bottom"/>
            <w:tcBorders>
              <w:bottom w:val="single" w:sz="8" w:color="CCECFF"/>
            </w:tcBorders>
          </w:tcPr>
          <w:p>
            <w:pPr>
              <w:spacing w:after="0"/>
              <w:rPr>
                <w:sz w:val="13"/>
                <w:szCs w:val="13"/>
                <w:color w:val="auto"/>
              </w:rPr>
            </w:pPr>
          </w:p>
        </w:tc>
        <w:tc>
          <w:tcPr>
            <w:tcW w:w="9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r>
      <w:tr>
        <w:trPr>
          <w:trHeight w:val="156"/>
        </w:trPr>
        <w:tc>
          <w:tcPr>
            <w:tcW w:w="54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92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36,325,280</w:t>
            </w: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33,488,663</w:t>
            </w: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12,504,245</w:t>
            </w:r>
          </w:p>
        </w:tc>
        <w:tc>
          <w:tcPr>
            <w:tcW w:w="100" w:type="dxa"/>
            <w:vAlign w:val="bottom"/>
            <w:shd w:val="clear" w:color="auto" w:fill="CCECFF"/>
          </w:tcPr>
          <w:p>
            <w:pPr>
              <w:spacing w:after="0"/>
              <w:rPr>
                <w:sz w:val="13"/>
                <w:szCs w:val="13"/>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30,274,595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26,730,074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16,291,965</w:t>
            </w:r>
          </w:p>
        </w:tc>
        <w:tc>
          <w:tcPr>
            <w:tcW w:w="100" w:type="dxa"/>
            <w:vAlign w:val="bottom"/>
          </w:tcPr>
          <w:p>
            <w:pPr>
              <w:spacing w:after="0"/>
              <w:rPr>
                <w:sz w:val="14"/>
                <w:szCs w:val="14"/>
                <w:color w:val="auto"/>
              </w:rPr>
            </w:pPr>
          </w:p>
        </w:tc>
      </w:tr>
      <w:tr>
        <w:trPr>
          <w:trHeight w:val="162"/>
        </w:trPr>
        <w:tc>
          <w:tcPr>
            <w:tcW w:w="540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122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60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0.77</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17" w:lineRule="exact"/>
        <w:rPr>
          <w:sz w:val="20"/>
          <w:szCs w:val="20"/>
          <w:color w:val="auto"/>
        </w:rPr>
      </w:pPr>
    </w:p>
    <w:p>
      <w:pPr>
        <w:ind w:right="660" w:firstLine="438"/>
        <w:spacing w:after="0" w:line="253" w:lineRule="auto"/>
        <w:rPr>
          <w:sz w:val="20"/>
          <w:szCs w:val="20"/>
          <w:color w:val="auto"/>
        </w:rPr>
      </w:pPr>
      <w:r>
        <w:rPr>
          <w:rFonts w:ascii="Arial" w:cs="Arial" w:eastAsia="Arial" w:hAnsi="Arial"/>
          <w:sz w:val="14"/>
          <w:szCs w:val="14"/>
          <w:color w:val="auto"/>
        </w:rPr>
        <w:t>As of September 30, 2017 and 2016, the cost of investments for federal income tax purposes was $710.9 million and $600.1 million, respectively, resulting in a gross unrealized appreciation of $8.7 million and $10.6 million, respectively, and depreciation of $9.1 million and $11.8 million,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r>
      <w:tr>
        <w:trPr>
          <w:trHeight w:val="155"/>
        </w:trPr>
        <w:tc>
          <w:tcPr>
            <w:tcW w:w="66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Decrease in paid-in capital</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(256,194)</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(308,435)</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(429,892)</w:t>
            </w:r>
          </w:p>
        </w:tc>
        <w:tc>
          <w:tcPr>
            <w:tcW w:w="100" w:type="dxa"/>
            <w:vAlign w:val="bottom"/>
            <w:shd w:val="clear" w:color="auto" w:fill="CCECFF"/>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Increase in accumulated net realized gain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255,274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Increase in undistributed net investment income</w:t>
            </w: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308,435</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429,892</w:t>
            </w:r>
          </w:p>
        </w:tc>
        <w:tc>
          <w:tcPr>
            <w:tcW w:w="100" w:type="dxa"/>
            <w:vAlign w:val="bottom"/>
            <w:shd w:val="clear" w:color="auto" w:fill="CCECFF"/>
          </w:tcPr>
          <w:p>
            <w:pPr>
              <w:spacing w:after="0"/>
              <w:rPr>
                <w:sz w:val="14"/>
                <w:szCs w:val="14"/>
                <w:color w:val="auto"/>
              </w:rPr>
            </w:pPr>
          </w:p>
        </w:tc>
      </w:tr>
      <w:tr>
        <w:trPr>
          <w:trHeight w:val="312"/>
        </w:trPr>
        <w:tc>
          <w:tcPr>
            <w:tcW w:w="6660" w:type="dxa"/>
            <w:vAlign w:val="bottom"/>
          </w:tcPr>
          <w:p>
            <w:pPr>
              <w:ind w:left="44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r>
      <w:tr>
        <w:trPr>
          <w:trHeight w:val="155"/>
        </w:trPr>
        <w:tc>
          <w:tcPr>
            <w:tcW w:w="66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increase in net assets resulting from operations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36,325,280</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33,488,663</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12,504,245</w:t>
            </w:r>
          </w:p>
        </w:tc>
        <w:tc>
          <w:tcPr>
            <w:tcW w:w="100" w:type="dxa"/>
            <w:vAlign w:val="bottom"/>
            <w:shd w:val="clear" w:color="auto" w:fill="CCECFF"/>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Net realized (gain) loss on investments</w:t>
            </w: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(5,410,903)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1,376,788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 investments and Credit Facility</w:t>
            </w: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2,530,986</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(7,529,291)</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5,551,614</w:t>
            </w:r>
          </w:p>
        </w:tc>
        <w:tc>
          <w:tcPr>
            <w:tcW w:w="100" w:type="dxa"/>
            <w:vAlign w:val="bottom"/>
            <w:shd w:val="clear" w:color="auto" w:fill="CCECFF"/>
          </w:tcPr>
          <w:p>
            <w:pPr>
              <w:spacing w:after="0"/>
              <w:rPr>
                <w:sz w:val="14"/>
                <w:szCs w:val="14"/>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Other book-to-tax differences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956,942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642,719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5,788</w:t>
            </w:r>
          </w:p>
        </w:tc>
        <w:tc>
          <w:tcPr>
            <w:tcW w:w="100" w:type="dxa"/>
            <w:vAlign w:val="bottom"/>
          </w:tcPr>
          <w:p>
            <w:pPr>
              <w:spacing w:after="0"/>
              <w:rPr>
                <w:sz w:val="14"/>
                <w:szCs w:val="14"/>
                <w:color w:val="auto"/>
              </w:rPr>
            </w:pP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Other non-deductible expenses</w:t>
            </w: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440,000</w:t>
            </w:r>
          </w:p>
        </w:tc>
        <w:tc>
          <w:tcPr>
            <w:tcW w:w="100" w:type="dxa"/>
            <w:vAlign w:val="bottom"/>
            <w:shd w:val="clear" w:color="auto" w:fill="CCECFF"/>
          </w:tcPr>
          <w:p>
            <w:pPr>
              <w:spacing w:after="0"/>
              <w:rPr>
                <w:sz w:val="14"/>
                <w:szCs w:val="14"/>
                <w:color w:val="auto"/>
              </w:rPr>
            </w:pPr>
          </w:p>
        </w:tc>
      </w:tr>
      <w:tr>
        <w:trPr>
          <w:trHeight w:val="155"/>
        </w:trPr>
        <w:tc>
          <w:tcPr>
            <w:tcW w:w="666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34,702,305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27,978,879</w:t>
            </w: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18,501,647</w:t>
            </w:r>
          </w:p>
        </w:tc>
        <w:tc>
          <w:tcPr>
            <w:tcW w:w="100" w:type="dxa"/>
            <w:vAlign w:val="bottom"/>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3"/>
        </w:trPr>
        <w:tc>
          <w:tcPr>
            <w:tcW w:w="8520" w:type="dxa"/>
            <w:vAlign w:val="bottom"/>
            <w:gridSpan w:val="6"/>
          </w:tcPr>
          <w:p>
            <w:pPr>
              <w:ind w:left="440"/>
              <w:spacing w:after="0"/>
              <w:rPr>
                <w:sz w:val="20"/>
                <w:szCs w:val="20"/>
                <w:color w:val="auto"/>
              </w:rPr>
            </w:pPr>
            <w:r>
              <w:rPr>
                <w:rFonts w:ascii="Arial" w:cs="Arial" w:eastAsia="Arial" w:hAnsi="Arial"/>
                <w:sz w:val="14"/>
                <w:szCs w:val="14"/>
                <w:color w:val="auto"/>
                <w:w w:val="95"/>
              </w:rPr>
              <w:t>The components of undistributed taxable income on a tax basis and reconciliation to accumulated surplus on a book basis are as follows: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5"/>
              </w:rPr>
              <w:t>As of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CECFF"/>
            </w:tcBorders>
          </w:tcPr>
          <w:p>
            <w:pPr>
              <w:spacing w:after="0"/>
              <w:rPr>
                <w:sz w:val="13"/>
                <w:szCs w:val="13"/>
                <w:color w:val="auto"/>
              </w:rPr>
            </w:pPr>
          </w:p>
        </w:tc>
        <w:tc>
          <w:tcPr>
            <w:tcW w:w="1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Undistributed ordinary income – tax basis</w:t>
            </w:r>
          </w:p>
        </w:tc>
        <w:tc>
          <w:tcPr>
            <w:tcW w:w="16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13,882,332</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10,097,684</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12,591,089</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Undistributed long-term capital gain/(Realized loss carried forward)</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808,615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(1,121,514)</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 and other book to tax differences</w:t>
            </w:r>
          </w:p>
        </w:tc>
        <w:tc>
          <w:tcPr>
            <w:tcW w:w="16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(7,237,913)</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(5,793,312)</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(5,203,754)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Net unrealized (depreciation) appreciation of investments and Credit Facility</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(1,028,112)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1,502,874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(6,026,417)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accumulated surplus – book basis</w:t>
            </w:r>
          </w:p>
        </w:tc>
        <w:tc>
          <w:tcPr>
            <w:tcW w:w="16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6,424,922</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4,685,732</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1,360,918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60" w:type="dxa"/>
            <w:vAlign w:val="bottom"/>
            <w:vMerge w:val="restart"/>
          </w:tcPr>
          <w:p>
            <w:pPr>
              <w:jc w:val="right"/>
              <w:ind w:right="888"/>
              <w:spacing w:after="0"/>
              <w:rPr>
                <w:sz w:val="20"/>
                <w:szCs w:val="20"/>
                <w:color w:val="auto"/>
              </w:rPr>
            </w:pPr>
            <w:r>
              <w:rPr>
                <w:rFonts w:ascii="Arial" w:cs="Arial" w:eastAsia="Arial" w:hAnsi="Arial"/>
                <w:sz w:val="14"/>
                <w:szCs w:val="14"/>
                <w:color w:val="auto"/>
              </w:rPr>
              <w:t>67</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50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5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September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Ordinary income (including short-term gains)</w:t>
            </w:r>
          </w:p>
        </w:tc>
        <w:tc>
          <w:tcPr>
            <w:tcW w:w="13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34,842,284</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30,472,284</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17,206,311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Long-term capital gain</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1,653,105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w:t>
            </w:r>
          </w:p>
        </w:tc>
        <w:tc>
          <w:tcPr>
            <w:tcW w:w="13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34,842,284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30,472,284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18,859,416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color w:val="auto"/>
              </w:rPr>
              <w:t>Total distributions per share based on weighted average shares</w:t>
            </w:r>
          </w:p>
        </w:tc>
        <w:tc>
          <w:tcPr>
            <w:tcW w:w="16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1.15</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AND CASH EQUIVALENTS</w:t>
      </w:r>
    </w:p>
    <w:p>
      <w:pPr>
        <w:spacing w:after="0" w:line="127"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2017 and 2016, cash and cash equivalents consisted of money market funds in the amounts of $18.9 million and $28.9 million at fair value,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are the financial highlights for the years ended September 30: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(6)</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Net asset value, beginning of year</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14.06</w:t>
            </w:r>
          </w:p>
        </w:tc>
        <w:tc>
          <w:tcPr>
            <w:tcW w:w="28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13.95</w:t>
            </w:r>
          </w:p>
        </w:tc>
        <w:tc>
          <w:tcPr>
            <w:tcW w:w="2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14.40</w:t>
            </w:r>
          </w:p>
        </w:tc>
        <w:tc>
          <w:tcPr>
            <w:tcW w:w="3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14.10</w:t>
            </w:r>
          </w:p>
        </w:tc>
        <w:tc>
          <w:tcPr>
            <w:tcW w:w="2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13.98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12"/>
                <w:szCs w:val="12"/>
                <w:color w:val="auto"/>
              </w:rPr>
              <w:t>(1)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(0.31)</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0.77</w:t>
            </w:r>
          </w:p>
        </w:tc>
        <w:tc>
          <w:tcPr>
            <w:tcW w:w="3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CFF"/>
          </w:tcPr>
          <w:p>
            <w:pPr>
              <w:ind w:left="80"/>
              <w:spacing w:after="0"/>
              <w:rPr>
                <w:sz w:val="20"/>
                <w:szCs w:val="20"/>
                <w:color w:val="auto"/>
              </w:rPr>
            </w:pPr>
            <w:r>
              <w:rPr>
                <w:rFonts w:ascii="Arial" w:cs="Arial" w:eastAsia="Arial" w:hAnsi="Arial"/>
                <w:sz w:val="14"/>
                <w:szCs w:val="14"/>
                <w:color w:val="auto"/>
              </w:rPr>
              <w:t>Distribution of net investment income</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(1.13)</w:t>
            </w:r>
          </w:p>
        </w:tc>
        <w:tc>
          <w:tcPr>
            <w:tcW w:w="2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(0.98)</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(0.84)</w:t>
            </w:r>
          </w:p>
        </w:tc>
        <w:tc>
          <w:tcPr>
            <w:tcW w:w="2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62"/>
        </w:trPr>
        <w:tc>
          <w:tcPr>
            <w:tcW w:w="4160" w:type="dxa"/>
            <w:vAlign w:val="bottom"/>
          </w:tcPr>
          <w:p>
            <w:pPr>
              <w:ind w:left="80"/>
              <w:spacing w:after="0"/>
              <w:rPr>
                <w:sz w:val="20"/>
                <w:szCs w:val="20"/>
                <w:color w:val="auto"/>
              </w:rPr>
            </w:pPr>
            <w:r>
              <w:rPr>
                <w:rFonts w:ascii="Arial" w:cs="Arial" w:eastAsia="Arial" w:hAnsi="Arial"/>
                <w:sz w:val="14"/>
                <w:szCs w:val="14"/>
                <w:color w:val="auto"/>
              </w:rPr>
              <w:t>Distribution of realized gains</w:t>
            </w:r>
          </w:p>
        </w:tc>
        <w:tc>
          <w:tcPr>
            <w:tcW w:w="26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(0.18)</w:t>
            </w:r>
          </w:p>
        </w:tc>
        <w:tc>
          <w:tcPr>
            <w:tcW w:w="2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(0.24)</w:t>
            </w:r>
          </w:p>
        </w:tc>
        <w:tc>
          <w:tcPr>
            <w:tcW w:w="2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56"/>
        </w:trPr>
        <w:tc>
          <w:tcPr>
            <w:tcW w:w="41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 to stockholders</w:t>
            </w: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w:t>
            </w:r>
          </w:p>
        </w:tc>
        <w:tc>
          <w:tcPr>
            <w:tcW w:w="3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 xml:space="preserve">Effect of offering costs and acquisition of MCG </w:t>
            </w:r>
            <w:r>
              <w:rPr>
                <w:rFonts w:ascii="Arial" w:cs="Arial" w:eastAsia="Arial" w:hAnsi="Arial"/>
                <w:sz w:val="12"/>
                <w:szCs w:val="12"/>
                <w:color w:val="auto"/>
              </w:rPr>
              <w:t>(1)</w:t>
            </w:r>
          </w:p>
        </w:tc>
        <w:tc>
          <w:tcPr>
            <w:tcW w:w="2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(0.06)</w:t>
            </w:r>
          </w:p>
        </w:tc>
        <w:tc>
          <w:tcPr>
            <w:tcW w:w="2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55"/>
        </w:trPr>
        <w:tc>
          <w:tcPr>
            <w:tcW w:w="41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year</w:t>
            </w: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14.10</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14.06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13.95</w:t>
            </w:r>
          </w:p>
        </w:tc>
        <w:tc>
          <w:tcPr>
            <w:tcW w:w="3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14.40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CECFF"/>
            </w:tcBorders>
            <w:vMerge w:val="continue"/>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14.48</w:t>
            </w:r>
          </w:p>
        </w:tc>
        <w:tc>
          <w:tcPr>
            <w:tcW w:w="28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w:t>
            </w:r>
          </w:p>
        </w:tc>
        <w:tc>
          <w:tcPr>
            <w:tcW w:w="26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11.94</w:t>
            </w:r>
          </w:p>
        </w:tc>
        <w:tc>
          <w:tcPr>
            <w:tcW w:w="34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13.78</w:t>
            </w:r>
          </w:p>
        </w:tc>
        <w:tc>
          <w:tcPr>
            <w:tcW w:w="260" w:type="dxa"/>
            <w:vAlign w:val="bottom"/>
            <w:tcBorders>
              <w:bottom w:val="single" w:sz="8" w:color="CCECFF"/>
            </w:tcBorders>
          </w:tcPr>
          <w:p>
            <w:pPr>
              <w:spacing w:after="0"/>
              <w:rPr>
                <w:sz w:val="15"/>
                <w:szCs w:val="15"/>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13.78</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16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6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18.71%</w:t>
            </w:r>
          </w:p>
        </w:tc>
        <w:tc>
          <w:tcPr>
            <w:tcW w:w="24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21.77%</w:t>
            </w:r>
          </w:p>
        </w:tc>
        <w:tc>
          <w:tcPr>
            <w:tcW w:w="26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(6.01)%</w:t>
            </w:r>
          </w:p>
        </w:tc>
        <w:tc>
          <w:tcPr>
            <w:tcW w:w="24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8.05%</w:t>
            </w:r>
          </w:p>
        </w:tc>
        <w:tc>
          <w:tcPr>
            <w:tcW w:w="2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162"/>
        </w:trPr>
        <w:tc>
          <w:tcPr>
            <w:tcW w:w="41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year</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32,480,074</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26,730,074</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26,730,074</w:t>
            </w:r>
          </w:p>
        </w:tc>
        <w:tc>
          <w:tcPr>
            <w:tcW w:w="3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14,898,056</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14,898,056</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Ratios / Supplemental Data:</w:t>
            </w: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4.13%</w:t>
            </w:r>
          </w:p>
        </w:tc>
        <w:tc>
          <w:tcPr>
            <w:tcW w:w="2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3.56%</w:t>
            </w:r>
          </w:p>
        </w:tc>
        <w:tc>
          <w:tcPr>
            <w:tcW w:w="2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3.01%</w:t>
            </w:r>
          </w:p>
        </w:tc>
        <w:tc>
          <w:tcPr>
            <w:tcW w:w="2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62"/>
        </w:trPr>
        <w:tc>
          <w:tcPr>
            <w:tcW w:w="4160" w:type="dxa"/>
            <w:vAlign w:val="bottom"/>
            <w:shd w:val="clear" w:color="auto" w:fill="CCECFF"/>
          </w:tcPr>
          <w:p>
            <w:pPr>
              <w:spacing w:after="0"/>
              <w:rPr>
                <w:sz w:val="20"/>
                <w:szCs w:val="20"/>
                <w:color w:val="auto"/>
              </w:rPr>
            </w:pPr>
            <w:r>
              <w:rPr>
                <w:rFonts w:ascii="Arial" w:cs="Arial" w:eastAsia="Arial" w:hAnsi="Arial"/>
                <w:sz w:val="14"/>
                <w:szCs w:val="14"/>
                <w:color w:val="auto"/>
              </w:rPr>
              <w:t>Ratio of Credit Facility related expenses to average net assets</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1.98%</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1.58%</w:t>
            </w:r>
          </w:p>
        </w:tc>
        <w:tc>
          <w:tcPr>
            <w:tcW w:w="2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2.34%</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1.95%</w:t>
            </w:r>
          </w:p>
        </w:tc>
        <w:tc>
          <w:tcPr>
            <w:tcW w:w="2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6.11%</w:t>
            </w:r>
          </w:p>
        </w:tc>
        <w:tc>
          <w:tcPr>
            <w:tcW w:w="240" w:type="dxa"/>
            <w:vAlign w:val="bottom"/>
          </w:tcPr>
          <w:p>
            <w:pPr>
              <w:spacing w:after="0"/>
              <w:rPr>
                <w:sz w:val="13"/>
                <w:szCs w:val="13"/>
                <w:color w:val="auto"/>
              </w:rPr>
            </w:pPr>
          </w:p>
        </w:tc>
        <w:tc>
          <w:tcPr>
            <w:tcW w:w="11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5.14%</w:t>
            </w: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5.35%</w:t>
            </w:r>
          </w:p>
        </w:tc>
        <w:tc>
          <w:tcPr>
            <w:tcW w:w="240" w:type="dxa"/>
            <w:vAlign w:val="bottom"/>
          </w:tcPr>
          <w:p>
            <w:pPr>
              <w:spacing w:after="0"/>
              <w:rPr>
                <w:sz w:val="13"/>
                <w:szCs w:val="13"/>
                <w:color w:val="auto"/>
              </w:rPr>
            </w:pPr>
          </w:p>
        </w:tc>
        <w:tc>
          <w:tcPr>
            <w:tcW w:w="11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3"/>
                <w:szCs w:val="13"/>
                <w:color w:val="auto"/>
              </w:rPr>
            </w:pPr>
          </w:p>
        </w:tc>
        <w:tc>
          <w:tcPr>
            <w:tcW w:w="10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62"/>
        </w:trPr>
        <w:tc>
          <w:tcPr>
            <w:tcW w:w="4160" w:type="dxa"/>
            <w:vAlign w:val="bottom"/>
            <w:shd w:val="clear" w:color="auto" w:fill="CCECFF"/>
          </w:tcPr>
          <w:p>
            <w:pPr>
              <w:spacing w:after="0"/>
              <w:rPr>
                <w:sz w:val="20"/>
                <w:szCs w:val="20"/>
                <w:color w:val="auto"/>
              </w:rPr>
            </w:pPr>
            <w:r>
              <w:rPr>
                <w:rFonts w:ascii="Arial" w:cs="Arial" w:eastAsia="Arial" w:hAnsi="Arial"/>
                <w:sz w:val="14"/>
                <w:szCs w:val="14"/>
                <w:color w:val="auto"/>
              </w:rPr>
              <w:t>Ratio of net investment income to average net assets</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7.85%</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7.42%</w:t>
            </w:r>
          </w:p>
        </w:tc>
        <w:tc>
          <w:tcPr>
            <w:tcW w:w="2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7.43%</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7.77%</w:t>
            </w:r>
          </w:p>
        </w:tc>
        <w:tc>
          <w:tcPr>
            <w:tcW w:w="2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62"/>
        </w:trPr>
        <w:tc>
          <w:tcPr>
            <w:tcW w:w="41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Net assets at end of year</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372,890,449</w:t>
            </w:r>
          </w:p>
        </w:tc>
        <w:tc>
          <w:tcPr>
            <w:tcW w:w="3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214,527,710</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210,066,394</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269,319,832</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140,218,095</w:t>
            </w:r>
          </w:p>
        </w:tc>
        <w:tc>
          <w:tcPr>
            <w:tcW w:w="26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123,924,384</w:t>
            </w:r>
          </w:p>
        </w:tc>
        <w:tc>
          <w:tcPr>
            <w:tcW w:w="3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147,599,452</w:t>
            </w:r>
          </w:p>
        </w:tc>
        <w:tc>
          <w:tcPr>
            <w:tcW w:w="26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71,678,836</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8.90</w:t>
            </w:r>
          </w:p>
        </w:tc>
        <w:tc>
          <w:tcPr>
            <w:tcW w:w="28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5.25</w:t>
            </w:r>
          </w:p>
        </w:tc>
        <w:tc>
          <w:tcPr>
            <w:tcW w:w="26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7.61</w:t>
            </w:r>
          </w:p>
        </w:tc>
        <w:tc>
          <w:tcPr>
            <w:tcW w:w="34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9.91</w:t>
            </w:r>
          </w:p>
        </w:tc>
        <w:tc>
          <w:tcPr>
            <w:tcW w:w="26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7.48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(5)</w:t>
            </w: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2,783</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2,618</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13,598</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2,460</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3,109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2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59.70%</w:t>
            </w:r>
          </w:p>
        </w:tc>
        <w:tc>
          <w:tcPr>
            <w:tcW w:w="2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32.16%</w:t>
            </w:r>
          </w:p>
        </w:tc>
        <w:tc>
          <w:tcPr>
            <w:tcW w:w="2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51.02%</w:t>
            </w:r>
          </w:p>
        </w:tc>
        <w:tc>
          <w:tcPr>
            <w:tcW w:w="2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62.74%</w:t>
            </w:r>
          </w:p>
        </w:tc>
        <w:tc>
          <w:tcPr>
            <w:tcW w:w="2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81.89%</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5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hanging="372"/>
        <w:spacing w:after="0" w:line="221" w:lineRule="auto"/>
        <w:tabs>
          <w:tab w:leader="none" w:pos="380" w:val="left"/>
        </w:tabs>
        <w:numPr>
          <w:ilvl w:val="0"/>
          <w:numId w:val="5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80" w:hanging="372"/>
        <w:spacing w:after="0" w:line="221" w:lineRule="auto"/>
        <w:tabs>
          <w:tab w:leader="none" w:pos="380" w:val="left"/>
        </w:tabs>
        <w:numPr>
          <w:ilvl w:val="0"/>
          <w:numId w:val="58"/>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380" w:right="80" w:hanging="372"/>
        <w:spacing w:after="0" w:line="238" w:lineRule="auto"/>
        <w:tabs>
          <w:tab w:leader="none" w:pos="380" w:val="left"/>
        </w:tabs>
        <w:numPr>
          <w:ilvl w:val="0"/>
          <w:numId w:val="5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ind w:left="380" w:hanging="372"/>
        <w:spacing w:after="0"/>
        <w:tabs>
          <w:tab w:leader="none" w:pos="380" w:val="left"/>
        </w:tabs>
        <w:numPr>
          <w:ilvl w:val="0"/>
          <w:numId w:val="58"/>
        </w:numPr>
        <w:rPr>
          <w:rFonts w:ascii="Arial" w:cs="Arial" w:eastAsia="Arial" w:hAnsi="Arial"/>
          <w:sz w:val="12"/>
          <w:szCs w:val="12"/>
          <w:color w:val="auto"/>
        </w:rPr>
      </w:pPr>
      <w:r>
        <w:rPr>
          <w:rFonts w:ascii="Arial" w:cs="Arial" w:eastAsia="Arial" w:hAnsi="Arial"/>
          <w:sz w:val="14"/>
          <w:szCs w:val="14"/>
          <w:color w:val="auto"/>
        </w:rPr>
        <w:t>Audited by predecessor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-765810</wp:posOffset>
            </wp:positionV>
            <wp:extent cx="13455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CREDIT FACILITY</w:t>
      </w:r>
    </w:p>
    <w:p>
      <w:pPr>
        <w:spacing w:after="0" w:line="127"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Funding I’s multi-currency Credit Facility with the Lenders was $375 million as of September 30, 2017,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2017 and 2016, Funding I had $253.8 million and $232.9 million of outstanding borrowings under the Credit Facility, respectively. The Credit Facility had a weighted average interest rate of 3.18% and 2.57%, exclusive of the fee on undrawn commitments as of September 30, 2017 and 2016, respectively. The annualized weighted average cost of debt for the fiscal years ended September 30, 2017, 2016 and 2015, inclusive of the fee on the undrawn commitment of 0.375% on the Credit Facility and amendment costs, was 3.14%, 4.16% and 4.48%, respectively.</w:t>
      </w:r>
    </w:p>
    <w:p>
      <w:pPr>
        <w:spacing w:after="0" w:line="109" w:lineRule="exact"/>
        <w:rPr>
          <w:sz w:val="20"/>
          <w:szCs w:val="20"/>
          <w:color w:val="auto"/>
        </w:rPr>
      </w:pPr>
    </w:p>
    <w:p>
      <w:pPr>
        <w:ind w:right="620" w:firstLine="438"/>
        <w:spacing w:after="0" w:line="290"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2017</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I have made customary representations and warranties and are required to comply with various covenants, reporting requirements and other customary requirements for similar credit facilities.</w:t>
      </w:r>
    </w:p>
    <w:p>
      <w:pPr>
        <w:spacing w:after="0" w:line="13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2017, we were in compliance with the covenants relating to our Credit Facility.</w:t>
      </w:r>
    </w:p>
    <w:p>
      <w:pPr>
        <w:spacing w:after="0" w:line="10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2017 and 2016, we had $30.6 million and $20.0 million, respectively, in commitments to fund investments. Additionally, as described in Note 4, the Company had unfunded commitments of up to $44.6 million to PSSL as of September 30, 2017, which amounts may be contributed primarily for the purpose of funding new investments approved by the PSSL board of directors or investment committee.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SUBSEQUENT EVENTS</w:t>
      </w:r>
    </w:p>
    <w:p>
      <w:pPr>
        <w:spacing w:after="0" w:line="127"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Subsequent to September 30, 2017, we completed a follow-on public offering of approximately 6.3 million shares of common stock at a public offering price of $14.15 per share resulting in net proceeds of approximately $88.0 million. The Investment Adviser paid approximately $2.1 million as a portion of the sales load payable to the underwriters. We are not obligated to repay the sales load paid by our Investment Adviser.</w:t>
      </w:r>
    </w:p>
    <w:p>
      <w:pPr>
        <w:spacing w:after="0" w:line="115"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On November 9, 2017, we entered into an amendment to our Credit Facility to, among other things, (i) increase the size of the Credit Facility from $375 million to $380 million, (ii) extend the reinvestment period to November 9, 2020 and (iii) extend the maturity date to November 9, 2022. The interest rate of LIBOR plus 200 basis points remains unchanged.</w:t>
      </w:r>
    </w:p>
    <w:p>
      <w:pPr>
        <w:spacing w:after="0" w:line="84"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On November 28, 2017, we priced an offering of $138.6 million of our 3.83% Series A Notes, or the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TASE. In connection with this offering, we have dual listed our common stock on TASE.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will apply to the reinvestment of cash distributions paid on or after December 22,</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2017.</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Supplementary Data</w:t>
      </w:r>
    </w:p>
    <w:p>
      <w:pPr>
        <w:jc w:val="center"/>
        <w:spacing w:after="0" w:line="226" w:lineRule="auto"/>
        <w:rPr>
          <w:sz w:val="20"/>
          <w:szCs w:val="20"/>
          <w:color w:val="auto"/>
        </w:rPr>
      </w:pPr>
      <w:r>
        <w:rPr>
          <w:rFonts w:ascii="Arial" w:cs="Arial" w:eastAsia="Arial" w:hAnsi="Arial"/>
          <w:sz w:val="14"/>
          <w:szCs w:val="14"/>
          <w:b w:val="1"/>
          <w:bCs w:val="1"/>
          <w:color w:val="auto"/>
        </w:rPr>
        <w:t>Selected Quarterly Data (Unaudited)</w:t>
      </w:r>
    </w:p>
    <w:p>
      <w:pPr>
        <w:jc w:val="cente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18,454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15,191</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13,221</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12,631</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10,409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8,185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8,029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6,822</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gain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(746)</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10,851</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9,342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7,283</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8,849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13.94</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15,396</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10,803</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11,346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8,756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8,155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6,830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7,265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5,086</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gain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7,732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6,589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(4,829)</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(3,339)</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15,887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13,419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2,436</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14.06</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13.75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13.54</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13.23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11.70</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880" w:type="dxa"/>
            <w:vAlign w:val="bottom"/>
          </w:tcPr>
          <w:p>
            <w:pPr>
              <w:jc w:val="right"/>
              <w:ind w:right="408"/>
              <w:spacing w:after="0" w:line="155"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7,791</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7,983</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7,477</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3,639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4,097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4,456</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5,468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 gain</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(2,424)</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1,668</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(5,030)</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1,215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4,727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6,124</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0.41</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13.95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14.33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14.30</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14.16</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11.94</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14.03</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CFF"/>
          </w:tcPr>
          <w:p>
            <w:pPr>
              <w:spacing w:after="0"/>
              <w:rPr>
                <w:sz w:val="14"/>
                <w:szCs w:val="14"/>
                <w:color w:val="auto"/>
              </w:rPr>
            </w:pPr>
          </w:p>
        </w:tc>
      </w:tr>
    </w:tbl>
    <w:p>
      <w:pPr>
        <w:spacing w:after="0" w:line="143"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2" w:name="page73"/>
    <w:bookmarkEnd w:id="72"/>
    <w:p>
      <w:pPr>
        <w:spacing w:after="0"/>
        <w:tabs>
          <w:tab w:leader="none" w:pos="9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2017,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Management’s Report on Internal Control Over Financial Reporting, which appears on page 44 of this Report,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3" w:name="page74"/>
    <w:bookmarkEnd w:id="73"/>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27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will file a definitive Proxy Statement for our 2018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1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2018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2018 Annual Meeting of Stockholders, to be filed with the SEC within 120 days following the end of our fiscal year.</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2018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2018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2018 Annual Meeting of Stockholders, to be filed with the SEC within 120 days following the end of our fiscal year.</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PART IV</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Index to Financial Statements — Refer to Item 8 starting on page 43.</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Financial Statement Schedules — None.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3.1</w:t>
            </w:r>
          </w:p>
        </w:tc>
        <w:tc>
          <w:tcPr>
            <w:tcW w:w="10340" w:type="dxa"/>
            <w:vAlign w:val="bottom"/>
            <w:gridSpan w:val="26"/>
          </w:tcPr>
          <w:p>
            <w:pPr>
              <w:spacing w:after="0"/>
              <w:rPr>
                <w:rFonts w:ascii="Arial" w:cs="Arial" w:eastAsia="Arial" w:hAnsi="Arial"/>
                <w:sz w:val="14"/>
                <w:szCs w:val="14"/>
                <w:color w:val="0000EE"/>
                <w:w w:val="93"/>
              </w:rPr>
            </w:pPr>
            <w:hyperlink r:id="rId117">
              <w:r>
                <w:rPr>
                  <w:rFonts w:ascii="Arial" w:cs="Arial" w:eastAsia="Arial" w:hAnsi="Arial"/>
                  <w:sz w:val="14"/>
                  <w:szCs w:val="14"/>
                  <w:color w:val="0000EE"/>
                  <w:w w:val="93"/>
                </w:rPr>
                <w:t>Articles of Amendment and Restatement of the Registrant (Incorporated by reference to the Registrant’s Pre-Effective Amendment No. 3 to the Registration Statement on Form N-</w:t>
              </w:r>
            </w:hyperlink>
          </w:p>
        </w:tc>
      </w:tr>
      <w:tr>
        <w:trPr>
          <w:trHeight w:val="129"/>
        </w:trPr>
        <w:tc>
          <w:tcPr>
            <w:tcW w:w="920" w:type="dxa"/>
            <w:vAlign w:val="bottom"/>
          </w:tcPr>
          <w:p>
            <w:pPr>
              <w:spacing w:after="0"/>
              <w:rPr>
                <w:sz w:val="11"/>
                <w:szCs w:val="11"/>
                <w:color w:val="auto"/>
              </w:rPr>
            </w:pPr>
          </w:p>
        </w:tc>
        <w:tc>
          <w:tcPr>
            <w:tcW w:w="10320" w:type="dxa"/>
            <w:vAlign w:val="bottom"/>
            <w:tcBorders>
              <w:top w:val="single" w:sz="8" w:color="0000EE"/>
            </w:tcBorders>
            <w:gridSpan w:val="25"/>
          </w:tcPr>
          <w:p>
            <w:pPr>
              <w:spacing w:after="0" w:line="129" w:lineRule="exact"/>
              <w:rPr>
                <w:rFonts w:ascii="Arial" w:cs="Arial" w:eastAsia="Arial" w:hAnsi="Arial"/>
                <w:sz w:val="14"/>
                <w:szCs w:val="14"/>
                <w:color w:val="0000EE"/>
              </w:rPr>
            </w:pPr>
            <w:hyperlink r:id="rId117">
              <w:r>
                <w:rPr>
                  <w:rFonts w:ascii="Arial" w:cs="Arial" w:eastAsia="Arial" w:hAnsi="Arial"/>
                  <w:sz w:val="14"/>
                  <w:szCs w:val="14"/>
                  <w:color w:val="0000EE"/>
                </w:rPr>
                <w:t>2 (File No. 333-170243), filed on March 29, 2011).</w:t>
              </w:r>
            </w:hyperlink>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3.2</w:t>
            </w:r>
          </w:p>
        </w:tc>
        <w:tc>
          <w:tcPr>
            <w:tcW w:w="10340" w:type="dxa"/>
            <w:vAlign w:val="bottom"/>
            <w:gridSpan w:val="26"/>
          </w:tcPr>
          <w:p>
            <w:pPr>
              <w:spacing w:after="0"/>
              <w:rPr>
                <w:rFonts w:ascii="Arial" w:cs="Arial" w:eastAsia="Arial" w:hAnsi="Arial"/>
                <w:sz w:val="14"/>
                <w:szCs w:val="14"/>
                <w:color w:val="0000EE"/>
                <w:w w:val="99"/>
              </w:rPr>
            </w:pPr>
            <w:hyperlink r:id="rId118">
              <w:r>
                <w:rPr>
                  <w:rFonts w:ascii="Arial" w:cs="Arial" w:eastAsia="Arial" w:hAnsi="Arial"/>
                  <w:sz w:val="14"/>
                  <w:szCs w:val="14"/>
                  <w:color w:val="0000EE"/>
                  <w:w w:val="99"/>
                </w:rPr>
                <w:t>Amended and Restated Bylaws of the Registrant (Incorporated by reference to Exhibit 3.1 to the Registrant’s Current Report on Form 8-K (File No. 814-00891), filed on</w:t>
              </w:r>
            </w:hyperlink>
          </w:p>
        </w:tc>
      </w:tr>
      <w:tr>
        <w:trPr>
          <w:trHeight w:val="128"/>
        </w:trPr>
        <w:tc>
          <w:tcPr>
            <w:tcW w:w="92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0"/>
              </w:rPr>
            </w:pPr>
            <w:hyperlink r:id="rId118">
              <w:r>
                <w:rPr>
                  <w:rFonts w:ascii="Arial" w:cs="Arial" w:eastAsia="Arial" w:hAnsi="Arial"/>
                  <w:sz w:val="14"/>
                  <w:szCs w:val="14"/>
                  <w:color w:val="0000EE"/>
                  <w:w w:val="90"/>
                </w:rPr>
                <w:t>December 2, 2015).</w:t>
              </w:r>
            </w:hyperlink>
          </w:p>
        </w:tc>
        <w:tc>
          <w:tcPr>
            <w:tcW w:w="8600" w:type="dxa"/>
            <w:vAlign w:val="bottom"/>
            <w:tcBorders>
              <w:top w:val="single" w:sz="8" w:color="0000EE"/>
            </w:tcBorders>
            <w:gridSpan w:val="7"/>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4.1</w:t>
            </w:r>
          </w:p>
        </w:tc>
        <w:tc>
          <w:tcPr>
            <w:tcW w:w="10340" w:type="dxa"/>
            <w:vAlign w:val="bottom"/>
            <w:gridSpan w:val="26"/>
          </w:tcPr>
          <w:p>
            <w:pPr>
              <w:spacing w:after="0"/>
              <w:rPr>
                <w:rFonts w:ascii="Arial" w:cs="Arial" w:eastAsia="Arial" w:hAnsi="Arial"/>
                <w:sz w:val="14"/>
                <w:szCs w:val="14"/>
                <w:color w:val="0000EE"/>
                <w:w w:val="95"/>
              </w:rPr>
            </w:pPr>
            <w:hyperlink r:id="rId119">
              <w:r>
                <w:rPr>
                  <w:rFonts w:ascii="Arial" w:cs="Arial" w:eastAsia="Arial" w:hAnsi="Arial"/>
                  <w:sz w:val="14"/>
                  <w:szCs w:val="14"/>
                  <w:color w:val="0000EE"/>
                  <w:w w:val="95"/>
                </w:rPr>
                <w:t>Form of Share Certificate (Incorporated by reference to the Registrant’s Pre-Effective Amendment No. 5 to the Registration Statement on Form N-2 (File No. 333-170243), filed</w:t>
              </w:r>
            </w:hyperlink>
          </w:p>
        </w:tc>
      </w:tr>
      <w:tr>
        <w:trPr>
          <w:trHeight w:val="128"/>
        </w:trPr>
        <w:tc>
          <w:tcPr>
            <w:tcW w:w="920" w:type="dxa"/>
            <w:vAlign w:val="bottom"/>
          </w:tcPr>
          <w:p>
            <w:pPr>
              <w:spacing w:after="0"/>
              <w:rPr>
                <w:sz w:val="11"/>
                <w:szCs w:val="11"/>
                <w:color w:val="auto"/>
              </w:rPr>
            </w:pPr>
          </w:p>
        </w:tc>
        <w:tc>
          <w:tcPr>
            <w:tcW w:w="10180" w:type="dxa"/>
            <w:vAlign w:val="bottom"/>
            <w:tcBorders>
              <w:top w:val="single" w:sz="8" w:color="0000EE"/>
            </w:tcBorders>
            <w:gridSpan w:val="18"/>
          </w:tcPr>
          <w:p>
            <w:pPr>
              <w:spacing w:after="0" w:line="129" w:lineRule="exact"/>
              <w:rPr>
                <w:rFonts w:ascii="Arial" w:cs="Arial" w:eastAsia="Arial" w:hAnsi="Arial"/>
                <w:sz w:val="14"/>
                <w:szCs w:val="14"/>
                <w:color w:val="0000EE"/>
              </w:rPr>
            </w:pPr>
            <w:hyperlink r:id="rId119">
              <w:r>
                <w:rPr>
                  <w:rFonts w:ascii="Arial" w:cs="Arial" w:eastAsia="Arial" w:hAnsi="Arial"/>
                  <w:sz w:val="14"/>
                  <w:szCs w:val="14"/>
                  <w:color w:val="0000EE"/>
                </w:rPr>
                <w:t>on April 5, 2011).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10.1</w:t>
            </w:r>
          </w:p>
        </w:tc>
        <w:tc>
          <w:tcPr>
            <w:tcW w:w="10340" w:type="dxa"/>
            <w:vAlign w:val="bottom"/>
            <w:gridSpan w:val="26"/>
          </w:tcPr>
          <w:p>
            <w:pPr>
              <w:spacing w:after="0"/>
              <w:rPr>
                <w:rFonts w:ascii="Arial" w:cs="Arial" w:eastAsia="Arial" w:hAnsi="Arial"/>
                <w:sz w:val="14"/>
                <w:szCs w:val="14"/>
                <w:color w:val="0000EE"/>
                <w:w w:val="93"/>
              </w:rPr>
            </w:pPr>
            <w:hyperlink r:id="rId120">
              <w:r>
                <w:rPr>
                  <w:rFonts w:ascii="Arial" w:cs="Arial" w:eastAsia="Arial" w:hAnsi="Arial"/>
                  <w:sz w:val="14"/>
                  <w:szCs w:val="14"/>
                  <w:color w:val="0000EE"/>
                  <w:w w:val="93"/>
                </w:rPr>
                <w:t>Third Amended and Restated Revolving Credit and Security Agreement, dated as of May 22, 2015, among PennantPark Floating Rate Funding I, LLC, as borrower, PennantPark</w:t>
              </w:r>
            </w:hyperlink>
          </w:p>
        </w:tc>
      </w:tr>
      <w:tr>
        <w:trPr>
          <w:trHeight w:val="128"/>
        </w:trPr>
        <w:tc>
          <w:tcPr>
            <w:tcW w:w="920" w:type="dxa"/>
            <w:vAlign w:val="bottom"/>
          </w:tcPr>
          <w:p>
            <w:pPr>
              <w:spacing w:after="0"/>
              <w:rPr>
                <w:sz w:val="11"/>
                <w:szCs w:val="11"/>
                <w:color w:val="auto"/>
              </w:rPr>
            </w:pPr>
          </w:p>
        </w:tc>
        <w:tc>
          <w:tcPr>
            <w:tcW w:w="10240" w:type="dxa"/>
            <w:vAlign w:val="bottom"/>
            <w:tcBorders>
              <w:top w:val="single" w:sz="8" w:color="0000EE"/>
            </w:tcBorders>
            <w:gridSpan w:val="21"/>
          </w:tcPr>
          <w:p>
            <w:pPr>
              <w:spacing w:after="0" w:line="129" w:lineRule="exact"/>
              <w:rPr>
                <w:rFonts w:ascii="Arial" w:cs="Arial" w:eastAsia="Arial" w:hAnsi="Arial"/>
                <w:sz w:val="14"/>
                <w:szCs w:val="14"/>
                <w:color w:val="0000EE"/>
                <w:w w:val="94"/>
              </w:rPr>
            </w:pPr>
            <w:hyperlink r:id="rId120">
              <w:r>
                <w:rPr>
                  <w:rFonts w:ascii="Arial" w:cs="Arial" w:eastAsia="Arial" w:hAnsi="Arial"/>
                  <w:sz w:val="14"/>
                  <w:szCs w:val="14"/>
                  <w:color w:val="0000EE"/>
                  <w:w w:val="94"/>
                </w:rPr>
                <w:t>Investment Advisers, LLC, as collateral manager, the lenders from time to time parties thereto, SunTrust Bank, as administrative agent, and U.S. Bank National Association,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10100" w:type="dxa"/>
            <w:vAlign w:val="bottom"/>
            <w:tcBorders>
              <w:top w:val="single" w:sz="8" w:color="0000EE"/>
            </w:tcBorders>
            <w:gridSpan w:val="15"/>
          </w:tcPr>
          <w:p>
            <w:pPr>
              <w:spacing w:after="0" w:line="129" w:lineRule="exact"/>
              <w:rPr>
                <w:rFonts w:ascii="Arial" w:cs="Arial" w:eastAsia="Arial" w:hAnsi="Arial"/>
                <w:sz w:val="14"/>
                <w:szCs w:val="14"/>
                <w:color w:val="0000EE"/>
                <w:w w:val="94"/>
              </w:rPr>
            </w:pPr>
            <w:hyperlink r:id="rId120">
              <w:r>
                <w:rPr>
                  <w:rFonts w:ascii="Arial" w:cs="Arial" w:eastAsia="Arial" w:hAnsi="Arial"/>
                  <w:sz w:val="14"/>
                  <w:szCs w:val="14"/>
                  <w:color w:val="0000EE"/>
                  <w:w w:val="94"/>
                </w:rPr>
                <w:t>collateral agent, as backup collateral manager, and as custodian (Incorporated by reference to Exhibit 10.1 to the Registrant’s Quarterly Report on Form 10-Q (File No. 814-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8"/>
        </w:trPr>
        <w:tc>
          <w:tcPr>
            <w:tcW w:w="920" w:type="dxa"/>
            <w:vAlign w:val="bottom"/>
          </w:tcPr>
          <w:p>
            <w:pPr>
              <w:spacing w:after="0"/>
              <w:rPr>
                <w:sz w:val="11"/>
                <w:szCs w:val="11"/>
                <w:color w:val="auto"/>
              </w:rPr>
            </w:pPr>
          </w:p>
        </w:tc>
        <w:tc>
          <w:tcPr>
            <w:tcW w:w="192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93"/>
              </w:rPr>
            </w:pPr>
            <w:hyperlink r:id="rId120">
              <w:r>
                <w:rPr>
                  <w:rFonts w:ascii="Arial" w:cs="Arial" w:eastAsia="Arial" w:hAnsi="Arial"/>
                  <w:sz w:val="14"/>
                  <w:szCs w:val="14"/>
                  <w:color w:val="0000EE"/>
                  <w:w w:val="93"/>
                </w:rPr>
                <w:t>00891)</w:t>
              </w:r>
              <w:r>
                <w:rPr>
                  <w:rFonts w:ascii="Arial" w:cs="Arial" w:eastAsia="Arial" w:hAnsi="Arial"/>
                  <w:sz w:val="14"/>
                  <w:szCs w:val="14"/>
                  <w:u w:val="single" w:color="auto"/>
                  <w:color w:val="0000EE"/>
                  <w:w w:val="93"/>
                </w:rPr>
                <w:t>,</w:t>
              </w:r>
              <w:r>
                <w:rPr>
                  <w:rFonts w:ascii="Arial" w:cs="Arial" w:eastAsia="Arial" w:hAnsi="Arial"/>
                  <w:sz w:val="14"/>
                  <w:szCs w:val="14"/>
                  <w:color w:val="0000EE"/>
                  <w:w w:val="93"/>
                </w:rPr>
                <w:t xml:space="preserve"> filed on August 6, 2015).</w:t>
              </w:r>
            </w:hyperlink>
          </w:p>
        </w:tc>
        <w:tc>
          <w:tcPr>
            <w:tcW w:w="8000" w:type="dxa"/>
            <w:vAlign w:val="bottom"/>
            <w:tcBorders>
              <w:top w:val="single" w:sz="8" w:color="0000EE"/>
            </w:tcBorders>
            <w:gridSpan w:val="7"/>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10.2</w:t>
            </w:r>
          </w:p>
        </w:tc>
        <w:tc>
          <w:tcPr>
            <w:tcW w:w="10340" w:type="dxa"/>
            <w:vAlign w:val="bottom"/>
            <w:gridSpan w:val="26"/>
          </w:tcPr>
          <w:p>
            <w:pPr>
              <w:spacing w:after="0"/>
              <w:rPr>
                <w:rFonts w:ascii="Arial" w:cs="Arial" w:eastAsia="Arial" w:hAnsi="Arial"/>
                <w:sz w:val="14"/>
                <w:szCs w:val="14"/>
                <w:color w:val="0000EE"/>
                <w:w w:val="94"/>
              </w:rPr>
            </w:pPr>
            <w:hyperlink r:id="rId121">
              <w:r>
                <w:rPr>
                  <w:rFonts w:ascii="Arial" w:cs="Arial" w:eastAsia="Arial" w:hAnsi="Arial"/>
                  <w:sz w:val="14"/>
                  <w:szCs w:val="14"/>
                  <w:color w:val="0000EE"/>
                  <w:w w:val="94"/>
                </w:rPr>
                <w:t>First Amendment to Third Amended and Restated Revolving Credit and Security Agreement, dated as of August 26, 2015, among PennantPark Floating Rate Funding I, LLC, as</w:t>
              </w:r>
            </w:hyperlink>
          </w:p>
        </w:tc>
      </w:tr>
      <w:tr>
        <w:trPr>
          <w:trHeight w:val="128"/>
        </w:trPr>
        <w:tc>
          <w:tcPr>
            <w:tcW w:w="920" w:type="dxa"/>
            <w:vAlign w:val="bottom"/>
          </w:tcPr>
          <w:p>
            <w:pPr>
              <w:spacing w:after="0"/>
              <w:rPr>
                <w:sz w:val="11"/>
                <w:szCs w:val="11"/>
                <w:color w:val="auto"/>
              </w:rPr>
            </w:pPr>
          </w:p>
        </w:tc>
        <w:tc>
          <w:tcPr>
            <w:tcW w:w="10220" w:type="dxa"/>
            <w:vAlign w:val="bottom"/>
            <w:tcBorders>
              <w:top w:val="single" w:sz="8" w:color="0000EE"/>
            </w:tcBorders>
            <w:gridSpan w:val="20"/>
          </w:tcPr>
          <w:p>
            <w:pPr>
              <w:spacing w:after="0" w:line="129" w:lineRule="exact"/>
              <w:rPr>
                <w:rFonts w:ascii="Arial" w:cs="Arial" w:eastAsia="Arial" w:hAnsi="Arial"/>
                <w:sz w:val="14"/>
                <w:szCs w:val="14"/>
                <w:color w:val="0000EE"/>
                <w:w w:val="94"/>
              </w:rPr>
            </w:pPr>
            <w:hyperlink r:id="rId121">
              <w:r>
                <w:rPr>
                  <w:rFonts w:ascii="Arial" w:cs="Arial" w:eastAsia="Arial" w:hAnsi="Arial"/>
                  <w:sz w:val="14"/>
                  <w:szCs w:val="14"/>
                  <w:color w:val="0000EE"/>
                  <w:w w:val="94"/>
                </w:rPr>
                <w:t>borrower, PennantPark Investment Advisers, LLC, as collateral manager, the lenders from time to time parties thereto, SunTrust Bank, as administrative agent, and U.S. Bank</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10020" w:type="dxa"/>
            <w:vAlign w:val="bottom"/>
            <w:tcBorders>
              <w:top w:val="single" w:sz="8" w:color="0000EE"/>
            </w:tcBorders>
            <w:gridSpan w:val="14"/>
          </w:tcPr>
          <w:p>
            <w:pPr>
              <w:spacing w:after="0" w:line="129" w:lineRule="exact"/>
              <w:rPr>
                <w:rFonts w:ascii="Arial" w:cs="Arial" w:eastAsia="Arial" w:hAnsi="Arial"/>
                <w:sz w:val="14"/>
                <w:szCs w:val="14"/>
                <w:color w:val="0000EE"/>
                <w:w w:val="92"/>
              </w:rPr>
            </w:pPr>
            <w:hyperlink r:id="rId121">
              <w:r>
                <w:rPr>
                  <w:rFonts w:ascii="Arial" w:cs="Arial" w:eastAsia="Arial" w:hAnsi="Arial"/>
                  <w:sz w:val="14"/>
                  <w:szCs w:val="14"/>
                  <w:color w:val="0000EE"/>
                  <w:w w:val="92"/>
                </w:rPr>
                <w:t>National Association, as collateral agent, as backup collateral manager, and as custodian (Incorporated by reference to Exhibit 10.1 to the Registrant’s Annual Report on Form</w:t>
              </w:r>
            </w:hyperlink>
          </w:p>
        </w:tc>
        <w:tc>
          <w:tcPr>
            <w:tcW w:w="320" w:type="dxa"/>
            <w:vAlign w:val="bottom"/>
            <w:gridSpan w:val="12"/>
          </w:tcPr>
          <w:p>
            <w:pPr>
              <w:jc w:val="right"/>
              <w:ind w:right="80"/>
              <w:spacing w:after="0" w:line="129" w:lineRule="exact"/>
              <w:rPr>
                <w:rFonts w:ascii="Arial" w:cs="Arial" w:eastAsia="Arial" w:hAnsi="Arial"/>
                <w:sz w:val="14"/>
                <w:szCs w:val="14"/>
                <w:color w:val="0000EE"/>
              </w:rPr>
            </w:pPr>
            <w:hyperlink r:id="rId121">
              <w:r>
                <w:rPr>
                  <w:rFonts w:ascii="Arial" w:cs="Arial" w:eastAsia="Arial" w:hAnsi="Arial"/>
                  <w:sz w:val="14"/>
                  <w:szCs w:val="14"/>
                  <w:color w:val="0000EE"/>
                </w:rPr>
                <w:t>10-</w:t>
              </w:r>
            </w:hyperlink>
          </w:p>
        </w:tc>
      </w:tr>
      <w:tr>
        <w:trPr>
          <w:trHeight w:val="128"/>
        </w:trPr>
        <w:tc>
          <w:tcPr>
            <w:tcW w:w="920" w:type="dxa"/>
            <w:vAlign w:val="bottom"/>
          </w:tcPr>
          <w:p>
            <w:pPr>
              <w:spacing w:after="0"/>
              <w:rPr>
                <w:sz w:val="11"/>
                <w:szCs w:val="11"/>
                <w:color w:val="auto"/>
              </w:rPr>
            </w:pPr>
          </w:p>
        </w:tc>
        <w:tc>
          <w:tcPr>
            <w:tcW w:w="10300" w:type="dxa"/>
            <w:vAlign w:val="bottom"/>
            <w:tcBorders>
              <w:top w:val="single" w:sz="8" w:color="0000EE"/>
            </w:tcBorders>
            <w:gridSpan w:val="24"/>
          </w:tcPr>
          <w:p>
            <w:pPr>
              <w:spacing w:after="0" w:line="129" w:lineRule="exact"/>
              <w:rPr>
                <w:rFonts w:ascii="Arial" w:cs="Arial" w:eastAsia="Arial" w:hAnsi="Arial"/>
                <w:sz w:val="14"/>
                <w:szCs w:val="14"/>
                <w:color w:val="0000EE"/>
              </w:rPr>
            </w:pPr>
            <w:hyperlink r:id="rId121">
              <w:r>
                <w:rPr>
                  <w:rFonts w:ascii="Arial" w:cs="Arial" w:eastAsia="Arial" w:hAnsi="Arial"/>
                  <w:sz w:val="14"/>
                  <w:szCs w:val="14"/>
                  <w:color w:val="0000EE"/>
                </w:rPr>
                <w:t>K (File No. 814-00891), filed on November 12, 2015).</w:t>
              </w:r>
            </w:hyperlink>
          </w:p>
        </w:tc>
        <w:tc>
          <w:tcPr>
            <w:tcW w:w="40" w:type="dxa"/>
            <w:vAlign w:val="bottom"/>
            <w:gridSpan w:val="2"/>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10.3</w:t>
            </w:r>
          </w:p>
        </w:tc>
        <w:tc>
          <w:tcPr>
            <w:tcW w:w="10340" w:type="dxa"/>
            <w:vAlign w:val="bottom"/>
            <w:gridSpan w:val="26"/>
          </w:tcPr>
          <w:p>
            <w:pPr>
              <w:spacing w:after="0"/>
              <w:rPr>
                <w:rFonts w:ascii="Arial" w:cs="Arial" w:eastAsia="Arial" w:hAnsi="Arial"/>
                <w:sz w:val="14"/>
                <w:szCs w:val="14"/>
                <w:color w:val="0000EE"/>
                <w:w w:val="92"/>
              </w:rPr>
            </w:pPr>
            <w:hyperlink r:id="rId122">
              <w:r>
                <w:rPr>
                  <w:rFonts w:ascii="Arial" w:cs="Arial" w:eastAsia="Arial" w:hAnsi="Arial"/>
                  <w:sz w:val="14"/>
                  <w:szCs w:val="14"/>
                  <w:color w:val="0000EE"/>
                  <w:w w:val="92"/>
                </w:rPr>
                <w:t>Purchase and Contribution Agreement, dated as of June 23, 2011, among PennantPark Floating Rate Capital Ltd., as the seller, and PennantPark Floating Rate Funding I, LLC, as</w:t>
              </w:r>
            </w:hyperlink>
          </w:p>
        </w:tc>
      </w:tr>
      <w:tr>
        <w:trPr>
          <w:trHeight w:val="129"/>
        </w:trPr>
        <w:tc>
          <w:tcPr>
            <w:tcW w:w="920" w:type="dxa"/>
            <w:vAlign w:val="bottom"/>
          </w:tcPr>
          <w:p>
            <w:pPr>
              <w:spacing w:after="0"/>
              <w:rPr>
                <w:sz w:val="11"/>
                <w:szCs w:val="11"/>
                <w:color w:val="auto"/>
              </w:rPr>
            </w:pPr>
          </w:p>
        </w:tc>
        <w:tc>
          <w:tcPr>
            <w:tcW w:w="10280" w:type="dxa"/>
            <w:vAlign w:val="bottom"/>
            <w:tcBorders>
              <w:top w:val="single" w:sz="8" w:color="0000EE"/>
            </w:tcBorders>
            <w:gridSpan w:val="23"/>
          </w:tcPr>
          <w:p>
            <w:pPr>
              <w:spacing w:after="0" w:line="129" w:lineRule="exact"/>
              <w:rPr>
                <w:rFonts w:ascii="Arial" w:cs="Arial" w:eastAsia="Arial" w:hAnsi="Arial"/>
                <w:sz w:val="14"/>
                <w:szCs w:val="14"/>
                <w:color w:val="0000EE"/>
              </w:rPr>
            </w:pPr>
            <w:hyperlink r:id="rId122">
              <w:r>
                <w:rPr>
                  <w:rFonts w:ascii="Arial" w:cs="Arial" w:eastAsia="Arial" w:hAnsi="Arial"/>
                  <w:sz w:val="14"/>
                  <w:szCs w:val="14"/>
                  <w:color w:val="0000EE"/>
                </w:rPr>
                <w:t>the buyer (Incorporated by reference to Exhibit 10.2 to the Registrant’s Current Report on Form 8-K, filed on June 29, 2011).</w:t>
              </w:r>
            </w:hyperlink>
          </w:p>
        </w:tc>
        <w:tc>
          <w:tcPr>
            <w:tcW w:w="60" w:type="dxa"/>
            <w:vAlign w:val="bottom"/>
            <w:gridSpan w:val="3"/>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49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10.4</w:t>
            </w:r>
          </w:p>
        </w:tc>
        <w:tc>
          <w:tcPr>
            <w:tcW w:w="10340" w:type="dxa"/>
            <w:vAlign w:val="bottom"/>
            <w:gridSpan w:val="26"/>
          </w:tcPr>
          <w:p>
            <w:pPr>
              <w:spacing w:after="0"/>
              <w:rPr>
                <w:rFonts w:ascii="Arial" w:cs="Arial" w:eastAsia="Arial" w:hAnsi="Arial"/>
                <w:sz w:val="14"/>
                <w:szCs w:val="14"/>
                <w:color w:val="0000EE"/>
                <w:w w:val="96"/>
              </w:rPr>
            </w:pPr>
            <w:hyperlink r:id="rId117">
              <w:r>
                <w:rPr>
                  <w:rFonts w:ascii="Arial" w:cs="Arial" w:eastAsia="Arial" w:hAnsi="Arial"/>
                  <w:sz w:val="14"/>
                  <w:szCs w:val="14"/>
                  <w:color w:val="0000EE"/>
                  <w:w w:val="96"/>
                </w:rPr>
                <w:t>Form of Administration Agreement between the Registrant and PennantPark Investment Administration, LLC (Incorporated by reference to Exhibit 99(k)(2) to the Registrant’s</w:t>
              </w:r>
            </w:hyperlink>
          </w:p>
        </w:tc>
      </w:tr>
      <w:tr>
        <w:trPr>
          <w:trHeight w:val="129"/>
        </w:trPr>
        <w:tc>
          <w:tcPr>
            <w:tcW w:w="920" w:type="dxa"/>
            <w:vAlign w:val="bottom"/>
          </w:tcPr>
          <w:p>
            <w:pPr>
              <w:spacing w:after="0"/>
              <w:rPr>
                <w:sz w:val="11"/>
                <w:szCs w:val="11"/>
                <w:color w:val="auto"/>
              </w:rPr>
            </w:pPr>
          </w:p>
        </w:tc>
        <w:tc>
          <w:tcPr>
            <w:tcW w:w="724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color w:val="0000EE"/>
                <w:w w:val="94"/>
              </w:rPr>
            </w:pPr>
            <w:hyperlink r:id="rId117">
              <w:r>
                <w:rPr>
                  <w:rFonts w:ascii="Arial" w:cs="Arial" w:eastAsia="Arial" w:hAnsi="Arial"/>
                  <w:sz w:val="14"/>
                  <w:szCs w:val="14"/>
                  <w:color w:val="0000EE"/>
                  <w:w w:val="94"/>
                </w:rPr>
                <w:t>Pre-Effective Amendment No. 3 to the Registration Statement on Form N-2 (File No. 333-170243), filed on March 29, 2011).</w:t>
              </w:r>
            </w:hyperlink>
          </w:p>
        </w:tc>
        <w:tc>
          <w:tcPr>
            <w:tcW w:w="2880" w:type="dxa"/>
            <w:vAlign w:val="bottom"/>
            <w:tcBorders>
              <w:top w:val="single" w:sz="8" w:color="0000EE"/>
            </w:tcBorders>
            <w:gridSpan w:val="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10.5</w:t>
            </w:r>
          </w:p>
        </w:tc>
        <w:tc>
          <w:tcPr>
            <w:tcW w:w="10340" w:type="dxa"/>
            <w:vAlign w:val="bottom"/>
            <w:gridSpan w:val="26"/>
          </w:tcPr>
          <w:p>
            <w:pPr>
              <w:spacing w:after="0"/>
              <w:rPr>
                <w:rFonts w:ascii="Arial" w:cs="Arial" w:eastAsia="Arial" w:hAnsi="Arial"/>
                <w:sz w:val="14"/>
                <w:szCs w:val="14"/>
                <w:color w:val="0000EE"/>
                <w:w w:val="95"/>
              </w:rPr>
            </w:pPr>
            <w:hyperlink r:id="rId123">
              <w:r>
                <w:rPr>
                  <w:rFonts w:ascii="Arial" w:cs="Arial" w:eastAsia="Arial" w:hAnsi="Arial"/>
                  <w:sz w:val="14"/>
                  <w:szCs w:val="14"/>
                  <w:color w:val="0000EE"/>
                  <w:w w:val="95"/>
                </w:rPr>
                <w:t>Dividend Reinvestment Plan (Incorporated by reference to Exhibit 99(e) to the Registrant’s Pre-Effective Amendment No. 3 to the Registration Statement on Form N-2 (File No.</w:t>
              </w:r>
            </w:hyperlink>
          </w:p>
        </w:tc>
      </w:tr>
      <w:tr>
        <w:trPr>
          <w:trHeight w:val="129"/>
        </w:trPr>
        <w:tc>
          <w:tcPr>
            <w:tcW w:w="920" w:type="dxa"/>
            <w:vAlign w:val="bottom"/>
          </w:tcPr>
          <w:p>
            <w:pPr>
              <w:spacing w:after="0"/>
              <w:rPr>
                <w:sz w:val="11"/>
                <w:szCs w:val="11"/>
                <w:color w:val="auto"/>
              </w:rPr>
            </w:pPr>
          </w:p>
        </w:tc>
        <w:tc>
          <w:tcPr>
            <w:tcW w:w="1020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r:id="rId123">
              <w:r>
                <w:rPr>
                  <w:rFonts w:ascii="Arial" w:cs="Arial" w:eastAsia="Arial" w:hAnsi="Arial"/>
                  <w:sz w:val="14"/>
                  <w:szCs w:val="14"/>
                  <w:color w:val="0000EE"/>
                </w:rPr>
                <w:t>333-170243), filed on March 29, 2011).</w:t>
              </w:r>
            </w:hyperlink>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7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10.6</w:t>
            </w:r>
          </w:p>
        </w:tc>
        <w:tc>
          <w:tcPr>
            <w:tcW w:w="10340" w:type="dxa"/>
            <w:vAlign w:val="bottom"/>
            <w:gridSpan w:val="26"/>
          </w:tcPr>
          <w:p>
            <w:pPr>
              <w:spacing w:after="0"/>
              <w:rPr>
                <w:rFonts w:ascii="Arial" w:cs="Arial" w:eastAsia="Arial" w:hAnsi="Arial"/>
                <w:sz w:val="14"/>
                <w:szCs w:val="14"/>
                <w:color w:val="0000EE"/>
                <w:w w:val="95"/>
              </w:rPr>
            </w:pPr>
            <w:hyperlink r:id="rId124">
              <w:r>
                <w:rPr>
                  <w:rFonts w:ascii="Arial" w:cs="Arial" w:eastAsia="Arial" w:hAnsi="Arial"/>
                  <w:sz w:val="14"/>
                  <w:szCs w:val="14"/>
                  <w:color w:val="0000EE"/>
                  <w:w w:val="95"/>
                </w:rPr>
                <w:t>Second Amended and Restated Investment Advisory Agreement, dated as of February 2, 2016, between PennantPark Floating Rate Capital Ltd. and PennantPark Investment</w:t>
              </w:r>
            </w:hyperlink>
          </w:p>
        </w:tc>
      </w:tr>
      <w:tr>
        <w:trPr>
          <w:trHeight w:val="176"/>
        </w:trPr>
        <w:tc>
          <w:tcPr>
            <w:tcW w:w="920" w:type="dxa"/>
            <w:vAlign w:val="bottom"/>
          </w:tcPr>
          <w:p>
            <w:pPr>
              <w:spacing w:after="0"/>
              <w:rPr>
                <w:sz w:val="15"/>
                <w:szCs w:val="15"/>
                <w:color w:val="auto"/>
              </w:rPr>
            </w:pPr>
          </w:p>
        </w:tc>
        <w:tc>
          <w:tcPr>
            <w:tcW w:w="9960" w:type="dxa"/>
            <w:vAlign w:val="bottom"/>
            <w:tcBorders>
              <w:top w:val="single" w:sz="8" w:color="0000EE"/>
            </w:tcBorders>
            <w:gridSpan w:val="12"/>
          </w:tcPr>
          <w:p>
            <w:pPr>
              <w:spacing w:after="0"/>
              <w:rPr>
                <w:rFonts w:ascii="Arial" w:cs="Arial" w:eastAsia="Arial" w:hAnsi="Arial"/>
                <w:sz w:val="14"/>
                <w:szCs w:val="14"/>
                <w:u w:val="single" w:color="auto"/>
                <w:color w:val="0000EE"/>
              </w:rPr>
            </w:pPr>
            <w:hyperlink r:id="rId124">
              <w:r>
                <w:rPr>
                  <w:rFonts w:ascii="Arial" w:cs="Arial" w:eastAsia="Arial" w:hAnsi="Arial"/>
                  <w:sz w:val="14"/>
                  <w:szCs w:val="14"/>
                  <w:u w:val="single" w:color="auto"/>
                  <w:color w:val="0000EE"/>
                </w:rPr>
                <w:t>Advisers, LLC (Incorporated by reference to the Registrant’s Quarterly Report on Form 10-Q (File No. 814-00891), filed on February 4, 2016).</w:t>
              </w:r>
            </w:hyperlink>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12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50"/>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10.7</w:t>
            </w:r>
          </w:p>
        </w:tc>
        <w:tc>
          <w:tcPr>
            <w:tcW w:w="10340" w:type="dxa"/>
            <w:vAlign w:val="bottom"/>
            <w:gridSpan w:val="26"/>
          </w:tcPr>
          <w:p>
            <w:pPr>
              <w:spacing w:after="0"/>
              <w:rPr>
                <w:rFonts w:ascii="Arial" w:cs="Arial" w:eastAsia="Arial" w:hAnsi="Arial"/>
                <w:sz w:val="14"/>
                <w:szCs w:val="14"/>
                <w:color w:val="0000EE"/>
                <w:w w:val="95"/>
              </w:rPr>
            </w:pPr>
            <w:hyperlink r:id="rId125">
              <w:r>
                <w:rPr>
                  <w:rFonts w:ascii="Arial" w:cs="Arial" w:eastAsia="Arial" w:hAnsi="Arial"/>
                  <w:sz w:val="14"/>
                  <w:szCs w:val="14"/>
                  <w:color w:val="0000EE"/>
                  <w:w w:val="95"/>
                </w:rPr>
                <w:t>Limited Liability Company Agreement of PennantPark Senior Secured Loan Fund I LLC, dated as of May 4, 2017, by and between PennantPark Floating Rate Capital Ltd. and</w:t>
              </w:r>
            </w:hyperlink>
          </w:p>
        </w:tc>
      </w:tr>
      <w:tr>
        <w:trPr>
          <w:trHeight w:val="128"/>
        </w:trPr>
        <w:tc>
          <w:tcPr>
            <w:tcW w:w="920" w:type="dxa"/>
            <w:vAlign w:val="bottom"/>
          </w:tcPr>
          <w:p>
            <w:pPr>
              <w:spacing w:after="0"/>
              <w:rPr>
                <w:sz w:val="11"/>
                <w:szCs w:val="11"/>
                <w:color w:val="auto"/>
              </w:rPr>
            </w:pPr>
          </w:p>
        </w:tc>
        <w:tc>
          <w:tcPr>
            <w:tcW w:w="10140" w:type="dxa"/>
            <w:vAlign w:val="bottom"/>
            <w:tcBorders>
              <w:top w:val="single" w:sz="8" w:color="0000EE"/>
            </w:tcBorders>
            <w:gridSpan w:val="17"/>
          </w:tcPr>
          <w:p>
            <w:pPr>
              <w:spacing w:after="0" w:line="129" w:lineRule="exact"/>
              <w:rPr>
                <w:rFonts w:ascii="Arial" w:cs="Arial" w:eastAsia="Arial" w:hAnsi="Arial"/>
                <w:sz w:val="14"/>
                <w:szCs w:val="14"/>
                <w:color w:val="0000EE"/>
                <w:w w:val="95"/>
              </w:rPr>
            </w:pPr>
            <w:hyperlink r:id="rId125">
              <w:r>
                <w:rPr>
                  <w:rFonts w:ascii="Arial" w:cs="Arial" w:eastAsia="Arial" w:hAnsi="Arial"/>
                  <w:sz w:val="14"/>
                  <w:szCs w:val="14"/>
                  <w:color w:val="0000EE"/>
                  <w:w w:val="95"/>
                </w:rPr>
                <w:t>Trinity Universal Insurance Company (Incorporated by reference to Exhibit 10.1 to the Registrant’s Quarterly Report on Form 10-Q (File No. 814-00891), filed on August 8,</w:t>
              </w:r>
            </w:hyperlink>
          </w:p>
        </w:tc>
        <w:tc>
          <w:tcPr>
            <w:tcW w:w="12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36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5"/>
              </w:rPr>
            </w:pPr>
            <w:hyperlink r:id="rId125">
              <w:r>
                <w:rPr>
                  <w:rFonts w:ascii="Arial" w:cs="Arial" w:eastAsia="Arial" w:hAnsi="Arial"/>
                  <w:sz w:val="14"/>
                  <w:szCs w:val="14"/>
                  <w:color w:val="0000EE"/>
                  <w:w w:val="85"/>
                </w:rPr>
                <w:t>2017).</w:t>
              </w:r>
            </w:hyperlink>
          </w:p>
        </w:tc>
        <w:tc>
          <w:tcPr>
            <w:tcW w:w="6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40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5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10.8</w:t>
            </w:r>
          </w:p>
        </w:tc>
        <w:tc>
          <w:tcPr>
            <w:tcW w:w="10340" w:type="dxa"/>
            <w:vAlign w:val="bottom"/>
            <w:gridSpan w:val="26"/>
          </w:tcPr>
          <w:p>
            <w:pPr>
              <w:spacing w:after="0"/>
              <w:rPr>
                <w:rFonts w:ascii="Arial" w:cs="Arial" w:eastAsia="Arial" w:hAnsi="Arial"/>
                <w:sz w:val="14"/>
                <w:szCs w:val="14"/>
                <w:color w:val="0000EE"/>
                <w:w w:val="93"/>
              </w:rPr>
            </w:pPr>
            <w:hyperlink r:id="rId126">
              <w:r>
                <w:rPr>
                  <w:rFonts w:ascii="Arial" w:cs="Arial" w:eastAsia="Arial" w:hAnsi="Arial"/>
                  <w:sz w:val="14"/>
                  <w:szCs w:val="14"/>
                  <w:color w:val="0000EE"/>
                  <w:w w:val="93"/>
                </w:rPr>
                <w:t>Indemnification Agreement, dated as of November 15, 2016, between PennantPark Floating Rate Capital Ltd. and each of the directors and officers listed on Schedule A attached</w:t>
              </w:r>
            </w:hyperlink>
          </w:p>
        </w:tc>
      </w:tr>
      <w:tr>
        <w:trPr>
          <w:trHeight w:val="176"/>
        </w:trPr>
        <w:tc>
          <w:tcPr>
            <w:tcW w:w="920" w:type="dxa"/>
            <w:vAlign w:val="bottom"/>
          </w:tcPr>
          <w:p>
            <w:pPr>
              <w:spacing w:after="0"/>
              <w:rPr>
                <w:sz w:val="15"/>
                <w:szCs w:val="15"/>
                <w:color w:val="auto"/>
              </w:rPr>
            </w:pPr>
          </w:p>
        </w:tc>
        <w:tc>
          <w:tcPr>
            <w:tcW w:w="10260" w:type="dxa"/>
            <w:vAlign w:val="bottom"/>
            <w:tcBorders>
              <w:top w:val="single" w:sz="8" w:color="0000EE"/>
            </w:tcBorders>
            <w:gridSpan w:val="22"/>
          </w:tcPr>
          <w:p>
            <w:pPr>
              <w:spacing w:after="0"/>
              <w:rPr>
                <w:rFonts w:ascii="Arial" w:cs="Arial" w:eastAsia="Arial" w:hAnsi="Arial"/>
                <w:sz w:val="14"/>
                <w:szCs w:val="14"/>
                <w:u w:val="single" w:color="auto"/>
                <w:color w:val="0000EE"/>
              </w:rPr>
            </w:pPr>
            <w:hyperlink r:id="rId126">
              <w:r>
                <w:rPr>
                  <w:rFonts w:ascii="Arial" w:cs="Arial" w:eastAsia="Arial" w:hAnsi="Arial"/>
                  <w:sz w:val="14"/>
                  <w:szCs w:val="14"/>
                  <w:u w:val="single" w:color="auto"/>
                  <w:color w:val="0000EE"/>
                </w:rPr>
                <w:t>thereto (Incorporated by reference to Exhibit 10.6 to the Registrant’s Annual Report on Form 10-K (File No. 814-00891) filed on November 22, 2016).</w:t>
              </w:r>
            </w:hyperlink>
          </w:p>
        </w:tc>
        <w:tc>
          <w:tcPr>
            <w:tcW w:w="80" w:type="dxa"/>
            <w:vAlign w:val="bottom"/>
            <w:gridSpan w:val="4"/>
          </w:tcPr>
          <w:p>
            <w:pPr>
              <w:spacing w:after="0"/>
              <w:rPr>
                <w:sz w:val="15"/>
                <w:szCs w:val="15"/>
                <w:color w:val="auto"/>
              </w:rPr>
            </w:pPr>
          </w:p>
        </w:tc>
      </w:tr>
    </w:tbl>
    <w:p>
      <w:pPr>
        <w:spacing w:after="0" w:line="96" w:lineRule="exact"/>
        <w:rPr>
          <w:sz w:val="20"/>
          <w:szCs w:val="20"/>
          <w:color w:val="auto"/>
        </w:rPr>
      </w:pPr>
    </w:p>
    <w:p>
      <w:pPr>
        <w:ind w:left="920" w:hanging="912"/>
        <w:spacing w:after="0"/>
        <w:tabs>
          <w:tab w:leader="none" w:pos="920" w:val="left"/>
        </w:tabs>
        <w:numPr>
          <w:ilvl w:val="0"/>
          <w:numId w:val="61"/>
        </w:numPr>
        <w:rPr>
          <w:rFonts w:ascii="Arial" w:cs="Arial" w:eastAsia="Arial" w:hAnsi="Arial"/>
          <w:sz w:val="14"/>
          <w:szCs w:val="14"/>
          <w:color w:val="0000EE"/>
        </w:rPr>
      </w:pPr>
      <w:hyperlink w:anchor="page69">
        <w:r>
          <w:rPr>
            <w:rFonts w:ascii="Arial" w:cs="Arial" w:eastAsia="Arial" w:hAnsi="Arial"/>
            <w:sz w:val="14"/>
            <w:szCs w:val="14"/>
            <w:u w:val="single" w:color="auto"/>
            <w:color w:val="0000EE"/>
          </w:rPr>
          <w:t>Computation of Per Share Earnings (included in the notes to the audited financial statements contained in this Report)</w:t>
        </w:r>
        <w:r>
          <w:rPr>
            <w:rFonts w:ascii="Arial" w:cs="Arial" w:eastAsia="Arial" w:hAnsi="Arial"/>
            <w:sz w:val="14"/>
            <w:szCs w:val="14"/>
            <w:color w:val="0000EE"/>
          </w:rPr>
          <w:t>.</w:t>
        </w:r>
      </w:hyperlink>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Arial" w:cs="Arial" w:eastAsia="Arial" w:hAnsi="Arial"/>
                <w:sz w:val="14"/>
                <w:szCs w:val="14"/>
                <w:color w:val="auto"/>
              </w:rPr>
              <w:t>14.1*</w:t>
            </w:r>
          </w:p>
        </w:tc>
        <w:tc>
          <w:tcPr>
            <w:tcW w:w="9420" w:type="dxa"/>
            <w:vAlign w:val="bottom"/>
          </w:tcPr>
          <w:p>
            <w:pPr>
              <w:ind w:left="30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Joint Code of Ethics of the Registrant.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21.1*</w:t>
            </w:r>
          </w:p>
        </w:tc>
        <w:tc>
          <w:tcPr>
            <w:tcW w:w="9420" w:type="dxa"/>
            <w:vAlign w:val="bottom"/>
          </w:tcPr>
          <w:p>
            <w:pPr>
              <w:ind w:left="300"/>
              <w:spacing w:after="0"/>
              <w:rPr>
                <w:rFonts w:ascii="Arial" w:cs="Arial" w:eastAsia="Arial" w:hAnsi="Arial"/>
                <w:sz w:val="14"/>
                <w:szCs w:val="14"/>
                <w:color w:val="0000EE"/>
              </w:rPr>
            </w:pPr>
            <w:hyperlink w:anchor="page83">
              <w:r>
                <w:rPr>
                  <w:rFonts w:ascii="Arial" w:cs="Arial" w:eastAsia="Arial" w:hAnsi="Arial"/>
                  <w:sz w:val="14"/>
                  <w:szCs w:val="14"/>
                  <w:u w:val="single" w:color="auto"/>
                  <w:color w:val="0000EE"/>
                </w:rPr>
                <w:t>Subsidiaries of the Registrant</w:t>
              </w:r>
              <w:r>
                <w:rPr>
                  <w:rFonts w:ascii="Arial" w:cs="Arial" w:eastAsia="Arial" w:hAnsi="Arial"/>
                  <w:sz w:val="14"/>
                  <w:szCs w:val="14"/>
                  <w:color w:val="0000EE"/>
                </w:rPr>
                <w: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31.1*</w:t>
            </w:r>
          </w:p>
        </w:tc>
        <w:tc>
          <w:tcPr>
            <w:tcW w:w="9420" w:type="dxa"/>
            <w:vAlign w:val="bottom"/>
          </w:tcPr>
          <w:p>
            <w:pPr>
              <w:ind w:left="300"/>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Certification of Chief Executive Officer pursuant to Rule 13a-14 of the Securities Exchange Act of 1934, as amended.</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31.2*</w:t>
            </w:r>
          </w:p>
        </w:tc>
        <w:tc>
          <w:tcPr>
            <w:tcW w:w="9420" w:type="dxa"/>
            <w:vAlign w:val="bottom"/>
          </w:tcPr>
          <w:p>
            <w:pPr>
              <w:ind w:left="300"/>
              <w:spacing w:after="0"/>
              <w:rPr>
                <w:rFonts w:ascii="Arial" w:cs="Arial" w:eastAsia="Arial" w:hAnsi="Arial"/>
                <w:sz w:val="14"/>
                <w:szCs w:val="14"/>
                <w:u w:val="single" w:color="auto"/>
                <w:color w:val="0000EE"/>
              </w:rPr>
            </w:pPr>
            <w:hyperlink w:anchor="page85">
              <w:r>
                <w:rPr>
                  <w:rFonts w:ascii="Arial" w:cs="Arial" w:eastAsia="Arial" w:hAnsi="Arial"/>
                  <w:sz w:val="14"/>
                  <w:szCs w:val="14"/>
                  <w:u w:val="single" w:color="auto"/>
                  <w:color w:val="0000EE"/>
                </w:rPr>
                <w:t>Certification of Chief Financial Officer pursuant to Rule 13a-14 of the Securities Exchange Act of 1934, as amended.</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32.1*</w:t>
            </w:r>
          </w:p>
        </w:tc>
        <w:tc>
          <w:tcPr>
            <w:tcW w:w="9420" w:type="dxa"/>
            <w:vAlign w:val="bottom"/>
          </w:tcPr>
          <w:p>
            <w:pPr>
              <w:ind w:left="30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Certification of Chief Executive Officer pursuant to section 906 of the Sarbanes-Oxley Act of 2002.</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32.2*</w:t>
            </w:r>
          </w:p>
        </w:tc>
        <w:tc>
          <w:tcPr>
            <w:tcW w:w="9420" w:type="dxa"/>
            <w:vAlign w:val="bottom"/>
          </w:tcPr>
          <w:p>
            <w:pPr>
              <w:ind w:left="300"/>
              <w:spacing w:after="0"/>
              <w:rPr>
                <w:rFonts w:ascii="Arial" w:cs="Arial" w:eastAsia="Arial" w:hAnsi="Arial"/>
                <w:sz w:val="14"/>
                <w:szCs w:val="14"/>
                <w:color w:val="0000EE"/>
              </w:rPr>
            </w:pPr>
            <w:hyperlink w:anchor="page87">
              <w:r>
                <w:rPr>
                  <w:rFonts w:ascii="Arial" w:cs="Arial" w:eastAsia="Arial" w:hAnsi="Arial"/>
                  <w:sz w:val="14"/>
                  <w:szCs w:val="14"/>
                  <w:u w:val="single" w:color="auto"/>
                  <w:color w:val="0000EE"/>
                </w:rPr>
                <w:t>Certification of Chief Financial Officer pursuant to section 906 of the Sarbanes-Oxley Act of 2002</w:t>
              </w:r>
              <w:r>
                <w:rPr>
                  <w:rFonts w:ascii="Arial" w:cs="Arial" w:eastAsia="Arial" w:hAnsi="Arial"/>
                  <w:sz w:val="14"/>
                  <w:szCs w:val="14"/>
                  <w:color w:val="0000EE"/>
                </w:rPr>
                <w: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99.1</w:t>
            </w:r>
          </w:p>
        </w:tc>
        <w:tc>
          <w:tcPr>
            <w:tcW w:w="9420" w:type="dxa"/>
            <w:vAlign w:val="bottom"/>
          </w:tcPr>
          <w:p>
            <w:pPr>
              <w:ind w:left="300"/>
              <w:spacing w:after="0"/>
              <w:rPr>
                <w:rFonts w:ascii="Arial" w:cs="Arial" w:eastAsia="Arial" w:hAnsi="Arial"/>
                <w:sz w:val="14"/>
                <w:szCs w:val="14"/>
                <w:color w:val="0000EE"/>
                <w:w w:val="94"/>
              </w:rPr>
            </w:pPr>
            <w:hyperlink r:id="rId127">
              <w:r>
                <w:rPr>
                  <w:rFonts w:ascii="Arial" w:cs="Arial" w:eastAsia="Arial" w:hAnsi="Arial"/>
                  <w:sz w:val="14"/>
                  <w:szCs w:val="14"/>
                  <w:u w:val="single" w:color="auto"/>
                  <w:color w:val="0000EE"/>
                  <w:w w:val="94"/>
                </w:rPr>
                <w:t>Privacy Policy of the Registrant. (Incorporated by reference to the Registrant’s Annual Report on Form 10-K (File No. 814-00891), filed November 17, 2011)</w:t>
              </w:r>
              <w:r>
                <w:rPr>
                  <w:rFonts w:ascii="Arial" w:cs="Arial" w:eastAsia="Arial" w:hAnsi="Arial"/>
                  <w:sz w:val="14"/>
                  <w:szCs w:val="14"/>
                  <w:color w:val="0000EE"/>
                  <w:w w:val="94"/>
                </w:rPr>
                <w:t>.</w:t>
              </w:r>
            </w:hyperlink>
          </w:p>
        </w:tc>
      </w:tr>
    </w:tbl>
    <w:p>
      <w:pPr>
        <w:spacing w:after="0" w:line="128"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November 30,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19"/>
        </w:trPr>
        <w:tc>
          <w:tcPr>
            <w:tcW w:w="68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3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Arthur H. Penn</w:t>
            </w:r>
          </w:p>
        </w:tc>
      </w:tr>
      <w:tr>
        <w:trPr>
          <w:trHeight w:val="148"/>
        </w:trPr>
        <w:tc>
          <w:tcPr>
            <w:tcW w:w="6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68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1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4"/>
                <w:szCs w:val="1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57"/>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22"/>
                <w:szCs w:val="22"/>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Chief Executive Officer and Chairman of the Board of Directors</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30, 2017</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line="150" w:lineRule="exact"/>
              <w:rPr>
                <w:sz w:val="20"/>
                <w:szCs w:val="20"/>
                <w:color w:val="auto"/>
              </w:rPr>
            </w:pPr>
            <w:r>
              <w:rPr>
                <w:rFonts w:ascii="Arial" w:cs="Arial" w:eastAsia="Arial" w:hAnsi="Arial"/>
                <w:sz w:val="14"/>
                <w:szCs w:val="14"/>
                <w:color w:val="auto"/>
                <w:w w:val="97"/>
              </w:rPr>
              <w:t>(Principal Executive Officer)</w:t>
            </w:r>
          </w:p>
        </w:tc>
        <w:tc>
          <w:tcPr>
            <w:tcW w:w="2800" w:type="dxa"/>
            <w:vAlign w:val="bottom"/>
          </w:tcPr>
          <w:p>
            <w:pPr>
              <w:spacing w:after="0"/>
              <w:rPr>
                <w:sz w:val="16"/>
                <w:szCs w:val="16"/>
                <w:color w:val="auto"/>
              </w:rPr>
            </w:pPr>
          </w:p>
        </w:tc>
      </w:tr>
      <w:tr>
        <w:trPr>
          <w:trHeight w:val="22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AVIV EFRAT</w:t>
            </w:r>
          </w:p>
        </w:tc>
        <w:tc>
          <w:tcPr>
            <w:tcW w:w="120" w:type="dxa"/>
            <w:vAlign w:val="bottom"/>
          </w:tcPr>
          <w:p>
            <w:pPr>
              <w:spacing w:after="0"/>
              <w:rPr>
                <w:sz w:val="19"/>
                <w:szCs w:val="19"/>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Chief Financial Officer and Treasurer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30, 2017</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line="150" w:lineRule="exact"/>
              <w:rPr>
                <w:sz w:val="20"/>
                <w:szCs w:val="20"/>
                <w:color w:val="auto"/>
              </w:rPr>
            </w:pPr>
            <w:r>
              <w:rPr>
                <w:rFonts w:ascii="Arial" w:cs="Arial" w:eastAsia="Arial" w:hAnsi="Arial"/>
                <w:sz w:val="14"/>
                <w:szCs w:val="14"/>
                <w:color w:val="auto"/>
                <w:w w:val="96"/>
              </w:rPr>
              <w:t>(Principal Financial and Accounting Officer)</w:t>
            </w:r>
          </w:p>
        </w:tc>
        <w:tc>
          <w:tcPr>
            <w:tcW w:w="2800" w:type="dxa"/>
            <w:vAlign w:val="bottom"/>
          </w:tcPr>
          <w:p>
            <w:pPr>
              <w:spacing w:after="0"/>
              <w:rPr>
                <w:sz w:val="16"/>
                <w:szCs w:val="16"/>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30, 2017</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30, 2017</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30, 2017</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30, 2017</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639"/>
        </w:trPr>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40" w:type="dxa"/>
            <w:vAlign w:val="bottom"/>
            <w:gridSpan w:val="2"/>
          </w:tcPr>
          <w:p>
            <w:pPr>
              <w:jc w:val="right"/>
              <w:ind w:right="25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40" w:lineRule="exact"/>
        <w:rPr>
          <w:sz w:val="20"/>
          <w:szCs w:val="20"/>
          <w:color w:val="auto"/>
        </w:rPr>
      </w:pPr>
    </w:p>
    <w:p>
      <w:pPr>
        <w:ind w:right="20" w:firstLine="496"/>
        <w:spacing w:after="0" w:line="248" w:lineRule="auto"/>
        <w:rPr>
          <w:sz w:val="20"/>
          <w:szCs w:val="20"/>
          <w:color w:val="auto"/>
        </w:rPr>
      </w:pPr>
      <w:r>
        <w:rPr>
          <w:rFonts w:ascii="Arial" w:cs="Arial" w:eastAsia="Arial" w:hAnsi="Arial"/>
          <w:sz w:val="13"/>
          <w:szCs w:val="13"/>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13" w:lineRule="exact"/>
        <w:rPr>
          <w:sz w:val="20"/>
          <w:szCs w:val="20"/>
          <w:color w:val="auto"/>
        </w:rPr>
      </w:pPr>
    </w:p>
    <w:p>
      <w:pPr>
        <w:ind w:right="200" w:firstLine="496"/>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96" w:lineRule="exact"/>
        <w:rPr>
          <w:sz w:val="20"/>
          <w:szCs w:val="20"/>
          <w:color w:val="auto"/>
        </w:rPr>
      </w:pPr>
    </w:p>
    <w:p>
      <w:pPr>
        <w:ind w:right="260" w:firstLine="496"/>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Covered Personnel must read and retain this Code.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27" w:lineRule="exact"/>
        <w:rPr>
          <w:sz w:val="20"/>
          <w:szCs w:val="20"/>
          <w:color w:val="auto"/>
        </w:rPr>
      </w:pPr>
    </w:p>
    <w:p>
      <w:pPr>
        <w:ind w:left="980" w:hanging="486"/>
        <w:spacing w:after="0"/>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36" w:lineRule="exact"/>
        <w:rPr>
          <w:rFonts w:ascii="Arial" w:cs="Arial" w:eastAsia="Arial" w:hAnsi="Arial"/>
          <w:sz w:val="14"/>
          <w:szCs w:val="14"/>
          <w:color w:val="auto"/>
        </w:rPr>
      </w:pPr>
    </w:p>
    <w:p>
      <w:pPr>
        <w:ind w:left="980" w:right="40" w:hanging="486"/>
        <w:spacing w:after="0" w:line="231" w:lineRule="auto"/>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16" w:lineRule="exact"/>
        <w:rPr>
          <w:rFonts w:ascii="Arial" w:cs="Arial" w:eastAsia="Arial" w:hAnsi="Arial"/>
          <w:sz w:val="14"/>
          <w:szCs w:val="14"/>
          <w:color w:val="auto"/>
        </w:rPr>
      </w:pPr>
    </w:p>
    <w:p>
      <w:pPr>
        <w:ind w:left="980" w:right="340" w:hanging="486"/>
        <w:spacing w:after="0" w:line="253" w:lineRule="auto"/>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36" w:lineRule="exact"/>
        <w:rPr>
          <w:rFonts w:ascii="Arial" w:cs="Arial" w:eastAsia="Arial" w:hAnsi="Arial"/>
          <w:sz w:val="14"/>
          <w:szCs w:val="14"/>
          <w:color w:val="auto"/>
        </w:rPr>
      </w:pPr>
    </w:p>
    <w:p>
      <w:pPr>
        <w:ind w:left="980" w:hanging="486"/>
        <w:spacing w:after="0" w:line="248" w:lineRule="auto"/>
        <w:tabs>
          <w:tab w:leader="none" w:pos="9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12" w:lineRule="exact"/>
        <w:rPr>
          <w:rFonts w:ascii="Arial" w:cs="Arial" w:eastAsia="Arial" w:hAnsi="Arial"/>
          <w:sz w:val="13"/>
          <w:szCs w:val="13"/>
          <w:color w:val="auto"/>
        </w:rPr>
      </w:pPr>
    </w:p>
    <w:p>
      <w:pPr>
        <w:ind w:left="1000" w:right="2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18" w:lineRule="exact"/>
        <w:rPr>
          <w:rFonts w:ascii="Arial" w:cs="Arial" w:eastAsia="Arial" w:hAnsi="Arial"/>
          <w:sz w:val="13"/>
          <w:szCs w:val="13"/>
          <w:color w:val="auto"/>
        </w:rPr>
      </w:pPr>
    </w:p>
    <w:p>
      <w:pPr>
        <w:ind w:left="980" w:hanging="486"/>
        <w:spacing w:after="0"/>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7" w:name="page78"/>
    <w:bookmarkEnd w:id="77"/>
    <w:p>
      <w:pPr>
        <w:ind w:left="980" w:right="100" w:hanging="486"/>
        <w:spacing w:after="0" w:line="253" w:lineRule="auto"/>
        <w:tabs>
          <w:tab w:leader="none" w:pos="9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“Security Held or to be Acquired” by the Corporation means: (i) any Covered Security which, within the most recent 15 days: (A) is or has been held by the Corporation; or</w:t>
      </w:r>
    </w:p>
    <w:p>
      <w:pPr>
        <w:spacing w:after="0" w:line="11" w:lineRule="exact"/>
        <w:rPr>
          <w:rFonts w:ascii="Arial" w:cs="Arial" w:eastAsia="Arial" w:hAnsi="Arial"/>
          <w:sz w:val="13"/>
          <w:szCs w:val="13"/>
          <w:color w:val="auto"/>
        </w:rPr>
      </w:pPr>
    </w:p>
    <w:p>
      <w:pPr>
        <w:ind w:left="980" w:right="20"/>
        <w:spacing w:after="0" w:line="237" w:lineRule="auto"/>
        <w:tabs>
          <w:tab w:leader="none" w:pos="1208" w:val="left"/>
        </w:tabs>
        <w:numPr>
          <w:ilvl w:val="1"/>
          <w:numId w:val="64"/>
        </w:numPr>
        <w:rPr>
          <w:rFonts w:ascii="Arial" w:cs="Arial" w:eastAsia="Arial" w:hAnsi="Arial"/>
          <w:sz w:val="14"/>
          <w:szCs w:val="14"/>
          <w:color w:val="auto"/>
        </w:rPr>
      </w:pPr>
      <w:r>
        <w:rPr>
          <w:rFonts w:ascii="Arial" w:cs="Arial" w:eastAsia="Arial" w:hAnsi="Arial"/>
          <w:sz w:val="14"/>
          <w:szCs w:val="14"/>
          <w:color w:val="auto"/>
        </w:rPr>
        <w:t>is being or has been considered by the Corporation or the Adviser for purchase by the Corporation; and (ii) any option to purchase or sell, and any security convertible into or exchangeable for, a Covered Security described in Section II (K)(i).</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27" w:lineRule="exact"/>
        <w:rPr>
          <w:sz w:val="20"/>
          <w:szCs w:val="20"/>
          <w:color w:val="auto"/>
        </w:rPr>
      </w:pPr>
    </w:p>
    <w:p>
      <w:pPr>
        <w:ind w:firstLine="496"/>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15" w:lineRule="exact"/>
        <w:rPr>
          <w:sz w:val="20"/>
          <w:szCs w:val="20"/>
          <w:color w:val="auto"/>
        </w:rPr>
      </w:pPr>
    </w:p>
    <w:p>
      <w:pPr>
        <w:ind w:right="520" w:firstLine="496"/>
        <w:spacing w:after="0" w:line="296" w:lineRule="auto"/>
        <w:rPr>
          <w:sz w:val="20"/>
          <w:szCs w:val="20"/>
          <w:color w:val="auto"/>
        </w:rPr>
      </w:pPr>
      <w:r>
        <w:rPr>
          <w:rFonts w:ascii="Arial" w:cs="Arial" w:eastAsia="Arial" w:hAnsi="Arial"/>
          <w:sz w:val="12"/>
          <w:szCs w:val="12"/>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83" w:lineRule="exact"/>
        <w:rPr>
          <w:sz w:val="20"/>
          <w:szCs w:val="20"/>
          <w:color w:val="auto"/>
        </w:rPr>
      </w:pPr>
    </w:p>
    <w:p>
      <w:pPr>
        <w:ind w:left="980" w:hanging="486"/>
        <w:spacing w:after="0"/>
        <w:tabs>
          <w:tab w:leader="none" w:pos="9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3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36"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-1270</wp:posOffset>
            </wp:positionV>
            <wp:extent cx="228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20" w:lineRule="exact"/>
        <w:rPr>
          <w:sz w:val="20"/>
          <w:szCs w:val="20"/>
          <w:color w:val="auto"/>
        </w:rPr>
      </w:pPr>
    </w:p>
    <w:p>
      <w:pPr>
        <w:ind w:right="200" w:firstLine="496"/>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Exceptions to the Pre-Clearance Requirement Policy</w:t>
      </w:r>
      <w:r>
        <w:rPr>
          <w:rFonts w:ascii="Arial" w:cs="Arial" w:eastAsia="Arial" w:hAnsi="Arial"/>
          <w:sz w:val="14"/>
          <w:szCs w:val="14"/>
          <w:color w:val="auto"/>
        </w:rPr>
        <w:t>,</w:t>
      </w:r>
    </w:p>
    <w:p>
      <w:pPr>
        <w:spacing w:after="0" w:line="136" w:lineRule="exact"/>
        <w:rPr>
          <w:sz w:val="20"/>
          <w:szCs w:val="20"/>
          <w:color w:val="auto"/>
        </w:rPr>
      </w:pPr>
    </w:p>
    <w:p>
      <w:pPr>
        <w:ind w:right="20" w:firstLine="496"/>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09" w:lineRule="exact"/>
        <w:rPr>
          <w:sz w:val="20"/>
          <w:szCs w:val="20"/>
          <w:color w:val="auto"/>
        </w:rPr>
      </w:pPr>
    </w:p>
    <w:p>
      <w:pPr>
        <w:ind w:right="100" w:firstLine="496"/>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40" w:lineRule="exact"/>
        <w:rPr>
          <w:sz w:val="20"/>
          <w:szCs w:val="20"/>
          <w:color w:val="auto"/>
        </w:rPr>
      </w:pPr>
    </w:p>
    <w:p>
      <w:pPr>
        <w:ind w:left="980" w:right="60" w:hanging="486"/>
        <w:spacing w:after="0" w:line="251" w:lineRule="auto"/>
        <w:tabs>
          <w:tab w:leader="none" w:pos="9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09" w:lineRule="exact"/>
        <w:rPr>
          <w:rFonts w:ascii="Arial" w:cs="Arial" w:eastAsia="Arial" w:hAnsi="Arial"/>
          <w:sz w:val="13"/>
          <w:szCs w:val="13"/>
          <w:color w:val="auto"/>
        </w:rPr>
      </w:pPr>
    </w:p>
    <w:p>
      <w:pPr>
        <w:ind w:left="980" w:right="40" w:hanging="486"/>
        <w:spacing w:after="0" w:line="238" w:lineRule="auto"/>
        <w:tabs>
          <w:tab w:leader="none" w:pos="9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15" w:lineRule="exact"/>
        <w:rPr>
          <w:rFonts w:ascii="Arial" w:cs="Arial" w:eastAsia="Arial" w:hAnsi="Arial"/>
          <w:sz w:val="14"/>
          <w:szCs w:val="14"/>
          <w:color w:val="auto"/>
        </w:rPr>
      </w:pPr>
    </w:p>
    <w:p>
      <w:pPr>
        <w:jc w:val="both"/>
        <w:ind w:left="980" w:hanging="486"/>
        <w:spacing w:after="0" w:line="233" w:lineRule="auto"/>
        <w:tabs>
          <w:tab w:leader="none" w:pos="9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27" w:lineRule="exact"/>
        <w:rPr>
          <w:sz w:val="20"/>
          <w:szCs w:val="20"/>
          <w:color w:val="auto"/>
        </w:rPr>
      </w:pPr>
    </w:p>
    <w:p>
      <w:pPr>
        <w:ind w:left="980" w:hanging="486"/>
        <w:spacing w:after="0"/>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36" w:lineRule="exact"/>
        <w:rPr>
          <w:sz w:val="20"/>
          <w:szCs w:val="20"/>
          <w:color w:val="auto"/>
        </w:rPr>
      </w:pPr>
    </w:p>
    <w:p>
      <w:pPr>
        <w:ind w:firstLine="496"/>
        <w:spacing w:after="0" w:line="277" w:lineRule="auto"/>
        <w:rPr>
          <w:sz w:val="20"/>
          <w:szCs w:val="20"/>
          <w:color w:val="auto"/>
        </w:rPr>
      </w:pPr>
      <w:r>
        <w:rPr>
          <w:rFonts w:ascii="Arial" w:cs="Arial" w:eastAsia="Arial" w:hAnsi="Arial"/>
          <w:sz w:val="12"/>
          <w:szCs w:val="1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95" w:lineRule="exact"/>
        <w:rPr>
          <w:sz w:val="20"/>
          <w:szCs w:val="20"/>
          <w:color w:val="auto"/>
        </w:rPr>
      </w:pPr>
    </w:p>
    <w:p>
      <w:pPr>
        <w:ind w:left="980" w:hanging="486"/>
        <w:spacing w:after="0"/>
        <w:tabs>
          <w:tab w:leader="none" w:pos="9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136" w:lineRule="exact"/>
        <w:rPr>
          <w:sz w:val="20"/>
          <w:szCs w:val="20"/>
          <w:color w:val="auto"/>
        </w:rPr>
      </w:pPr>
    </w:p>
    <w:p>
      <w:pPr>
        <w:ind w:right="140" w:firstLine="496"/>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84" w:lineRule="exact"/>
        <w:rPr>
          <w:sz w:val="20"/>
          <w:szCs w:val="20"/>
          <w:color w:val="auto"/>
        </w:rPr>
      </w:pPr>
    </w:p>
    <w:p>
      <w:pPr>
        <w:ind w:right="200" w:firstLine="496"/>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93" w:lineRule="exact"/>
        <w:rPr>
          <w:sz w:val="20"/>
          <w:szCs w:val="20"/>
          <w:color w:val="auto"/>
        </w:rPr>
      </w:pPr>
    </w:p>
    <w:p>
      <w:pPr>
        <w:ind w:left="980" w:hanging="486"/>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36" w:lineRule="exact"/>
        <w:rPr>
          <w:rFonts w:ascii="Arial" w:cs="Arial" w:eastAsia="Arial" w:hAnsi="Arial"/>
          <w:sz w:val="14"/>
          <w:szCs w:val="14"/>
          <w:color w:val="auto"/>
        </w:rPr>
      </w:pPr>
    </w:p>
    <w:p>
      <w:pPr>
        <w:ind w:left="980" w:right="400" w:hanging="486"/>
        <w:spacing w:after="0" w:line="253" w:lineRule="auto"/>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136" w:lineRule="exact"/>
        <w:rPr>
          <w:sz w:val="20"/>
          <w:szCs w:val="20"/>
          <w:color w:val="auto"/>
        </w:rPr>
      </w:pPr>
    </w:p>
    <w:p>
      <w:pPr>
        <w:ind w:left="980" w:hanging="486"/>
        <w:spacing w:after="0"/>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36" w:lineRule="exact"/>
        <w:rPr>
          <w:sz w:val="20"/>
          <w:szCs w:val="20"/>
          <w:color w:val="auto"/>
        </w:rPr>
      </w:pPr>
    </w:p>
    <w:p>
      <w:pPr>
        <w:ind w:right="440" w:firstLine="496"/>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09" w:lineRule="exact"/>
        <w:rPr>
          <w:sz w:val="20"/>
          <w:szCs w:val="20"/>
          <w:color w:val="auto"/>
        </w:rPr>
      </w:pPr>
    </w:p>
    <w:p>
      <w:pPr>
        <w:ind w:left="980" w:hanging="486"/>
        <w:spacing w:after="0"/>
        <w:tabs>
          <w:tab w:leader="none" w:pos="9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36" w:lineRule="exact"/>
        <w:rPr>
          <w:sz w:val="20"/>
          <w:szCs w:val="20"/>
          <w:color w:val="auto"/>
        </w:rPr>
      </w:pPr>
    </w:p>
    <w:p>
      <w:pPr>
        <w:ind w:right="240" w:firstLine="496"/>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06" w:lineRule="exact"/>
        <w:rPr>
          <w:sz w:val="20"/>
          <w:szCs w:val="20"/>
          <w:color w:val="auto"/>
        </w:rPr>
      </w:pPr>
    </w:p>
    <w:p>
      <w:pPr>
        <w:ind w:left="500" w:right="7780" w:hanging="6"/>
        <w:spacing w:after="0" w:line="504" w:lineRule="auto"/>
        <w:tabs>
          <w:tab w:leader="none" w:pos="976" w:val="left"/>
        </w:tabs>
        <w:numPr>
          <w:ilvl w:val="0"/>
          <w:numId w:val="72"/>
        </w:numPr>
        <w:rPr>
          <w:rFonts w:ascii="Arial" w:cs="Arial" w:eastAsia="Arial" w:hAnsi="Arial"/>
          <w:sz w:val="12"/>
          <w:szCs w:val="12"/>
          <w:color w:val="auto"/>
        </w:rPr>
      </w:pPr>
      <w:r>
        <w:rPr>
          <w:rFonts w:ascii="Arial" w:cs="Arial" w:eastAsia="Arial" w:hAnsi="Arial"/>
          <w:sz w:val="12"/>
          <w:szCs w:val="12"/>
          <w:color w:val="auto"/>
        </w:rPr>
        <w:t>Brokerage Accounts and Statements. Access Persons, except Independent Directors, shall:</w:t>
      </w:r>
    </w:p>
    <w:p>
      <w:pPr>
        <w:spacing w:after="0" w:line="1" w:lineRule="exact"/>
        <w:rPr>
          <w:sz w:val="20"/>
          <w:szCs w:val="20"/>
          <w:color w:val="auto"/>
        </w:rPr>
      </w:pPr>
    </w:p>
    <w:p>
      <w:pPr>
        <w:ind w:left="980" w:right="40" w:hanging="486"/>
        <w:spacing w:after="0" w:line="238"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136" w:lineRule="exact"/>
        <w:rPr>
          <w:sz w:val="20"/>
          <w:szCs w:val="20"/>
          <w:color w:val="auto"/>
        </w:rPr>
      </w:pPr>
    </w:p>
    <w:p>
      <w:pPr>
        <w:ind w:left="980" w:hanging="486"/>
        <w:spacing w:after="0"/>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36" w:lineRule="exact"/>
        <w:rPr>
          <w:sz w:val="20"/>
          <w:szCs w:val="20"/>
          <w:color w:val="auto"/>
        </w:rPr>
      </w:pPr>
    </w:p>
    <w:p>
      <w:pPr>
        <w:ind w:right="20" w:firstLine="496"/>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06" w:lineRule="exact"/>
        <w:rPr>
          <w:sz w:val="20"/>
          <w:szCs w:val="20"/>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36" w:lineRule="exact"/>
        <w:rPr>
          <w:sz w:val="20"/>
          <w:szCs w:val="20"/>
          <w:color w:val="auto"/>
        </w:rPr>
      </w:pPr>
    </w:p>
    <w:p>
      <w:pPr>
        <w:jc w:val="both"/>
        <w:ind w:right="400" w:firstLine="496"/>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15" w:lineRule="exact"/>
        <w:rPr>
          <w:sz w:val="20"/>
          <w:szCs w:val="20"/>
          <w:color w:val="auto"/>
        </w:rPr>
      </w:pPr>
    </w:p>
    <w:p>
      <w:pPr>
        <w:ind w:left="980" w:hanging="486"/>
        <w:spacing w:after="0"/>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23" w:lineRule="exact"/>
        <w:rPr>
          <w:sz w:val="20"/>
          <w:szCs w:val="20"/>
          <w:color w:val="auto"/>
        </w:rPr>
      </w:pPr>
    </w:p>
    <w:p>
      <w:pPr>
        <w:ind w:left="980" w:hanging="486"/>
        <w:spacing w:after="0"/>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136" w:lineRule="exact"/>
        <w:rPr>
          <w:sz w:val="20"/>
          <w:szCs w:val="20"/>
          <w:color w:val="auto"/>
        </w:rPr>
      </w:pPr>
    </w:p>
    <w:p>
      <w:pPr>
        <w:ind w:right="400" w:firstLine="496"/>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79" w:name="page80"/>
    <w:bookmarkEnd w:id="79"/>
    <w:p>
      <w:pPr>
        <w:ind w:left="980" w:hanging="486"/>
        <w:spacing w:after="0"/>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Exceptions from Reporting Requirements.</w:t>
      </w:r>
    </w:p>
    <w:p>
      <w:pPr>
        <w:spacing w:after="0" w:line="136" w:lineRule="exact"/>
        <w:rPr>
          <w:sz w:val="20"/>
          <w:szCs w:val="20"/>
          <w:color w:val="auto"/>
        </w:rPr>
      </w:pPr>
    </w:p>
    <w:p>
      <w:pPr>
        <w:jc w:val="both"/>
        <w:ind w:right="20" w:firstLine="496"/>
        <w:spacing w:after="0" w:line="283" w:lineRule="auto"/>
        <w:rPr>
          <w:sz w:val="20"/>
          <w:szCs w:val="20"/>
          <w:color w:val="auto"/>
        </w:rPr>
      </w:pPr>
      <w:r>
        <w:rPr>
          <w:rFonts w:ascii="Arial" w:cs="Arial" w:eastAsia="Arial" w:hAnsi="Arial"/>
          <w:sz w:val="12"/>
          <w:szCs w:val="12"/>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78" w:lineRule="exact"/>
        <w:rPr>
          <w:sz w:val="20"/>
          <w:szCs w:val="20"/>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Blind Trusts and other Third Party Managed Accounts.</w:t>
      </w:r>
    </w:p>
    <w:p>
      <w:pPr>
        <w:spacing w:after="0" w:line="136" w:lineRule="exact"/>
        <w:rPr>
          <w:sz w:val="20"/>
          <w:szCs w:val="20"/>
          <w:color w:val="auto"/>
        </w:rPr>
      </w:pPr>
    </w:p>
    <w:p>
      <w:pPr>
        <w:ind w:right="80" w:firstLine="496"/>
        <w:spacing w:after="0" w:line="247" w:lineRule="auto"/>
        <w:rPr>
          <w:sz w:val="20"/>
          <w:szCs w:val="20"/>
          <w:color w:val="auto"/>
        </w:rPr>
      </w:pPr>
      <w:r>
        <w:rPr>
          <w:rFonts w:ascii="Arial" w:cs="Arial" w:eastAsia="Arial" w:hAnsi="Arial"/>
          <w:sz w:val="13"/>
          <w:szCs w:val="13"/>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111" w:lineRule="exact"/>
        <w:rPr>
          <w:sz w:val="20"/>
          <w:szCs w:val="20"/>
          <w:color w:val="auto"/>
        </w:rPr>
      </w:pPr>
    </w:p>
    <w:p>
      <w:pPr>
        <w:ind w:right="40" w:firstLine="496"/>
        <w:spacing w:after="0" w:line="245" w:lineRule="auto"/>
        <w:rPr>
          <w:sz w:val="20"/>
          <w:szCs w:val="20"/>
          <w:color w:val="auto"/>
        </w:rPr>
      </w:pPr>
      <w:r>
        <w:rPr>
          <w:rFonts w:ascii="Arial" w:cs="Arial" w:eastAsia="Arial" w:hAnsi="Arial"/>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16" w:lineRule="exact"/>
        <w:rPr>
          <w:sz w:val="20"/>
          <w:szCs w:val="20"/>
          <w:color w:val="auto"/>
        </w:rPr>
      </w:pPr>
    </w:p>
    <w:p>
      <w:pPr>
        <w:ind w:right="560" w:firstLine="496"/>
        <w:spacing w:after="0" w:line="335" w:lineRule="auto"/>
        <w:rPr>
          <w:sz w:val="20"/>
          <w:szCs w:val="20"/>
          <w:color w:val="auto"/>
        </w:rPr>
      </w:pPr>
      <w:r>
        <w:rPr>
          <w:rFonts w:ascii="Arial" w:cs="Arial" w:eastAsia="Arial" w:hAnsi="Arial"/>
          <w:sz w:val="12"/>
          <w:szCs w:val="12"/>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47" w:lineRule="exact"/>
        <w:rPr>
          <w:sz w:val="20"/>
          <w:szCs w:val="20"/>
          <w:color w:val="auto"/>
        </w:rPr>
      </w:pPr>
    </w:p>
    <w:p>
      <w:pPr>
        <w:ind w:left="980" w:hanging="486"/>
        <w:spacing w:after="0"/>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terms of the account or trust documentation, including the advisory agreement;</w:t>
      </w:r>
    </w:p>
    <w:p>
      <w:pPr>
        <w:spacing w:after="0" w:line="136" w:lineRule="exact"/>
        <w:rPr>
          <w:rFonts w:ascii="Arial" w:cs="Arial" w:eastAsia="Arial" w:hAnsi="Arial"/>
          <w:sz w:val="14"/>
          <w:szCs w:val="14"/>
          <w:color w:val="auto"/>
        </w:rPr>
      </w:pPr>
    </w:p>
    <w:p>
      <w:pPr>
        <w:ind w:left="980" w:right="120" w:hanging="486"/>
        <w:spacing w:after="0" w:line="253" w:lineRule="auto"/>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106" w:lineRule="exact"/>
        <w:rPr>
          <w:rFonts w:ascii="Arial" w:cs="Arial" w:eastAsia="Arial" w:hAnsi="Arial"/>
          <w:sz w:val="14"/>
          <w:szCs w:val="14"/>
          <w:color w:val="auto"/>
        </w:rPr>
      </w:pPr>
    </w:p>
    <w:p>
      <w:pPr>
        <w:ind w:left="980" w:right="300" w:hanging="486"/>
        <w:spacing w:after="0" w:line="253" w:lineRule="auto"/>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Any other information that the CCO believes necessary or appropriate to determine whether the account meets the standards set forth herein.</w:t>
      </w:r>
    </w:p>
    <w:p>
      <w:pPr>
        <w:spacing w:after="0" w:line="136" w:lineRule="exact"/>
        <w:rPr>
          <w:sz w:val="20"/>
          <w:szCs w:val="20"/>
          <w:color w:val="auto"/>
        </w:rPr>
      </w:pPr>
    </w:p>
    <w:p>
      <w:pPr>
        <w:ind w:right="40" w:firstLine="496"/>
        <w:spacing w:after="0" w:line="251" w:lineRule="auto"/>
        <w:rPr>
          <w:sz w:val="20"/>
          <w:szCs w:val="20"/>
          <w:color w:val="auto"/>
        </w:rPr>
      </w:pPr>
      <w:r>
        <w:rPr>
          <w:rFonts w:ascii="Arial" w:cs="Arial" w:eastAsia="Arial" w:hAnsi="Arial"/>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40" w:lineRule="exact"/>
        <w:rPr>
          <w:sz w:val="20"/>
          <w:szCs w:val="20"/>
          <w:color w:val="auto"/>
        </w:rPr>
      </w:pPr>
    </w:p>
    <w:p>
      <w:pPr>
        <w:ind w:left="980" w:hanging="486"/>
        <w:spacing w:after="0"/>
        <w:tabs>
          <w:tab w:leader="none" w:pos="9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36" w:lineRule="exact"/>
        <w:rPr>
          <w:sz w:val="20"/>
          <w:szCs w:val="20"/>
          <w:color w:val="auto"/>
        </w:rPr>
      </w:pPr>
    </w:p>
    <w:p>
      <w:pPr>
        <w:jc w:val="both"/>
        <w:ind w:right="100" w:firstLine="496"/>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02" w:lineRule="exact"/>
        <w:rPr>
          <w:sz w:val="20"/>
          <w:szCs w:val="20"/>
          <w:color w:val="auto"/>
        </w:rPr>
      </w:pPr>
    </w:p>
    <w:p>
      <w:pPr>
        <w:ind w:left="980" w:hanging="486"/>
        <w:spacing w:after="0"/>
        <w:tabs>
          <w:tab w:leader="none" w:pos="9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36" w:lineRule="exact"/>
        <w:rPr>
          <w:sz w:val="20"/>
          <w:szCs w:val="20"/>
          <w:color w:val="auto"/>
        </w:rPr>
      </w:pPr>
    </w:p>
    <w:p>
      <w:pPr>
        <w:ind w:firstLine="496"/>
        <w:spacing w:after="0" w:line="335" w:lineRule="auto"/>
        <w:rPr>
          <w:sz w:val="20"/>
          <w:szCs w:val="20"/>
          <w:color w:val="auto"/>
        </w:rPr>
      </w:pPr>
      <w:r>
        <w:rPr>
          <w:rFonts w:ascii="Arial" w:cs="Arial" w:eastAsia="Arial" w:hAnsi="Arial"/>
          <w:sz w:val="12"/>
          <w:szCs w:val="1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60" w:lineRule="exact"/>
        <w:rPr>
          <w:sz w:val="20"/>
          <w:szCs w:val="20"/>
          <w:color w:val="auto"/>
        </w:rPr>
      </w:pPr>
    </w:p>
    <w:p>
      <w:pPr>
        <w:ind w:left="980" w:hanging="486"/>
        <w:spacing w:after="0"/>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36" w:lineRule="exact"/>
        <w:rPr>
          <w:sz w:val="20"/>
          <w:szCs w:val="20"/>
          <w:color w:val="auto"/>
        </w:rPr>
      </w:pPr>
    </w:p>
    <w:p>
      <w:pPr>
        <w:ind w:right="120" w:firstLine="496"/>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27" w:lineRule="exact"/>
        <w:rPr>
          <w:sz w:val="20"/>
          <w:szCs w:val="20"/>
          <w:color w:val="auto"/>
        </w:rPr>
      </w:pPr>
    </w:p>
    <w:p>
      <w:pPr>
        <w:ind w:right="160" w:firstLine="496"/>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9" w:lineRule="exact"/>
        <w:rPr>
          <w:sz w:val="20"/>
          <w:szCs w:val="20"/>
          <w:color w:val="auto"/>
        </w:rPr>
      </w:pPr>
    </w:p>
    <w:p>
      <w:pPr>
        <w:jc w:val="both"/>
        <w:ind w:left="980" w:right="560" w:hanging="486"/>
        <w:spacing w:after="0" w:line="290" w:lineRule="auto"/>
        <w:tabs>
          <w:tab w:leader="none" w:pos="9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4" w:lineRule="exact"/>
        <w:rPr>
          <w:rFonts w:ascii="Arial" w:cs="Arial" w:eastAsia="Arial" w:hAnsi="Arial"/>
          <w:sz w:val="13"/>
          <w:szCs w:val="13"/>
          <w:color w:val="auto"/>
        </w:rPr>
      </w:pPr>
    </w:p>
    <w:p>
      <w:pPr>
        <w:ind w:left="980" w:right="100" w:hanging="486"/>
        <w:spacing w:after="0" w:line="247" w:lineRule="auto"/>
        <w:tabs>
          <w:tab w:leader="none" w:pos="9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111" w:lineRule="exact"/>
        <w:rPr>
          <w:rFonts w:ascii="Arial" w:cs="Arial" w:eastAsia="Arial" w:hAnsi="Arial"/>
          <w:sz w:val="13"/>
          <w:szCs w:val="13"/>
          <w:color w:val="auto"/>
        </w:rPr>
      </w:pPr>
    </w:p>
    <w:p>
      <w:pPr>
        <w:ind w:left="980" w:right="80" w:hanging="486"/>
        <w:spacing w:after="0" w:line="238" w:lineRule="auto"/>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115" w:lineRule="exact"/>
        <w:rPr>
          <w:rFonts w:ascii="Arial" w:cs="Arial" w:eastAsia="Arial" w:hAnsi="Arial"/>
          <w:sz w:val="14"/>
          <w:szCs w:val="14"/>
          <w:color w:val="auto"/>
        </w:rPr>
      </w:pPr>
    </w:p>
    <w:p>
      <w:pPr>
        <w:ind w:left="980" w:hanging="486"/>
        <w:spacing w:after="0" w:line="238" w:lineRule="auto"/>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15" w:lineRule="exact"/>
        <w:rPr>
          <w:rFonts w:ascii="Arial" w:cs="Arial" w:eastAsia="Arial" w:hAnsi="Arial"/>
          <w:sz w:val="14"/>
          <w:szCs w:val="14"/>
          <w:color w:val="auto"/>
        </w:rPr>
      </w:pPr>
    </w:p>
    <w:p>
      <w:pPr>
        <w:ind w:left="1480" w:hanging="487"/>
        <w:spacing w:after="0"/>
        <w:tabs>
          <w:tab w:leader="none" w:pos="14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136" w:lineRule="exact"/>
        <w:rPr>
          <w:sz w:val="20"/>
          <w:szCs w:val="20"/>
          <w:color w:val="auto"/>
        </w:rPr>
      </w:pPr>
    </w:p>
    <w:p>
      <w:pPr>
        <w:ind w:right="260" w:firstLine="496"/>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15" w:lineRule="exact"/>
        <w:rPr>
          <w:sz w:val="20"/>
          <w:szCs w:val="20"/>
          <w:color w:val="auto"/>
        </w:rPr>
      </w:pPr>
    </w:p>
    <w:p>
      <w:pPr>
        <w:jc w:val="both"/>
        <w:ind w:left="980" w:right="40" w:hanging="486"/>
        <w:spacing w:after="0" w:line="244" w:lineRule="auto"/>
        <w:tabs>
          <w:tab w:leader="none" w:pos="9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w:t>
      </w:r>
    </w:p>
    <w:p>
      <w:pPr>
        <w:spacing w:after="0" w:line="1" w:lineRule="exact"/>
        <w:rPr>
          <w:rFonts w:ascii="Arial" w:cs="Arial" w:eastAsia="Arial" w:hAnsi="Arial"/>
          <w:sz w:val="13"/>
          <w:szCs w:val="13"/>
          <w:color w:val="auto"/>
        </w:rPr>
      </w:pPr>
    </w:p>
    <w:p>
      <w:pPr>
        <w:ind w:left="980"/>
        <w:spacing w:after="0" w:line="229" w:lineRule="auto"/>
        <w:rPr>
          <w:rFonts w:ascii="Arial" w:cs="Arial" w:eastAsia="Arial" w:hAnsi="Arial"/>
          <w:sz w:val="13"/>
          <w:szCs w:val="13"/>
          <w:color w:val="auto"/>
        </w:rPr>
      </w:pPr>
      <w:r>
        <w:rPr>
          <w:rFonts w:ascii="Arial" w:cs="Arial" w:eastAsia="Arial" w:hAnsi="Arial"/>
          <w:sz w:val="14"/>
          <w:szCs w:val="14"/>
          <w:color w:val="auto"/>
        </w:rPr>
        <w:t>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16" w:lineRule="exact"/>
        <w:rPr>
          <w:rFonts w:ascii="Arial" w:cs="Arial" w:eastAsia="Arial" w:hAnsi="Arial"/>
          <w:sz w:val="13"/>
          <w:szCs w:val="13"/>
          <w:color w:val="auto"/>
        </w:rPr>
      </w:pPr>
    </w:p>
    <w:p>
      <w:pPr>
        <w:ind w:left="980" w:hanging="486"/>
        <w:spacing w:after="0" w:line="229" w:lineRule="auto"/>
        <w:tabs>
          <w:tab w:leader="none" w:pos="9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27" w:lineRule="exact"/>
        <w:rPr>
          <w:sz w:val="20"/>
          <w:szCs w:val="20"/>
          <w:color w:val="auto"/>
        </w:rPr>
      </w:pPr>
    </w:p>
    <w:p>
      <w:pPr>
        <w:ind w:left="980" w:hanging="486"/>
        <w:spacing w:after="0"/>
        <w:tabs>
          <w:tab w:leader="none" w:pos="9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36" w:lineRule="exact"/>
        <w:rPr>
          <w:sz w:val="20"/>
          <w:szCs w:val="20"/>
          <w:color w:val="auto"/>
        </w:rPr>
      </w:pPr>
    </w:p>
    <w:p>
      <w:pPr>
        <w:ind w:firstLine="496"/>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84" w:lineRule="exact"/>
        <w:rPr>
          <w:sz w:val="20"/>
          <w:szCs w:val="20"/>
          <w:color w:val="auto"/>
        </w:rPr>
      </w:pPr>
    </w:p>
    <w:p>
      <w:pPr>
        <w:ind w:left="980" w:hanging="486"/>
        <w:spacing w:after="0"/>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36" w:lineRule="exact"/>
        <w:rPr>
          <w:sz w:val="20"/>
          <w:szCs w:val="20"/>
          <w:color w:val="auto"/>
        </w:rPr>
      </w:pPr>
    </w:p>
    <w:p>
      <w:pPr>
        <w:jc w:val="both"/>
        <w:ind w:right="240" w:firstLine="496"/>
        <w:spacing w:after="0" w:line="296" w:lineRule="auto"/>
        <w:rPr>
          <w:sz w:val="20"/>
          <w:szCs w:val="20"/>
          <w:color w:val="auto"/>
        </w:rPr>
      </w:pPr>
      <w:r>
        <w:rPr>
          <w:rFonts w:ascii="Arial" w:cs="Arial" w:eastAsia="Arial" w:hAnsi="Arial"/>
          <w:sz w:val="12"/>
          <w:szCs w:val="12"/>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Section X Sanctions</w:t>
      </w:r>
    </w:p>
    <w:p>
      <w:pPr>
        <w:spacing w:after="0" w:line="127" w:lineRule="exact"/>
        <w:rPr>
          <w:sz w:val="20"/>
          <w:szCs w:val="20"/>
          <w:color w:val="auto"/>
        </w:rPr>
      </w:pPr>
    </w:p>
    <w:p>
      <w:pPr>
        <w:ind w:firstLine="496"/>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40" w:lineRule="exact"/>
        <w:rPr>
          <w:sz w:val="20"/>
          <w:szCs w:val="20"/>
          <w:color w:val="auto"/>
        </w:rPr>
      </w:pPr>
    </w:p>
    <w:p>
      <w:pPr>
        <w:ind w:left="980" w:hanging="486"/>
        <w:spacing w:after="0"/>
        <w:tabs>
          <w:tab w:leader="none" w:pos="9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36" w:lineRule="exact"/>
        <w:rPr>
          <w:sz w:val="20"/>
          <w:szCs w:val="20"/>
          <w:color w:val="auto"/>
        </w:rPr>
      </w:pPr>
    </w:p>
    <w:p>
      <w:pPr>
        <w:ind w:left="980" w:right="80" w:hanging="486"/>
        <w:spacing w:after="0" w:line="238"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15"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06" w:lineRule="exact"/>
        <w:rPr>
          <w:rFonts w:ascii="Arial" w:cs="Arial" w:eastAsia="Arial" w:hAnsi="Arial"/>
          <w:sz w:val="14"/>
          <w:szCs w:val="14"/>
          <w:color w:val="auto"/>
        </w:rPr>
      </w:pPr>
    </w:p>
    <w:p>
      <w:pPr>
        <w:ind w:left="980" w:right="160" w:hanging="486"/>
        <w:spacing w:after="0" w:line="253"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Issuance either personally or with the assistance of counsel as may be appropriate, of any interpretation of this Code that may appear consistent with the objectives of Rule 17j-1 and this Code;</w:t>
      </w:r>
    </w:p>
    <w:p>
      <w:pPr>
        <w:spacing w:after="0" w:line="106" w:lineRule="exact"/>
        <w:rPr>
          <w:rFonts w:ascii="Arial" w:cs="Arial" w:eastAsia="Arial" w:hAnsi="Arial"/>
          <w:sz w:val="14"/>
          <w:szCs w:val="14"/>
          <w:color w:val="auto"/>
        </w:rPr>
      </w:pPr>
    </w:p>
    <w:p>
      <w:pPr>
        <w:ind w:left="980" w:right="60" w:hanging="486"/>
        <w:spacing w:after="0" w:line="253"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06" w:lineRule="exact"/>
        <w:rPr>
          <w:sz w:val="20"/>
          <w:szCs w:val="20"/>
          <w:color w:val="auto"/>
        </w:rPr>
      </w:pPr>
    </w:p>
    <w:p>
      <w:pPr>
        <w:ind w:left="980" w:right="320" w:hanging="486"/>
        <w:spacing w:after="0" w:line="253" w:lineRule="auto"/>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106" w:lineRule="exact"/>
        <w:rPr>
          <w:sz w:val="20"/>
          <w:szCs w:val="20"/>
          <w:color w:val="auto"/>
        </w:rPr>
      </w:pPr>
    </w:p>
    <w:p>
      <w:pPr>
        <w:ind w:left="980" w:right="80" w:hanging="486"/>
        <w:spacing w:after="0" w:line="253"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0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106" w:lineRule="exact"/>
        <w:rPr>
          <w:rFonts w:ascii="Arial" w:cs="Arial" w:eastAsia="Arial" w:hAnsi="Arial"/>
          <w:sz w:val="14"/>
          <w:szCs w:val="14"/>
          <w:color w:val="auto"/>
        </w:rPr>
      </w:pPr>
    </w:p>
    <w:p>
      <w:pPr>
        <w:ind w:left="980" w:hanging="486"/>
        <w:spacing w:after="0" w:line="253"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360" w:hanging="486"/>
        <w:spacing w:after="0" w:line="253"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06" w:lineRule="exact"/>
        <w:rPr>
          <w:rFonts w:ascii="Arial" w:cs="Arial" w:eastAsia="Arial" w:hAnsi="Arial"/>
          <w:sz w:val="14"/>
          <w:szCs w:val="14"/>
          <w:color w:val="auto"/>
        </w:rPr>
      </w:pPr>
    </w:p>
    <w:p>
      <w:pPr>
        <w:ind w:left="980" w:right="120" w:hanging="486"/>
        <w:spacing w:after="0" w:line="253"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06" w:lineRule="exact"/>
        <w:rPr>
          <w:sz w:val="20"/>
          <w:szCs w:val="20"/>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36" w:lineRule="exact"/>
        <w:rPr>
          <w:sz w:val="20"/>
          <w:szCs w:val="20"/>
          <w:color w:val="auto"/>
        </w:rPr>
      </w:pPr>
    </w:p>
    <w:p>
      <w:pPr>
        <w:ind w:right="700" w:firstLine="496"/>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9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ind w:left="1120"/>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4"/>
                <w:szCs w:val="24"/>
                <w:color w:val="auto"/>
              </w:rPr>
            </w:pPr>
          </w:p>
        </w:tc>
        <w:tc>
          <w:tcPr>
            <w:tcW w:w="7240" w:type="dxa"/>
            <w:vAlign w:val="bottom"/>
            <w:gridSpan w:val="4"/>
          </w:tcPr>
          <w:p>
            <w:pPr>
              <w:ind w:left="720"/>
              <w:spacing w:after="0"/>
              <w:rPr>
                <w:sz w:val="20"/>
                <w:szCs w:val="20"/>
                <w:color w:val="auto"/>
              </w:rPr>
            </w:pPr>
            <w:r>
              <w:rPr>
                <w:rFonts w:ascii="Arial" w:cs="Arial" w:eastAsia="Arial" w:hAnsi="Arial"/>
                <w:sz w:val="14"/>
                <w:szCs w:val="14"/>
                <w:b w:val="1"/>
                <w:bCs w:val="1"/>
                <w:color w:val="auto"/>
              </w:rPr>
              <w:t>Subsidiaries of the Registrant</w:t>
            </w:r>
          </w:p>
        </w:tc>
        <w:tc>
          <w:tcPr>
            <w:tcW w:w="0" w:type="dxa"/>
            <w:vAlign w:val="bottom"/>
          </w:tcPr>
          <w:p>
            <w:pPr>
              <w:spacing w:after="0"/>
              <w:rPr>
                <w:sz w:val="1"/>
                <w:szCs w:val="1"/>
                <w:color w:val="auto"/>
              </w:rPr>
            </w:pPr>
          </w:p>
        </w:tc>
      </w:tr>
      <w:tr>
        <w:trPr>
          <w:trHeight w:val="25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5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Voting Securities</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auto"/>
            </w:tcBorders>
            <w:vMerge w:val="continue"/>
          </w:tcPr>
          <w:p>
            <w:pPr>
              <w:spacing w:after="0"/>
              <w:rPr>
                <w:sz w:val="14"/>
                <w:szCs w:val="14"/>
                <w:color w:val="auto"/>
              </w:rPr>
            </w:pPr>
          </w:p>
        </w:tc>
        <w:tc>
          <w:tcPr>
            <w:tcW w:w="510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 Percentage</w:t>
            </w:r>
          </w:p>
        </w:tc>
        <w:tc>
          <w:tcPr>
            <w:tcW w:w="3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PennantPark Floating Rate Funding I, LLC (Delaware)</w:t>
            </w:r>
          </w:p>
        </w:tc>
        <w:tc>
          <w:tcPr>
            <w:tcW w:w="5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20" w:type="dxa"/>
            <w:vAlign w:val="bottom"/>
            <w:gridSpan w:val="2"/>
            <w:shd w:val="clear" w:color="auto" w:fill="CCECFF"/>
          </w:tcPr>
          <w:p>
            <w:pPr>
              <w:ind w:left="148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PFLT Funding II, LLC (Delaware)</w:t>
            </w:r>
          </w:p>
        </w:tc>
        <w:tc>
          <w:tcPr>
            <w:tcW w:w="7240" w:type="dxa"/>
            <w:vAlign w:val="bottom"/>
            <w:gridSpan w:val="4"/>
          </w:tcPr>
          <w:p>
            <w:pPr>
              <w:ind w:left="67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PFLT Investment Holdings, LLC (Delaware)</w:t>
            </w:r>
          </w:p>
        </w:tc>
        <w:tc>
          <w:tcPr>
            <w:tcW w:w="7240" w:type="dxa"/>
            <w:vAlign w:val="bottom"/>
            <w:gridSpan w:val="4"/>
            <w:shd w:val="clear" w:color="auto" w:fill="CCECFF"/>
          </w:tcPr>
          <w:p>
            <w:pPr>
              <w:ind w:left="67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GMC Television Broadcasting Holdings, Inc. (Delaware)</w:t>
            </w:r>
          </w:p>
        </w:tc>
        <w:tc>
          <w:tcPr>
            <w:tcW w:w="7240" w:type="dxa"/>
            <w:vAlign w:val="bottom"/>
            <w:gridSpan w:val="4"/>
          </w:tcPr>
          <w:p>
            <w:pPr>
              <w:ind w:left="6700"/>
              <w:spacing w:after="0" w:line="149" w:lineRule="exact"/>
              <w:rPr>
                <w:sz w:val="20"/>
                <w:szCs w:val="20"/>
                <w:color w:val="auto"/>
              </w:rPr>
            </w:pPr>
            <w:r>
              <w:rPr>
                <w:rFonts w:ascii="Arial" w:cs="Arial" w:eastAsia="Arial" w:hAnsi="Arial"/>
                <w:sz w:val="14"/>
                <w:szCs w:val="14"/>
                <w:color w:val="auto"/>
                <w:w w:val="95"/>
              </w:rPr>
              <w:t xml:space="preserve">100% </w:t>
            </w: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8"/>
        </w:trPr>
        <w:tc>
          <w:tcPr>
            <w:tcW w:w="400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GMC Television Broadcasting, LLC (Delaware)</w:t>
            </w:r>
          </w:p>
        </w:tc>
        <w:tc>
          <w:tcPr>
            <w:tcW w:w="7240" w:type="dxa"/>
            <w:vAlign w:val="bottom"/>
            <w:gridSpan w:val="4"/>
            <w:shd w:val="clear" w:color="auto" w:fill="CCECFF"/>
          </w:tcPr>
          <w:p>
            <w:pPr>
              <w:ind w:left="6700"/>
              <w:spacing w:after="0" w:line="149" w:lineRule="exact"/>
              <w:rPr>
                <w:sz w:val="20"/>
                <w:szCs w:val="20"/>
                <w:color w:val="auto"/>
              </w:rPr>
            </w:pPr>
            <w:r>
              <w:rPr>
                <w:rFonts w:ascii="Arial" w:cs="Arial" w:eastAsia="Arial" w:hAnsi="Arial"/>
                <w:sz w:val="14"/>
                <w:szCs w:val="14"/>
                <w:color w:val="auto"/>
                <w:w w:val="95"/>
              </w:rPr>
              <w:t xml:space="preserve">100% </w:t>
            </w: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Solutions Capital G.P., LLC (Delaware)</w:t>
            </w:r>
          </w:p>
        </w:tc>
        <w:tc>
          <w:tcPr>
            <w:tcW w:w="7240" w:type="dxa"/>
            <w:vAlign w:val="bottom"/>
            <w:gridSpan w:val="4"/>
          </w:tcPr>
          <w:p>
            <w:pPr>
              <w:ind w:left="67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Solutions Capital I, L.P. (Delaware)</w:t>
            </w:r>
          </w:p>
        </w:tc>
        <w:tc>
          <w:tcPr>
            <w:tcW w:w="7240" w:type="dxa"/>
            <w:vAlign w:val="bottom"/>
            <w:gridSpan w:val="4"/>
            <w:shd w:val="clear" w:color="auto" w:fill="CCECFF"/>
          </w:tcPr>
          <w:p>
            <w:pPr>
              <w:ind w:left="67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144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10"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12"/>
          <w:szCs w:val="12"/>
          <w:color w:val="auto"/>
        </w:rPr>
      </w:pPr>
      <w:r>
        <w:rPr>
          <w:rFonts w:ascii="Arial" w:cs="Arial" w:eastAsia="Arial" w:hAnsi="Arial"/>
          <w:sz w:val="14"/>
          <w:szCs w:val="14"/>
          <w:color w:val="auto"/>
        </w:rPr>
        <w:t>The entity is directly owned by PFLT Funding II, LLC, which is wholly-owned by us.</w:t>
      </w:r>
    </w:p>
    <w:p>
      <w:pPr>
        <w:sectPr>
          <w:pgSz w:w="11900" w:h="16838" w:orient="portrait"/>
          <w:cols w:equalWidth="0" w:num="1">
            <w:col w:w="11240"/>
          </w:cols>
          <w:pgMar w:left="320" w:top="11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36" w:lineRule="exact"/>
        <w:rPr>
          <w:sz w:val="20"/>
          <w:szCs w:val="20"/>
          <w:color w:val="auto"/>
        </w:rPr>
      </w:pPr>
    </w:p>
    <w:p>
      <w:pPr>
        <w:ind w:left="400" w:hanging="144"/>
        <w:spacing w:after="0"/>
        <w:tabs>
          <w:tab w:leader="none" w:pos="4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9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9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9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9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9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9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30,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36" w:lineRule="exact"/>
        <w:rPr>
          <w:sz w:val="20"/>
          <w:szCs w:val="20"/>
          <w:color w:val="auto"/>
        </w:rPr>
      </w:pPr>
    </w:p>
    <w:p>
      <w:pPr>
        <w:ind w:left="400" w:hanging="144"/>
        <w:spacing w:after="0"/>
        <w:tabs>
          <w:tab w:leader="none" w:pos="4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9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9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9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9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9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9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30,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2017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(the “Report”), I, Arthur H. Penn, as Chief Executive Officer of the Registrant hereby certify, to the best of my knowledge that:</w:t>
      </w:r>
    </w:p>
    <w:p>
      <w:pPr>
        <w:spacing w:after="0" w:line="136" w:lineRule="exact"/>
        <w:rPr>
          <w:sz w:val="20"/>
          <w:szCs w:val="20"/>
          <w:color w:val="auto"/>
        </w:rPr>
      </w:pPr>
    </w:p>
    <w:p>
      <w:pPr>
        <w:ind w:left="460" w:hanging="204"/>
        <w:spacing w:after="0"/>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3920" w:type="dxa"/>
            <w:vAlign w:val="bottom"/>
          </w:tcPr>
          <w:p>
            <w:pPr>
              <w:ind w:left="180"/>
              <w:spacing w:after="0"/>
              <w:rPr>
                <w:sz w:val="20"/>
                <w:szCs w:val="20"/>
                <w:color w:val="auto"/>
              </w:rPr>
            </w:pPr>
            <w:r>
              <w:rPr>
                <w:rFonts w:ascii="Arial" w:cs="Arial" w:eastAsia="Arial" w:hAnsi="Arial"/>
                <w:sz w:val="14"/>
                <w:szCs w:val="14"/>
                <w:color w:val="auto"/>
              </w:rPr>
              <w:t>November 30, 2017</w:t>
            </w:r>
          </w:p>
        </w:tc>
      </w:tr>
    </w:tbl>
    <w:p>
      <w:pPr>
        <w:sectPr>
          <w:pgSz w:w="11900" w:h="16838" w:orient="portrait"/>
          <w:cols w:equalWidth="0" w:num="1">
            <w:col w:w="11240"/>
          </w:cols>
          <w:pgMar w:left="320" w:top="26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2017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(the “Report”), I, Aviv Efrat, as Chief Financial Officer of the Registrant hereby certify, to the best of my knowledge that:</w:t>
      </w:r>
    </w:p>
    <w:p>
      <w:pPr>
        <w:spacing w:after="0" w:line="124" w:lineRule="exact"/>
        <w:rPr>
          <w:sz w:val="20"/>
          <w:szCs w:val="20"/>
          <w:color w:val="auto"/>
        </w:rPr>
      </w:pPr>
    </w:p>
    <w:p>
      <w:pPr>
        <w:ind w:left="460" w:hanging="204"/>
        <w:spacing w:after="0"/>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3920" w:type="dxa"/>
            <w:vAlign w:val="bottom"/>
          </w:tcPr>
          <w:p>
            <w:pPr>
              <w:ind w:left="180"/>
              <w:spacing w:after="0"/>
              <w:rPr>
                <w:sz w:val="20"/>
                <w:szCs w:val="20"/>
                <w:color w:val="auto"/>
              </w:rPr>
            </w:pPr>
            <w:r>
              <w:rPr>
                <w:rFonts w:ascii="Arial" w:cs="Arial" w:eastAsia="Arial" w:hAnsi="Arial"/>
                <w:sz w:val="14"/>
                <w:szCs w:val="14"/>
                <w:color w:val="auto"/>
              </w:rPr>
              <w:t>November 30, 2017</w:t>
            </w:r>
          </w:p>
        </w:tc>
      </w:tr>
    </w:tbl>
    <w:p>
      <w:pPr>
        <w:spacing w:after="0" w:line="1" w:lineRule="exact"/>
        <w:rPr>
          <w:sz w:val="20"/>
          <w:szCs w:val="20"/>
          <w:color w:val="auto"/>
        </w:rPr>
      </w:pPr>
    </w:p>
    <w:sectPr>
      <w:pgSz w:w="11900" w:h="16838" w:orient="portrait"/>
      <w:cols w:equalWidth="0" w:num="1">
        <w:col w:w="11240"/>
      </w:cols>
      <w:pgMar w:left="320" w:top="2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1)"/>
      <w:numFmt w:val="lowerLetter"/>
      <w:start w:val="2"/>
    </w:lvl>
  </w:abstractNum>
  <w:abstractNum w:abstractNumId="5">
    <w:nsid w:val="79A1DEAA"/>
    <w:multiLevelType w:val="hybridMultilevel"/>
    <w:lvl w:ilvl="0">
      <w:lvlJc w:val="left"/>
      <w:lvlText w:val="•"/>
      <w:numFmt w:val="bullet"/>
      <w:start w:val="1"/>
    </w:lvl>
    <w:lvl w:ilvl="1">
      <w:lvlJc w:val="left"/>
      <w:lvlText w:val="%2)"/>
      <w:numFmt w:val="lowerLetter"/>
      <w:start w:val="3"/>
    </w:lvl>
  </w:abstractNum>
  <w:abstractNum w:abstractNumId="6">
    <w:nsid w:val="75C6C33A"/>
    <w:multiLevelType w:val="hybridMultilevel"/>
    <w:lvl w:ilvl="0">
      <w:lvlJc w:val="left"/>
      <w:lvlText w:val="%1)"/>
      <w:numFmt w:val="lowerLetter"/>
      <w:start w:val="4"/>
    </w:lvl>
  </w:abstractNum>
  <w:abstractNum w:abstractNumId="7">
    <w:nsid w:val="12E685FB"/>
    <w:multiLevelType w:val="hybridMultilevel"/>
    <w:lvl w:ilvl="0">
      <w:lvlJc w:val="left"/>
      <w:lvlText w:val="%1)"/>
      <w:numFmt w:val="lowerLetter"/>
      <w:start w:val="1"/>
    </w:lvl>
  </w:abstractNum>
  <w:abstractNum w:abstractNumId="8">
    <w:nsid w:val="70C6A529"/>
    <w:multiLevelType w:val="hybridMultilevel"/>
    <w:lvl w:ilvl="0">
      <w:lvlJc w:val="left"/>
      <w:lvlText w:val="%1)"/>
      <w:numFmt w:val="lowerLetter"/>
      <w:start w:val="2"/>
    </w:lvl>
  </w:abstractNum>
  <w:abstractNum w:abstractNumId="9">
    <w:nsid w:val="520EEDD1"/>
    <w:multiLevelType w:val="hybridMultilevel"/>
    <w:lvl w:ilvl="0">
      <w:lvlJc w:val="left"/>
      <w:lvlText w:val="%1)"/>
      <w:numFmt w:val="lowerLetter"/>
      <w:start w:val="3"/>
    </w:lvl>
  </w:abstractNum>
  <w:abstractNum w:abstractNumId="10">
    <w:nsid w:val="374A3FE6"/>
    <w:multiLevelType w:val="hybridMultilevel"/>
    <w:lvl w:ilvl="0">
      <w:lvlJc w:val="left"/>
      <w:lvlText w:val="%1)"/>
      <w:numFmt w:val="lowerLetter"/>
      <w:start w:val="4"/>
    </w:lvl>
  </w:abstractNum>
  <w:abstractNum w:abstractNumId="11">
    <w:nsid w:val="4F4EF005"/>
    <w:multiLevelType w:val="hybridMultilevel"/>
    <w:lvl w:ilvl="0">
      <w:lvlJc w:val="left"/>
      <w:lvlText w:val="%1)"/>
      <w:numFmt w:val="lowerLetter"/>
      <w:start w:val="5"/>
    </w:lvl>
  </w:abstractNum>
  <w:abstractNum w:abstractNumId="12">
    <w:nsid w:val="23F9C13C"/>
    <w:multiLevelType w:val="hybridMultilevel"/>
    <w:lvl w:ilvl="0">
      <w:lvlJc w:val="left"/>
      <w:lvlText w:val="%1)"/>
      <w:numFmt w:val="lowerLetter"/>
      <w:start w:val="6"/>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1)"/>
      <w:numFmt w:val="decimal"/>
      <w:start w:val="4"/>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lvl w:ilvl="1">
      <w:lvlJc w:val="left"/>
      <w:lvlText w:val="="/>
      <w:numFmt w:val="bullet"/>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lvl w:ilvl="1">
      <w:lvlJc w:val="left"/>
      <w:lvlText w:val="%2)"/>
      <w:numFmt w:val="decimal"/>
      <w:start w:val="1"/>
    </w:lvl>
  </w:abstractNum>
  <w:abstractNum w:abstractNumId="25">
    <w:nsid w:val="3F6AB60F"/>
    <w:multiLevelType w:val="hybridMultilevel"/>
    <w:lvl w:ilvl="0">
      <w:lvlJc w:val="left"/>
      <w:lvlText w:val="(%1)"/>
      <w:numFmt w:val="decimal"/>
      <w:start w:val="2"/>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decimal"/>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decimal"/>
      <w:start w:val="1"/>
    </w:lvl>
  </w:abstractNum>
  <w:abstractNum w:abstractNumId="33">
    <w:nsid w:val="25A70BF7"/>
    <w:multiLevelType w:val="hybridMultilevel"/>
    <w:lvl w:ilvl="0">
      <w:lvlJc w:val="left"/>
      <w:lvlText w:val="%1."/>
      <w:numFmt w:val="decimal"/>
      <w:start w:val="2"/>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1)"/>
      <w:numFmt w:val="decimal"/>
      <w:start w:val="5"/>
    </w:lvl>
  </w:abstractNum>
  <w:abstractNum w:abstractNumId="52">
    <w:nsid w:val="7BD3EE7B"/>
    <w:multiLevelType w:val="hybridMultilevel"/>
    <w:lvl w:ilvl="0">
      <w:lvlJc w:val="left"/>
      <w:lvlText w:val="(%1)"/>
      <w:numFmt w:val="lowerLetter"/>
      <w:start w:val="5"/>
    </w:lvl>
    <w:lvl w:ilvl="1">
      <w:lvlJc w:val="left"/>
      <w:lvlText w:val="%2."/>
      <w:numFmt w:val="decimal"/>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1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1)"/>
      <w:numFmt w:val="upperLetter"/>
      <w:start w:val="1"/>
    </w:lvl>
  </w:abstractNum>
  <w:abstractNum w:abstractNumId="63">
    <w:nsid w:val="4962813B"/>
    <w:multiLevelType w:val="hybridMultilevel"/>
    <w:lvl w:ilvl="0">
      <w:lvlJc w:val="left"/>
      <w:lvlText w:val="(%1)"/>
      <w:numFmt w:val="upperLetter"/>
      <w:start w:val="10"/>
    </w:lvl>
    <w:lvl w:ilvl="1">
      <w:lvlJc w:val="left"/>
      <w:lvlText w:val="(%2)"/>
      <w:numFmt w:val="upperLetter"/>
      <w:start w:val="2"/>
    </w:lvl>
  </w:abstractNum>
  <w:abstractNum w:abstractNumId="64">
    <w:nsid w:val="60B6DF70"/>
    <w:multiLevelType w:val="hybridMultilevel"/>
    <w:lvl w:ilvl="0">
      <w:lvlJc w:val="left"/>
      <w:lvlText w:val="(%1)"/>
      <w:numFmt w:val="lowerRoman"/>
      <w:start w:val="1"/>
    </w:lvl>
  </w:abstractNum>
  <w:abstractNum w:abstractNumId="65">
    <w:nsid w:val="6A5EE64"/>
    <w:multiLevelType w:val="hybridMultilevel"/>
    <w:lvl w:ilvl="0">
      <w:lvlJc w:val="left"/>
      <w:lvlText w:val="(%1)"/>
      <w:numFmt w:val="upperLetter"/>
      <w:start w:val="1"/>
    </w:lvl>
  </w:abstractNum>
  <w:abstractNum w:abstractNumId="66">
    <w:nsid w:val="14330624"/>
    <w:multiLevelType w:val="hybridMultilevel"/>
    <w:lvl w:ilvl="0">
      <w:lvlJc w:val="left"/>
      <w:lvlText w:val="(%1)"/>
      <w:numFmt w:val="upperLetter"/>
      <w:start w:val="1"/>
    </w:lvl>
  </w:abstractNum>
  <w:abstractNum w:abstractNumId="67">
    <w:nsid w:val="7FFFCA11"/>
    <w:multiLevelType w:val="hybridMultilevel"/>
    <w:lvl w:ilvl="0">
      <w:lvlJc w:val="left"/>
      <w:lvlText w:val="(%1)"/>
      <w:numFmt w:val="upperLetter"/>
      <w:start w:val="2"/>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upperLetter"/>
      <w:start w:val="3"/>
    </w:lvl>
  </w:abstractNum>
  <w:abstractNum w:abstractNumId="70">
    <w:nsid w:val="100F59DC"/>
    <w:multiLevelType w:val="hybridMultilevel"/>
    <w:lvl w:ilvl="0">
      <w:lvlJc w:val="left"/>
      <w:lvlText w:val="(%1)"/>
      <w:numFmt w:val="upperLetter"/>
      <w:start w:val="4"/>
    </w:lvl>
  </w:abstractNum>
  <w:abstractNum w:abstractNumId="71">
    <w:nsid w:val="7FB7E0AA"/>
    <w:multiLevelType w:val="hybridMultilevel"/>
    <w:lvl w:ilvl="0">
      <w:lvlJc w:val="left"/>
      <w:lvlText w:val="(%1)"/>
      <w:numFmt w:val="upperLetter"/>
      <w:start w:val="5"/>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upperLetter"/>
      <w:start w:val="6"/>
    </w:lvl>
  </w:abstractNum>
  <w:abstractNum w:abstractNumId="74">
    <w:nsid w:val="94211F2"/>
    <w:multiLevelType w:val="hybridMultilevel"/>
    <w:lvl w:ilvl="0">
      <w:lvlJc w:val="left"/>
      <w:lvlText w:val="(%1)"/>
      <w:numFmt w:val="upperLetter"/>
      <w:start w:val="7"/>
    </w:lvl>
  </w:abstractNum>
  <w:abstractNum w:abstractNumId="75">
    <w:nsid w:val="885E1B"/>
    <w:multiLevelType w:val="hybridMultilevel"/>
    <w:lvl w:ilvl="0">
      <w:lvlJc w:val="left"/>
      <w:lvlText w:val="(%1)"/>
      <w:numFmt w:val="upperLetter"/>
      <w:start w:val="8"/>
    </w:lvl>
  </w:abstractNum>
  <w:abstractNum w:abstractNumId="76">
    <w:nsid w:val="76272110"/>
    <w:multiLevelType w:val="hybridMultilevel"/>
    <w:lvl w:ilvl="0">
      <w:lvlJc w:val="left"/>
      <w:lvlText w:val="(%1)"/>
      <w:numFmt w:val="upperLetter"/>
      <w:start w:val="9"/>
    </w:lvl>
  </w:abstractNum>
  <w:abstractNum w:abstractNumId="77">
    <w:nsid w:val="4C04A8AF"/>
    <w:multiLevelType w:val="hybridMultilevel"/>
    <w:lvl w:ilvl="0">
      <w:lvlJc w:val="left"/>
      <w:lvlText w:val="(%1)"/>
      <w:numFmt w:val="upperLetter"/>
      <w:start w:val="10"/>
    </w:lvl>
  </w:abstractNum>
  <w:abstractNum w:abstractNumId="78">
    <w:nsid w:val="1716703B"/>
    <w:multiLevelType w:val="hybridMultilevel"/>
    <w:lvl w:ilvl="0">
      <w:lvlJc w:val="left"/>
      <w:lvlText w:val="(%1)"/>
      <w:numFmt w:val="upperLetter"/>
      <w:start w:val="1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upperLetter"/>
      <w:start w:val="1"/>
    </w:lvl>
  </w:abstractNum>
  <w:abstractNum w:abstractNumId="81">
    <w:nsid w:val="74DE0EE3"/>
    <w:multiLevelType w:val="hybridMultilevel"/>
    <w:lvl w:ilvl="0">
      <w:lvlJc w:val="left"/>
      <w:lvlText w:val="(%1)"/>
      <w:numFmt w:val="upperLetter"/>
      <w:start w:val="2"/>
    </w:lvl>
  </w:abstractNum>
  <w:abstractNum w:abstractNumId="82">
    <w:nsid w:val="68EBC550"/>
    <w:multiLevelType w:val="hybridMultilevel"/>
    <w:lvl w:ilvl="0">
      <w:lvlJc w:val="left"/>
      <w:lvlText w:val="(%1)"/>
      <w:numFmt w:val="upperLetter"/>
      <w:start w:val="3"/>
    </w:lvl>
  </w:abstractNum>
  <w:abstractNum w:abstractNumId="83">
    <w:nsid w:val="2DF6D648"/>
    <w:multiLevelType w:val="hybridMultilevel"/>
    <w:lvl w:ilvl="0">
      <w:lvlJc w:val="left"/>
      <w:lvlText w:val="(%1)"/>
      <w:numFmt w:val="upperLetter"/>
      <w:start w:val="1"/>
    </w:lvl>
    <w:lvl w:ilvl="1">
      <w:lvlJc w:val="left"/>
      <w:lvlText w:val="(%2)"/>
      <w:numFmt w:val="decimal"/>
      <w:start w:val="1"/>
    </w:lvl>
  </w:abstractNum>
  <w:abstractNum w:abstractNumId="84">
    <w:nsid w:val="46B7D447"/>
    <w:multiLevelType w:val="hybridMultilevel"/>
    <w:lvl w:ilvl="0">
      <w:lvlJc w:val="left"/>
      <w:lvlText w:val="(%1)"/>
      <w:numFmt w:val="upperLetter"/>
      <w:start w:val="5"/>
    </w:lvl>
  </w:abstractNum>
  <w:abstractNum w:abstractNumId="85">
    <w:nsid w:val="4A2AC315"/>
    <w:multiLevelType w:val="hybridMultilevel"/>
    <w:lvl w:ilvl="0">
      <w:lvlJc w:val="left"/>
      <w:lvlText w:val="(%1)"/>
      <w:numFmt w:val="upperLetter"/>
      <w:start w:val="1"/>
    </w:lvl>
  </w:abstractNum>
  <w:abstractNum w:abstractNumId="86">
    <w:nsid w:val="39EE015C"/>
    <w:multiLevelType w:val="hybridMultilevel"/>
    <w:lvl w:ilvl="0">
      <w:lvlJc w:val="left"/>
      <w:lvlText w:val="(%1)"/>
      <w:numFmt w:val="upperLetter"/>
      <w:start w:val="2"/>
    </w:lvl>
  </w:abstractNum>
  <w:abstractNum w:abstractNumId="87">
    <w:nsid w:val="57FC4FBB"/>
    <w:multiLevelType w:val="hybridMultilevel"/>
    <w:lvl w:ilvl="0">
      <w:lvlJc w:val="left"/>
      <w:lvlText w:val="(%1)"/>
      <w:numFmt w:val="upperLetter"/>
      <w:start w:val="1"/>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1)"/>
      <w:numFmt w:val="upperLetter"/>
      <w:start w:val="3"/>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1)"/>
      <w:numFmt w:val="upperLetter"/>
      <w:start w:val="4"/>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17" Type="http://schemas.openxmlformats.org/officeDocument/2006/relationships/hyperlink" Target="http://www.sec.gov/Archives/edgar/data/1504619/000119312511080862/dn2a.htm" TargetMode="External"/><Relationship Id="rId118" Type="http://schemas.openxmlformats.org/officeDocument/2006/relationships/hyperlink" Target="http://www.sec.gov/Archives/edgar/data/1504619/000119312515393212/d59576dex31.htm" TargetMode="External"/><Relationship Id="rId119" Type="http://schemas.openxmlformats.org/officeDocument/2006/relationships/hyperlink" Target="http://www.sec.gov/Archives/edgar/data/1504619/000119312511088977/dn2a.htm" TargetMode="External"/><Relationship Id="rId120" Type="http://schemas.openxmlformats.org/officeDocument/2006/relationships/hyperlink" Target="http://www.sec.gov/Archives/edgar/data/1504619/000119312515280967/d64764dex101.htm" TargetMode="External"/><Relationship Id="rId121" Type="http://schemas.openxmlformats.org/officeDocument/2006/relationships/hyperlink" Target="http://www.sec.gov/Archives/edgar/data/1504619/000119312515375637/d37034dex101.htm" TargetMode="External"/><Relationship Id="rId122" Type="http://schemas.openxmlformats.org/officeDocument/2006/relationships/hyperlink" Target="http://www.sec.gov/Archives/edgar/data/1504619/000150461911000006/exhibit102purchaseandcontr.htm" TargetMode="External"/><Relationship Id="rId123" Type="http://schemas.openxmlformats.org/officeDocument/2006/relationships/hyperlink" Target="http://www.sec.gov/Archives/edgar/data/1504619/000119312511080862/dex99e.htm" TargetMode="External"/><Relationship Id="rId124" Type="http://schemas.openxmlformats.org/officeDocument/2006/relationships/hyperlink" Target="http://www.sec.gov/Archives/edgar/data/1504619/000119312516450643/d38254dex101.htm" TargetMode="External"/><Relationship Id="rId125" Type="http://schemas.openxmlformats.org/officeDocument/2006/relationships/hyperlink" Target="http://www.sec.gov/Archives/edgar/data/1504619/000156459017016504/pflt-ex101_78.htm" TargetMode="External"/><Relationship Id="rId126" Type="http://schemas.openxmlformats.org/officeDocument/2006/relationships/hyperlink" Target="http://www.sec.gov/Archives/edgar/data/1504619/000119312516775064/d290892dex106.htm" TargetMode="External"/><Relationship Id="rId127"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2020-05-05T12:07:24Z</dcterms:created>
  <dcterms:modified xsi:type="dcterms:W3CDTF">2020-05-05T12:07:24Z</dcterms:modified>
</cp:coreProperties>
</file>