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3,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August 3,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40" w:hanging="592"/>
        <w:spacing w:after="0" w:line="250" w:lineRule="auto"/>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00" w:type="dxa"/>
            <w:vAlign w:val="bottom"/>
          </w:tcPr>
          <w:p>
            <w:pPr>
              <w:spacing w:after="0"/>
              <w:rPr>
                <w:sz w:val="20"/>
                <w:szCs w:val="20"/>
                <w:color w:val="auto"/>
              </w:rPr>
            </w:pPr>
            <w:r>
              <w:rPr>
                <w:rFonts w:ascii="Arial" w:cs="Arial" w:eastAsia="Arial" w:hAnsi="Arial"/>
                <w:sz w:val="18"/>
                <w:szCs w:val="18"/>
                <w:color w:val="auto"/>
              </w:rPr>
              <w:t>Date: August 3, 2021</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Richard Cheung</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Aug. 03, 2021 (GLOBE NEWSWIRE) -- PennantPark Floating Rate Capital Ltd. (the "Company") (NASDAQ: PFLT) (TASE: PFLT) declares its monthly distribution for August 2021 of $0.095 per share, payable on September 1, 2021 to stockholders of record as of August 18,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2)"/>
      <w:numFmt w:val="lowerLetter"/>
      <w:start w:val="1"/>
    </w:lvl>
  </w:abstractNum>
  <w:abstractNum w:abstractNumId="2">
    <w:nsid w:val="2AE8944A"/>
    <w:multiLevelType w:val="hybridMultilevel"/>
    <w:lvl w:ilvl="0">
      <w:lvlJc w:val="left"/>
      <w:lvlText w:val="(%1)"/>
      <w:numFmt w:val="lowerLetter"/>
      <w:start w:val="2"/>
    </w:lvl>
    <w:lvl w:ilvl="1">
      <w:lvlJc w:val="left"/>
      <w:lvlText w:val="%2"/>
      <w:numFmt w:val="lowerLetter"/>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2021-08-03T15:33:11Z</dcterms:created>
  <dcterms:modified xsi:type="dcterms:W3CDTF">2021-08-03T15:33:11Z</dcterms:modified>
</cp:coreProperties>
</file>