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t>SCHEDULE 14A</w:t>
      </w:r>
    </w:p>
    <w:p>
      <w:pPr>
        <w:spacing w:after="0" w:line="6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(RULE 14a-101)</w:t>
      </w:r>
    </w:p>
    <w:p>
      <w:pPr>
        <w:spacing w:after="0" w:line="14"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6"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Schedule 14A Information</w:t>
      </w:r>
    </w:p>
    <w:p>
      <w:pPr>
        <w:spacing w:after="0" w:line="25" w:lineRule="exact"/>
        <w:rPr>
          <w:sz w:val="24"/>
          <w:szCs w:val="24"/>
          <w:color w:val="auto"/>
        </w:rPr>
      </w:pPr>
    </w:p>
    <w:p>
      <w:pPr>
        <w:jc w:val="center"/>
        <w:ind w:right="-299"/>
        <w:spacing w:after="0"/>
        <w:rPr>
          <w:sz w:val="20"/>
          <w:szCs w:val="20"/>
          <w:color w:val="auto"/>
        </w:rPr>
      </w:pPr>
      <w:r>
        <w:rPr>
          <w:rFonts w:ascii="Arial" w:cs="Arial" w:eastAsia="Arial" w:hAnsi="Arial"/>
          <w:sz w:val="22"/>
          <w:szCs w:val="22"/>
          <w:b w:val="1"/>
          <w:bCs w:val="1"/>
          <w:color w:val="auto"/>
        </w:rPr>
        <w:t>Proxy Statement Pursuant to Section 14(a) of the</w:t>
      </w:r>
    </w:p>
    <w:p>
      <w:pPr>
        <w:jc w:val="center"/>
        <w:ind w:right="-299"/>
        <w:spacing w:after="0"/>
        <w:rPr>
          <w:sz w:val="20"/>
          <w:szCs w:val="20"/>
          <w:color w:val="auto"/>
        </w:rPr>
      </w:pPr>
      <w:r>
        <w:rPr>
          <w:rFonts w:ascii="Arial" w:cs="Arial" w:eastAsia="Arial" w:hAnsi="Arial"/>
          <w:sz w:val="22"/>
          <w:szCs w:val="22"/>
          <w:b w:val="1"/>
          <w:bCs w:val="1"/>
          <w:color w:val="auto"/>
        </w:rPr>
        <w:t>Securities Exchange Act of 1934</w:t>
      </w:r>
    </w:p>
    <w:p>
      <w:pPr>
        <w:spacing w:after="0" w:line="4"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9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47"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82"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88"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PennantPark Investment Corporation</w:t>
      </w:r>
    </w:p>
    <w:p>
      <w:pPr>
        <w:spacing w:after="0" w:line="55"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PennantPark Floating Rate Capital Ltd.</w:t>
      </w:r>
    </w:p>
    <w:p>
      <w:pPr>
        <w:spacing w:after="0" w:line="88" w:lineRule="exact"/>
        <w:rPr>
          <w:sz w:val="24"/>
          <w:szCs w:val="24"/>
          <w:color w:val="auto"/>
        </w:rPr>
      </w:pPr>
    </w:p>
    <w:p>
      <w:pPr>
        <w:jc w:val="center"/>
        <w:ind w:right="-2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3" w:lineRule="exact"/>
        <w:rPr>
          <w:sz w:val="24"/>
          <w:szCs w:val="24"/>
          <w:color w:val="auto"/>
        </w:rPr>
      </w:pPr>
    </w:p>
    <w:p>
      <w:pPr>
        <w:ind w:left="36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1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No fee required.</w:t>
      </w:r>
    </w:p>
    <w:p>
      <w:pPr>
        <w:spacing w:after="0" w:line="121"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11" w:lineRule="exact"/>
        <w:rPr>
          <w:rFonts w:ascii="Arial" w:cs="Arial" w:eastAsia="Arial" w:hAnsi="Arial"/>
          <w:sz w:val="18"/>
          <w:szCs w:val="18"/>
          <w:color w:val="auto"/>
        </w:rPr>
      </w:pPr>
    </w:p>
    <w:p>
      <w:pPr>
        <w:ind w:left="1200" w:right="80" w:hanging="598"/>
        <w:spacing w:after="0" w:line="277" w:lineRule="auto"/>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56"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65" w:lineRule="exact"/>
        <w:rPr>
          <w:rFonts w:ascii="Arial" w:cs="Arial" w:eastAsia="Arial" w:hAnsi="Arial"/>
          <w:sz w:val="18"/>
          <w:szCs w:val="18"/>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00" w:hanging="592"/>
        <w:spacing w:after="0" w:line="298" w:lineRule="auto"/>
        <w:tabs>
          <w:tab w:leader="none" w:pos="60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11" w:lineRule="exact"/>
        <w:rPr>
          <w:rFonts w:ascii="Arial" w:cs="Arial" w:eastAsia="Arial" w:hAnsi="Arial"/>
          <w:sz w:val="18"/>
          <w:szCs w:val="18"/>
          <w:color w:val="auto"/>
        </w:rPr>
      </w:pPr>
    </w:p>
    <w:p>
      <w:pPr>
        <w:ind w:left="1200" w:hanging="598"/>
        <w:spacing w:after="0"/>
        <w:tabs>
          <w:tab w:leader="none" w:pos="12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760095</wp:posOffset>
            </wp:positionH>
            <wp:positionV relativeFrom="paragraph">
              <wp:posOffset>-2720340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-2454275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-2051050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-1785620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-1519555</wp:posOffset>
            </wp:positionV>
            <wp:extent cx="649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-704850</wp:posOffset>
            </wp:positionV>
            <wp:extent cx="649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-438785</wp:posOffset>
            </wp:positionV>
            <wp:extent cx="649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-173355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92075</wp:posOffset>
            </wp:positionV>
            <wp:extent cx="6491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585470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220" w:right="539" w:bottom="1440" w:gutter="0" w:footer="0" w:header="0"/>
        </w:sectPr>
      </w:pPr>
    </w:p>
    <w:bookmarkStart w:id="1" w:name="page2"/>
    <w:bookmarkEnd w:id="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1235075" cy="2571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57175"/>
                    </a:xfrm>
                    <a:prstGeom prst="rect">
                      <a:avLst/>
                    </a:prstGeom>
                    <a:noFill/>
                  </pic:spPr>
                </pic:pic>
              </a:graphicData>
            </a:graphic>
          </wp:anchor>
        </w:drawing>
        <w:drawing>
          <wp:anchor simplePos="0" relativeHeight="251657728" behindDoc="1" locked="0" layoutInCell="0" allowOverlap="1">
            <wp:simplePos x="0" y="0"/>
            <wp:positionH relativeFrom="page">
              <wp:posOffset>4977130</wp:posOffset>
            </wp:positionH>
            <wp:positionV relativeFrom="page">
              <wp:posOffset>106045</wp:posOffset>
            </wp:positionV>
            <wp:extent cx="1235075" cy="248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235075" cy="248920"/>
                    </a:xfrm>
                    <a:prstGeom prst="rect">
                      <a:avLst/>
                    </a:prstGeom>
                    <a:noFill/>
                  </pic:spPr>
                </pic:pic>
              </a:graphicData>
            </a:graphic>
          </wp:anchor>
        </w:drawing>
        <w:t>December 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117" w:lineRule="exact"/>
        <w:rPr>
          <w:sz w:val="20"/>
          <w:szCs w:val="20"/>
          <w:color w:val="auto"/>
        </w:rPr>
      </w:pPr>
    </w:p>
    <w:p>
      <w:pPr>
        <w:ind w:right="120" w:firstLine="598"/>
        <w:spacing w:after="0" w:line="264" w:lineRule="auto"/>
        <w:rPr>
          <w:sz w:val="20"/>
          <w:szCs w:val="20"/>
          <w:color w:val="auto"/>
        </w:rPr>
      </w:pPr>
      <w:r>
        <w:rPr>
          <w:rFonts w:ascii="Arial" w:cs="Arial" w:eastAsia="Arial" w:hAnsi="Arial"/>
          <w:sz w:val="18"/>
          <w:szCs w:val="18"/>
          <w:color w:val="auto"/>
        </w:rPr>
        <w:t>You are cordially invited to attend the 2018 Joint Annual Meeting of Stockholders of PennantPark Investment Corporation (“PNNT”) and PennantPark Floating Rate Capital Ltd. (“PFLT” and PNNT each, a “Company” and together, the “Companies”) to be held on February 6, 2018 at 9:30 a.m., Eastern Time, at the offices of Dechert LLP, located at 1095 Avenue of the Americas, New York, New York.</w:t>
      </w:r>
    </w:p>
    <w:p>
      <w:pPr>
        <w:spacing w:after="0" w:line="181" w:lineRule="exact"/>
        <w:rPr>
          <w:sz w:val="20"/>
          <w:szCs w:val="20"/>
          <w:color w:val="auto"/>
        </w:rPr>
      </w:pPr>
    </w:p>
    <w:p>
      <w:pPr>
        <w:ind w:right="180" w:firstLine="598"/>
        <w:spacing w:after="0" w:line="257" w:lineRule="auto"/>
        <w:rPr>
          <w:sz w:val="20"/>
          <w:szCs w:val="20"/>
          <w:color w:val="auto"/>
        </w:rPr>
      </w:pPr>
      <w:r>
        <w:rPr>
          <w:rFonts w:ascii="Arial" w:cs="Arial" w:eastAsia="Arial" w:hAnsi="Arial"/>
          <w:sz w:val="18"/>
          <w:szCs w:val="18"/>
          <w:color w:val="auto"/>
        </w:rPr>
        <w:t>The Notice of Joint Annual Meeting of Stockholders and the Joint Proxy Statement of the Companies, which is accessible on the Internet or by request, provides an outline of the business to be conducted at the Joint Annual Meeting of Stockholders. At the meeting, you will be asked to: (1) elect two directors for PNNT and/or two directors for PFLT and (2) ratify the selection of RSM US LLP to serve as your Company’s independent registered public accounting firm for the fiscal year ending September 30, 2018. I will also report on the progress of the Companies during the past year and respond to stockholders’ questions.</w:t>
      </w:r>
    </w:p>
    <w:p>
      <w:pPr>
        <w:spacing w:after="0" w:line="188" w:lineRule="exact"/>
        <w:rPr>
          <w:sz w:val="20"/>
          <w:szCs w:val="20"/>
          <w:color w:val="auto"/>
        </w:rPr>
      </w:pPr>
    </w:p>
    <w:p>
      <w:pPr>
        <w:ind w:right="40" w:firstLine="598"/>
        <w:spacing w:after="0" w:line="257" w:lineRule="auto"/>
        <w:rPr>
          <w:sz w:val="20"/>
          <w:szCs w:val="20"/>
          <w:color w:val="auto"/>
        </w:rPr>
      </w:pPr>
      <w:r>
        <w:rPr>
          <w:rFonts w:ascii="Arial" w:cs="Arial" w:eastAsia="Arial" w:hAnsi="Arial"/>
          <w:sz w:val="18"/>
          <w:szCs w:val="18"/>
          <w:color w:val="auto"/>
        </w:rPr>
        <w:t>It is important that your shares be represented at the Joint Annual Meeting of Stockholders. If you are unable to attend the meeting in person, I urge you to follow the instructions on the Notice of Internet Availability of Proxy Materials to vote your proxy on the Internet. We encourage you to vote via the Internet, as it saves us significant time and processing costs. However, on the Notice of Internet Availability of Proxy Materials you also will find instructions on how to request a hard copy of the Joint Proxy Statement and proxy card(s) for your Company free of charge and you may vote your proxy by returning your proxy card(s) to us after you request the hard copy materials.</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Your vote and participation in the governance of your Company is very important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003300" cy="1974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Arthur H. Penn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5"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JOINT ANNUAL MEETING OF STOCKHOLDERS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6, 2018</w:t>
      </w:r>
    </w:p>
    <w:p>
      <w:pPr>
        <w:spacing w:after="0" w:line="211" w:lineRule="exact"/>
        <w:rPr>
          <w:sz w:val="20"/>
          <w:szCs w:val="20"/>
          <w:color w:val="auto"/>
        </w:rPr>
      </w:pPr>
    </w:p>
    <w:p>
      <w:pPr>
        <w:ind w:left="10100"/>
        <w:spacing w:after="0"/>
        <w:rPr>
          <w:sz w:val="20"/>
          <w:szCs w:val="20"/>
          <w:color w:val="auto"/>
        </w:rPr>
      </w:pPr>
      <w:r>
        <w:rPr>
          <w:rFonts w:ascii="Arial" w:cs="Arial" w:eastAsia="Arial" w:hAnsi="Arial"/>
          <w:sz w:val="16"/>
          <w:szCs w:val="16"/>
          <w:color w:val="auto"/>
        </w:rPr>
        <w:t>December 8, 2017</w:t>
      </w:r>
    </w:p>
    <w:p>
      <w:pPr>
        <w:spacing w:after="0" w:line="24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Notice is hereby given to the owners of shares of common stock (the “Stockholders”) of PennantPark Investment Corporation (“PNNT”)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(“PFLT” and PNNT each, a “Company” and together, the “Companies”) that:</w:t>
      </w:r>
    </w:p>
    <w:p>
      <w:pPr>
        <w:spacing w:after="0" w:line="21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2018 Joint Annual Meeting of Stockholders of the Companies (the “Annual Meeting”) will be held at the offices of Dechert LLP, located at 1095</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Avenue of the Americas, New York, New York, on February 6, 2018 at 9:30 a.m., Eastern Time, for the following purposes, as to each Company:</w:t>
      </w:r>
    </w:p>
    <w:p>
      <w:pPr>
        <w:spacing w:after="0" w:line="114" w:lineRule="exact"/>
        <w:rPr>
          <w:sz w:val="20"/>
          <w:szCs w:val="20"/>
          <w:color w:val="auto"/>
        </w:rPr>
      </w:pPr>
    </w:p>
    <w:p>
      <w:pPr>
        <w:ind w:left="1200" w:right="12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to the Board of the Company, who will each serve until the 2021 annual meeting of stockholders and until a successor is duly elected and qualifies; and</w:t>
      </w:r>
    </w:p>
    <w:p>
      <w:pPr>
        <w:spacing w:after="0" w:line="62"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2018.</w:t>
      </w:r>
    </w:p>
    <w:p>
      <w:pPr>
        <w:spacing w:after="0" w:line="170" w:lineRule="exact"/>
        <w:rPr>
          <w:sz w:val="20"/>
          <w:szCs w:val="20"/>
          <w:color w:val="auto"/>
        </w:rPr>
      </w:pPr>
    </w:p>
    <w:p>
      <w:pPr>
        <w:ind w:firstLine="598"/>
        <w:spacing w:after="0" w:line="297" w:lineRule="auto"/>
        <w:rPr>
          <w:sz w:val="20"/>
          <w:szCs w:val="20"/>
          <w:color w:val="auto"/>
        </w:rPr>
      </w:pPr>
      <w:r>
        <w:rPr>
          <w:rFonts w:ascii="Arial" w:cs="Arial" w:eastAsia="Arial" w:hAnsi="Arial"/>
          <w:sz w:val="16"/>
          <w:szCs w:val="16"/>
          <w:color w:val="auto"/>
        </w:rPr>
        <w:t>You have the right to receive notice of, and to vote at, the Annual Meeting if you were a stockholder of record of PNNT and/or a stockholder of record of PFLT at the close of business on November 17, 2017. The Companies are furnishing a Joint Proxy Statement and proxy card(s) to their Stockholders on the Internet, rather than mailing printed copies of those materials to each Stockholder. If you received a Notice of Internet Availability of Proxy Materials by mail, you will not receive a printed copy of the Joint Proxy Statement and proxy card(s) unless you request them. Instead, the Notice of Internet Availability of Proxy Materials will instruct you as to how you may access and review the Joint Proxy Statement, and vote your proxy, on the Internet.</w:t>
      </w:r>
    </w:p>
    <w:p>
      <w:pPr>
        <w:spacing w:after="0" w:line="158" w:lineRule="exact"/>
        <w:rPr>
          <w:sz w:val="20"/>
          <w:szCs w:val="20"/>
          <w:color w:val="auto"/>
        </w:rPr>
      </w:pPr>
    </w:p>
    <w:p>
      <w:pPr>
        <w:ind w:right="60" w:firstLine="598"/>
        <w:spacing w:after="0" w:line="276" w:lineRule="auto"/>
        <w:rPr>
          <w:sz w:val="20"/>
          <w:szCs w:val="20"/>
          <w:color w:val="auto"/>
        </w:rPr>
      </w:pPr>
      <w:r>
        <w:rPr>
          <w:rFonts w:ascii="Arial" w:cs="Arial" w:eastAsia="Arial" w:hAnsi="Arial"/>
          <w:sz w:val="17"/>
          <w:szCs w:val="17"/>
          <w:color w:val="auto"/>
        </w:rPr>
        <w:t>Your vote is extremely important to us. If you are unable to attend the Annual Meeting, we encourage you to vote your proxy on the Internet by following the instructions provided on the Notice of Internet Availability of Proxy Materials. You may also request from us free of charge hard copies of the Joint Proxy Statement and proxy card(s) for your Company by following the instructions on the Notice of Internet Availability of Proxy Materials. As to each Company, in the event there are not sufficient votes for a quorum or to approve that Company’s proposals at the time of the Annual Meeting, the Annual Meeting may be adjourned in order to permit further solicitation of proxies by that Company.</w:t>
      </w:r>
    </w:p>
    <w:p>
      <w:pPr>
        <w:spacing w:after="0" w:line="169"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EACH COMPANY’S BOARD OF DIRECTORS, INCLUDING THE INDEPENDENT DIRECTORS, UNANIMOUSLY RECOMMENDS THAT YOU VOTE “FOR” EACH OF THE PROPOSALS.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88670" cy="240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Investment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15" w:lineRule="auto"/>
        <w:rPr>
          <w:sz w:val="20"/>
          <w:szCs w:val="20"/>
          <w:color w:val="auto"/>
        </w:rPr>
      </w:pPr>
      <w:r>
        <w:rPr>
          <w:rFonts w:ascii="Arial" w:cs="Arial" w:eastAsia="Arial" w:hAnsi="Arial"/>
          <w:sz w:val="18"/>
          <w:szCs w:val="18"/>
          <w:color w:val="auto"/>
        </w:rPr>
        <w:t>590 Madison Avenue, 15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212-905-1000</w:t>
      </w:r>
    </w:p>
    <w:p>
      <w:pPr>
        <w:spacing w:after="0" w:line="247" w:lineRule="exact"/>
        <w:rPr>
          <w:sz w:val="20"/>
          <w:szCs w:val="20"/>
          <w:color w:val="auto"/>
        </w:rPr>
      </w:pPr>
    </w:p>
    <w:p>
      <w:pPr>
        <w:jc w:val="both"/>
        <w:ind w:left="120" w:right="160"/>
        <w:spacing w:after="0" w:line="314" w:lineRule="auto"/>
        <w:rPr>
          <w:sz w:val="20"/>
          <w:szCs w:val="20"/>
          <w:color w:val="auto"/>
        </w:rPr>
      </w:pPr>
      <w:r>
        <w:rPr>
          <w:rFonts w:ascii="Arial" w:cs="Arial" w:eastAsia="Arial" w:hAnsi="Arial"/>
          <w:sz w:val="16"/>
          <w:szCs w:val="16"/>
          <w:b w:val="1"/>
          <w:bCs w:val="1"/>
          <w:color w:val="auto"/>
        </w:rPr>
        <w:t>This is an important meeting. To ensure proper representation at the meeting, please follow the instructions on the Notice of Internet Availability of Proxy Materials to vote your proxy via the Internet or request, complete, sign, date and return a proxy card. Even if you vote your shares prior to the meeting, you still may attend the meeting and vote your shares in person should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254875"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42862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320675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PENNANTPARK INVESTMENT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590 Madison Avenue, 15th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905-1000</w:t>
      </w:r>
    </w:p>
    <w:p>
      <w:pPr>
        <w:spacing w:after="0" w:line="9" w:lineRule="exact"/>
        <w:rPr>
          <w:rFonts w:ascii="Arial" w:cs="Arial" w:eastAsia="Arial" w:hAnsi="Arial"/>
          <w:sz w:val="18"/>
          <w:szCs w:val="18"/>
          <w:b w:val="1"/>
          <w:bCs w:val="1"/>
          <w:color w:val="auto"/>
        </w:rPr>
      </w:pPr>
    </w:p>
    <w:p>
      <w:pPr>
        <w:ind w:left="4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JOINT PROXY STATEMENT</w:t>
      </w:r>
    </w:p>
    <w:p>
      <w:pPr>
        <w:spacing w:after="0" w:line="9" w:lineRule="exact"/>
        <w:rPr>
          <w:rFonts w:ascii="Arial" w:cs="Arial" w:eastAsia="Arial" w:hAnsi="Arial"/>
          <w:sz w:val="18"/>
          <w:szCs w:val="18"/>
          <w:b w:val="1"/>
          <w:bCs w:val="1"/>
          <w:color w:val="auto"/>
        </w:rPr>
      </w:pPr>
    </w:p>
    <w:p>
      <w:pPr>
        <w:ind w:left="56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Joint Annual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February 6, 2018</w:t>
      </w:r>
    </w:p>
    <w:p>
      <w:pPr>
        <w:spacing w:after="0" w:line="211" w:lineRule="exact"/>
        <w:rPr>
          <w:sz w:val="20"/>
          <w:szCs w:val="20"/>
          <w:color w:val="auto"/>
        </w:rPr>
      </w:pPr>
    </w:p>
    <w:p>
      <w:pPr>
        <w:ind w:right="140" w:firstLine="598"/>
        <w:spacing w:after="0" w:line="259" w:lineRule="auto"/>
        <w:rPr>
          <w:sz w:val="20"/>
          <w:szCs w:val="20"/>
          <w:color w:val="auto"/>
        </w:rPr>
      </w:pPr>
      <w:r>
        <w:rPr>
          <w:rFonts w:ascii="Arial" w:cs="Arial" w:eastAsia="Arial" w:hAnsi="Arial"/>
          <w:sz w:val="18"/>
          <w:szCs w:val="18"/>
          <w:color w:val="auto"/>
        </w:rPr>
        <w:t>This document will give you the information you need to vote on the matters listed on the accompanying Notice of Joint Annual Meeting of Stockholders (“Notice of Annual Meeting”). Much of the information in this Joint Proxy Statement is required under the rules and regulations of the Securities and Exchange Commission (the “SEC”), and some of it is technical in nature. If there is anything you do not understand, please contact us at 212-905-1000.</w:t>
      </w:r>
    </w:p>
    <w:p>
      <w:pPr>
        <w:spacing w:after="0" w:line="187" w:lineRule="exact"/>
        <w:rPr>
          <w:sz w:val="20"/>
          <w:szCs w:val="20"/>
          <w:color w:val="auto"/>
        </w:rPr>
      </w:pPr>
    </w:p>
    <w:p>
      <w:pPr>
        <w:ind w:firstLine="598"/>
        <w:spacing w:after="0" w:line="254" w:lineRule="auto"/>
        <w:rPr>
          <w:sz w:val="20"/>
          <w:szCs w:val="20"/>
          <w:color w:val="auto"/>
        </w:rPr>
      </w:pPr>
      <w:r>
        <w:rPr>
          <w:rFonts w:ascii="Arial" w:cs="Arial" w:eastAsia="Arial" w:hAnsi="Arial"/>
          <w:sz w:val="18"/>
          <w:szCs w:val="18"/>
          <w:color w:val="auto"/>
        </w:rPr>
        <w:t>This Joint Proxy Statement is furnished in connection with the solicitation of proxies by the Boards of Directors (each, a “Board” and together, the “Boards”) of PennantPark Investment Corporation (“PNNT”) and PennantPark Floating Rate Capital Ltd. (“PFLT” and PNNT each, a “Company” and together, the “Companies,” “we,” “us” or “our”) for use at the Companies’ 2018 Joint Annual Meeting of Stockholders (the “Meeting”) to be held on Tuesday, February 6, 2018 at 9:30 a.m., Eastern Time, at the offices of Dechert LLP, located at 1095 Avenue of the Americas, New York, New York, and at any postponements or adjournments thereof. This Joint Proxy Statement and each Company’s Annual Report for the fiscal year ended September 30, 2017 are being provided to the stockholders thereof (the “Stockholders”) via the Internet on or about December 11, 2017. In addition, a Notice of Annual Meeting and a Notice of Internet Availability of Proxy Materials are being sent to Stockholders of record of PNNT and Stockholders of record of PFLT as of November 17, 2017 (the “Record Date”).</w:t>
      </w:r>
    </w:p>
    <w:p>
      <w:pPr>
        <w:spacing w:after="0" w:line="192" w:lineRule="exact"/>
        <w:rPr>
          <w:sz w:val="20"/>
          <w:szCs w:val="20"/>
          <w:color w:val="auto"/>
        </w:rPr>
      </w:pPr>
    </w:p>
    <w:p>
      <w:pPr>
        <w:ind w:right="500" w:firstLine="598"/>
        <w:spacing w:after="0" w:line="381" w:lineRule="auto"/>
        <w:rPr>
          <w:sz w:val="20"/>
          <w:szCs w:val="20"/>
          <w:color w:val="auto"/>
        </w:rPr>
      </w:pPr>
      <w:r>
        <w:rPr>
          <w:rFonts w:ascii="Arial" w:cs="Arial" w:eastAsia="Arial" w:hAnsi="Arial"/>
          <w:sz w:val="15"/>
          <w:szCs w:val="15"/>
          <w:b w:val="1"/>
          <w:bCs w:val="1"/>
          <w:i w:val="1"/>
          <w:iCs w:val="1"/>
          <w:color w:val="auto"/>
        </w:rPr>
        <w:t>Although each Company is a separate business development company that holds an annual meeting of stockholders, the Companies’ Proxy Statements have been combined into this Joint Proxy Statement to reduce expenses of each of the Companies of soliciting proxies for the Meeting.</w:t>
      </w:r>
    </w:p>
    <w:p>
      <w:pPr>
        <w:spacing w:after="0" w:line="101" w:lineRule="exact"/>
        <w:rPr>
          <w:sz w:val="20"/>
          <w:szCs w:val="20"/>
          <w:color w:val="auto"/>
        </w:rPr>
      </w:pPr>
    </w:p>
    <w:p>
      <w:pPr>
        <w:ind w:right="200" w:firstLine="598"/>
        <w:spacing w:after="0" w:line="279" w:lineRule="auto"/>
        <w:rPr>
          <w:sz w:val="20"/>
          <w:szCs w:val="20"/>
          <w:color w:val="auto"/>
        </w:rPr>
      </w:pPr>
      <w:r>
        <w:rPr>
          <w:rFonts w:ascii="Arial" w:cs="Arial" w:eastAsia="Arial" w:hAnsi="Arial"/>
          <w:sz w:val="17"/>
          <w:szCs w:val="17"/>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your Company’s Board. If any other business is brought before the Meeting, your shares will be voted by the appropriate proxy’s discretion unless you specifically state otherwise on your proxy.</w:t>
      </w:r>
    </w:p>
    <w:p>
      <w:pPr>
        <w:spacing w:after="0" w:line="171"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You may revoke a proxy at any time before it is exercised by notifying the Companies’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8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You will be eligible to vote your shares electronically via the Internet, by telephone or by mail.</w:t>
      </w:r>
    </w:p>
    <w:p>
      <w:pPr>
        <w:spacing w:after="0" w:line="333"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Purpose of Meeting</w:t>
      </w:r>
    </w:p>
    <w:p>
      <w:pPr>
        <w:spacing w:after="0" w:line="11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At the Meeting, you will be asked to vote on the following proposals for your Company:</w:t>
      </w:r>
    </w:p>
    <w:p>
      <w:pPr>
        <w:spacing w:after="0" w:line="239" w:lineRule="exact"/>
        <w:rPr>
          <w:sz w:val="20"/>
          <w:szCs w:val="20"/>
          <w:color w:val="auto"/>
        </w:rPr>
      </w:pPr>
    </w:p>
    <w:p>
      <w:pPr>
        <w:ind w:left="1200" w:right="34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directors to the Board of the Company, who will serve until the 2021 annual meeting of stockholders and until a successor is duly elected and qualifies (“Proposal 1”); and</w:t>
      </w:r>
    </w:p>
    <w:p>
      <w:pPr>
        <w:spacing w:after="0" w:line="62" w:lineRule="exact"/>
        <w:rPr>
          <w:rFonts w:ascii="Arial" w:cs="Arial" w:eastAsia="Arial" w:hAnsi="Arial"/>
          <w:sz w:val="18"/>
          <w:szCs w:val="18"/>
          <w:color w:val="auto"/>
        </w:rPr>
      </w:pPr>
    </w:p>
    <w:p>
      <w:pPr>
        <w:ind w:left="1200" w:right="240" w:hanging="598"/>
        <w:spacing w:after="0" w:line="277" w:lineRule="auto"/>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selection of RSM US LLP to serve as the Company’s independent registered public accounting firm for the fiscal year ending September 30, 2018 (“Proposal 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i w:val="1"/>
          <w:iCs w:val="1"/>
          <w:color w:val="auto"/>
        </w:rPr>
        <w:t>Voting Securities</w:t>
      </w:r>
    </w:p>
    <w:p>
      <w:pPr>
        <w:spacing w:after="0" w:line="225"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You may vote your shares at the Meeting only if you were a Stockholder of record of PNNT and/or a Stockholder of record of PFLT at the close of business on November 17, 2017. There were 71,060,836 shares of PNNT common stock and 38,480,074 shares of PFLT common stock (the “Common Stock”) outstanding on the Record Date. Stockholders are entitled to one vote for each share of Common Stock of their Company held. Stockholders can vote only on matters affecting a Company in which they hold shares of Common Stock. Because the proposals stated above and in the Notice of Annual Meeting are separate for each Company, it is essential that Stockholders who own shares in both Companies vote by Internet, telephone or mail in accordance with the instructions on the proxy card(s), with respect to each proxy card they receive.</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Quorum Required</w:t>
      </w:r>
    </w:p>
    <w:p>
      <w:pPr>
        <w:spacing w:after="0" w:line="225" w:lineRule="exact"/>
        <w:rPr>
          <w:sz w:val="20"/>
          <w:szCs w:val="20"/>
          <w:color w:val="auto"/>
        </w:rPr>
      </w:pPr>
    </w:p>
    <w:p>
      <w:pPr>
        <w:ind w:right="160" w:firstLine="598"/>
        <w:spacing w:after="0" w:line="257" w:lineRule="auto"/>
        <w:rPr>
          <w:sz w:val="20"/>
          <w:szCs w:val="20"/>
          <w:color w:val="auto"/>
        </w:rPr>
      </w:pPr>
      <w:r>
        <w:rPr>
          <w:rFonts w:ascii="Arial" w:cs="Arial" w:eastAsia="Arial" w:hAnsi="Arial"/>
          <w:sz w:val="18"/>
          <w:szCs w:val="18"/>
          <w:color w:val="auto"/>
        </w:rPr>
        <w:t>For a Company to conduct business at the Meeting, a quorum of Stockholders of that Company must be present at the Meeting. The presence at the Meeting, in person or by proxy, of the holders of a majority of the shares of Common Stock of a Company outstanding on the Record Date will constitute a quorum of such Company. Abstentions and Broker Non-Votes (as defined below) will be treated as shares present at the Meeting for quorum purposes. If there are not enough votes for a quorum of a Company, the chairman of the Meeting will adjourn the Meeting with respect to that Company to permit the further solicitation of proxies.</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Votes Required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121" w:lineRule="exact"/>
        <w:rPr>
          <w:sz w:val="20"/>
          <w:szCs w:val="20"/>
          <w:color w:val="auto"/>
        </w:rPr>
      </w:pPr>
    </w:p>
    <w:p>
      <w:pPr>
        <w:ind w:right="60" w:firstLine="598"/>
        <w:spacing w:after="0" w:line="259" w:lineRule="auto"/>
        <w:rPr>
          <w:sz w:val="20"/>
          <w:szCs w:val="20"/>
          <w:color w:val="auto"/>
        </w:rPr>
      </w:pPr>
      <w:r>
        <w:rPr>
          <w:rFonts w:ascii="Arial" w:cs="Arial" w:eastAsia="Arial" w:hAnsi="Arial"/>
          <w:sz w:val="18"/>
          <w:szCs w:val="18"/>
          <w:color w:val="auto"/>
        </w:rPr>
        <w:t>For PNNT, the election of a director to the Board of the Company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PNNT, votes to withhold authority, as well as abstentions and Broker Non-Votes, will have the effect of a vote against the nominee.</w:t>
      </w:r>
    </w:p>
    <w:p>
      <w:pPr>
        <w:spacing w:after="0" w:line="187" w:lineRule="exact"/>
        <w:rPr>
          <w:sz w:val="20"/>
          <w:szCs w:val="20"/>
          <w:color w:val="auto"/>
        </w:rPr>
      </w:pPr>
    </w:p>
    <w:p>
      <w:pPr>
        <w:ind w:firstLine="598"/>
        <w:spacing w:after="0" w:line="279" w:lineRule="auto"/>
        <w:rPr>
          <w:sz w:val="20"/>
          <w:szCs w:val="20"/>
          <w:color w:val="auto"/>
        </w:rPr>
      </w:pPr>
      <w:r>
        <w:rPr>
          <w:rFonts w:ascii="Arial" w:cs="Arial" w:eastAsia="Arial" w:hAnsi="Arial"/>
          <w:sz w:val="17"/>
          <w:szCs w:val="17"/>
          <w:color w:val="auto"/>
        </w:rPr>
        <w:t>For PFLT, the election of a director to the Board of the Company requires the affirmative vote of a majority of the votes cast for and affirmatively withheld at the Meeting in person or by proxy. If you vote “Withhold Authority” with respect to a nominee, your shares will not be voted with respect to the person indicated. Votes to withhold authority with respect to a nominee will be included in determining the number of votes cast and, as a result, will have the effect of a vote against the nominee. Abstentions and Broker Non-Votes will have no effect on the result of the vote.</w:t>
      </w:r>
    </w:p>
    <w:p>
      <w:pPr>
        <w:spacing w:after="0" w:line="1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Stockholders of a Company may not cumulate their votes.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Ratification of Independent Registered Public Accounting Firm</w:t>
      </w:r>
    </w:p>
    <w:p>
      <w:pPr>
        <w:spacing w:after="0" w:line="121" w:lineRule="exact"/>
        <w:rPr>
          <w:sz w:val="20"/>
          <w:szCs w:val="20"/>
          <w:color w:val="auto"/>
        </w:rPr>
      </w:pPr>
    </w:p>
    <w:p>
      <w:pPr>
        <w:jc w:val="both"/>
        <w:ind w:firstLine="598"/>
        <w:spacing w:after="0" w:line="264" w:lineRule="auto"/>
        <w:rPr>
          <w:sz w:val="20"/>
          <w:szCs w:val="20"/>
          <w:color w:val="auto"/>
        </w:rPr>
      </w:pPr>
      <w:r>
        <w:rPr>
          <w:rFonts w:ascii="Arial" w:cs="Arial" w:eastAsia="Arial" w:hAnsi="Arial"/>
          <w:sz w:val="18"/>
          <w:szCs w:val="18"/>
          <w:color w:val="auto"/>
        </w:rPr>
        <w:t>For each Company, the affirmative vote of a majority of the votes of that Company cast at the Meeting in person or by proxy is required to ratify the appointment of RSM US LLP to serve as such Company’s independent registered public accounting firm. Abstentions will not be included in determining the number of votes cast and, as a result, will have no effect on this proposal.</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Broker Non-Votes</w:t>
      </w:r>
    </w:p>
    <w:p>
      <w:pPr>
        <w:spacing w:after="0" w:line="121" w:lineRule="exact"/>
        <w:rPr>
          <w:sz w:val="20"/>
          <w:szCs w:val="20"/>
          <w:color w:val="auto"/>
        </w:rPr>
      </w:pPr>
    </w:p>
    <w:p>
      <w:pPr>
        <w:ind w:right="40" w:firstLine="598"/>
        <w:spacing w:after="0" w:line="297" w:lineRule="auto"/>
        <w:rPr>
          <w:sz w:val="20"/>
          <w:szCs w:val="20"/>
          <w:color w:val="auto"/>
        </w:rPr>
      </w:pPr>
      <w:r>
        <w:rPr>
          <w:rFonts w:ascii="Arial" w:cs="Arial" w:eastAsia="Arial" w:hAnsi="Arial"/>
          <w:sz w:val="16"/>
          <w:szCs w:val="16"/>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for both Companies. As a result, if you hold shares of a Company’s Common Stock in street name, your Broker will </w:t>
      </w:r>
      <w:r>
        <w:rPr>
          <w:rFonts w:ascii="Arial" w:cs="Arial" w:eastAsia="Arial" w:hAnsi="Arial"/>
          <w:sz w:val="16"/>
          <w:szCs w:val="16"/>
          <w:b w:val="1"/>
          <w:bCs w:val="1"/>
          <w:color w:val="auto"/>
        </w:rPr>
        <w:t>not</w:t>
      </w:r>
      <w:r>
        <w:rPr>
          <w:rFonts w:ascii="Arial" w:cs="Arial" w:eastAsia="Arial" w:hAnsi="Arial"/>
          <w:sz w:val="16"/>
          <w:szCs w:val="16"/>
          <w:color w:val="auto"/>
        </w:rPr>
        <w:t xml:space="preserve"> be permitted to exercise voting discretion with respect to Proposal 1 for that Company. Thus, if you are a Stockholder of PNNT and you do not vote or give your Broker specific instructions on how to vote for you, your shares will have the effect of a vote against Proposal 1.</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5" w:name="page6"/>
    <w:bookmarkEnd w:id="5"/>
    <w:p>
      <w:pPr>
        <w:ind w:right="360" w:firstLine="598"/>
        <w:spacing w:after="0" w:line="282" w:lineRule="auto"/>
        <w:rPr>
          <w:sz w:val="20"/>
          <w:szCs w:val="20"/>
          <w:color w:val="auto"/>
        </w:rPr>
      </w:pPr>
      <w:r>
        <w:rPr>
          <w:rFonts w:ascii="Arial" w:cs="Arial" w:eastAsia="Arial" w:hAnsi="Arial"/>
          <w:sz w:val="18"/>
          <w:szCs w:val="18"/>
          <w:b w:val="1"/>
          <w:bCs w:val="1"/>
          <w:color w:val="auto"/>
        </w:rPr>
        <w:t>For this reason, it is imperative that Stockholders of PNNT vote or provide instructions to their Brokers as to how to vote with respect to Proposal 1.</w:t>
      </w:r>
    </w:p>
    <w:p>
      <w:pPr>
        <w:spacing w:after="0" w:line="166" w:lineRule="exact"/>
        <w:rPr>
          <w:sz w:val="20"/>
          <w:szCs w:val="20"/>
          <w:color w:val="auto"/>
        </w:rPr>
      </w:pPr>
    </w:p>
    <w:p>
      <w:pPr>
        <w:ind w:firstLine="598"/>
        <w:spacing w:after="0" w:line="272" w:lineRule="auto"/>
        <w:rPr>
          <w:sz w:val="20"/>
          <w:szCs w:val="20"/>
          <w:color w:val="auto"/>
        </w:rPr>
      </w:pPr>
      <w:r>
        <w:rPr>
          <w:rFonts w:ascii="Arial" w:cs="Arial" w:eastAsia="Arial" w:hAnsi="Arial"/>
          <w:sz w:val="18"/>
          <w:szCs w:val="18"/>
          <w:color w:val="auto"/>
        </w:rPr>
        <w:t>Proposal 2 is a routine matter for both Companies. As a result, if you beneficially own shares of Common Stock of a Company and you do not vote or provide your Broker with proxy instructions, your Broker will be able to vote your shares for you on Proposal 2.</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 and Additional Solicitation</w:t>
      </w:r>
    </w:p>
    <w:p>
      <w:pPr>
        <w:spacing w:after="0" w:line="121" w:lineRule="exact"/>
        <w:rPr>
          <w:sz w:val="20"/>
          <w:szCs w:val="20"/>
          <w:color w:val="auto"/>
        </w:rPr>
      </w:pPr>
    </w:p>
    <w:p>
      <w:pPr>
        <w:ind w:right="420" w:firstLine="598"/>
        <w:spacing w:after="0" w:line="277" w:lineRule="auto"/>
        <w:rPr>
          <w:sz w:val="20"/>
          <w:szCs w:val="20"/>
          <w:color w:val="auto"/>
        </w:rPr>
      </w:pPr>
      <w:r>
        <w:rPr>
          <w:rFonts w:ascii="Arial" w:cs="Arial" w:eastAsia="Arial" w:hAnsi="Arial"/>
          <w:sz w:val="18"/>
          <w:szCs w:val="18"/>
          <w:color w:val="auto"/>
        </w:rPr>
        <w:t>As to each Company, if there appears not to be enough votes to approve a proposal at the Meeting, the chairman of the Meeting may adjourn the Meeting with respect to that Company to permit further solicitation of proxies.</w:t>
      </w:r>
    </w:p>
    <w:p>
      <w:pPr>
        <w:spacing w:after="0" w:line="170" w:lineRule="exact"/>
        <w:rPr>
          <w:sz w:val="20"/>
          <w:szCs w:val="20"/>
          <w:color w:val="auto"/>
        </w:rPr>
      </w:pPr>
    </w:p>
    <w:p>
      <w:pPr>
        <w:ind w:right="120" w:firstLine="598"/>
        <w:spacing w:after="0" w:line="277" w:lineRule="auto"/>
        <w:rPr>
          <w:sz w:val="20"/>
          <w:szCs w:val="20"/>
          <w:color w:val="auto"/>
        </w:rPr>
      </w:pPr>
      <w:r>
        <w:rPr>
          <w:rFonts w:ascii="Arial" w:cs="Arial" w:eastAsia="Arial" w:hAnsi="Arial"/>
          <w:sz w:val="18"/>
          <w:szCs w:val="18"/>
          <w:color w:val="auto"/>
        </w:rPr>
        <w:t>A Stockholder vote may be taken on any of the proposals in this Joint Proxy Statement prior to any such adjournment if there are sufficient votes for approval of such proposal.</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Information Regarding This Solicitation</w:t>
      </w:r>
    </w:p>
    <w:p>
      <w:pPr>
        <w:spacing w:after="0" w:line="225"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Each Company will bear the expense of its solicitation of proxies for the Meeting, including its portion of the cost of preparing and posting this Joint Proxy Statement and the Annual Report to the Internet and the cost of mailing the Notice of Annual Meeting, the Notice of Internet Availability of Proxy Materials and any requested proxy materials to its respective Stockholders. The Companies intend to use the services of Broadridge Financial Solutions, Inc., a leading provider of investor communications solutions, to aid in the distribution and collection of proxy votes. The Companies expect to pay market rates for such services. If brokers, trustees or fiduciaries and other institutions holding shares in their own names or in the names of their nominee, which shares are beneficially owned by others, forward the Joint Proxy Statement and relevant proxy card(s) to, and obtain proxies from, such beneficial owners, the applicable Company will reimburse such persons for their reasonable expenses in so doing.</w:t>
      </w:r>
    </w:p>
    <w:p>
      <w:pPr>
        <w:spacing w:after="0" w:line="178" w:lineRule="exact"/>
        <w:rPr>
          <w:sz w:val="20"/>
          <w:szCs w:val="20"/>
          <w:color w:val="auto"/>
        </w:rPr>
      </w:pPr>
    </w:p>
    <w:p>
      <w:pPr>
        <w:ind w:right="120" w:firstLine="598"/>
        <w:spacing w:after="0" w:line="294" w:lineRule="auto"/>
        <w:rPr>
          <w:sz w:val="20"/>
          <w:szCs w:val="20"/>
          <w:color w:val="auto"/>
        </w:rPr>
      </w:pPr>
      <w:r>
        <w:rPr>
          <w:rFonts w:ascii="Arial" w:cs="Arial" w:eastAsia="Arial" w:hAnsi="Arial"/>
          <w:sz w:val="16"/>
          <w:szCs w:val="16"/>
          <w:color w:val="auto"/>
        </w:rPr>
        <w:t>In addition to the solicitation of proxies by the use of the Internet, proxies may be solicited in person and/or by telephone, mail or facsimile transmission by directors or officers of the Companies, officers or employees of PennantPark Investment Advisers, LLC, the Companies’ investment adviser (the “Adviser”), PennantPark Investment Administration, LLC, the Companies’ administrator (the “Administrator”), and/or by a retained solicitor. No additional compensation will be paid to such directors, officers or regular employees for such services. If the Companies retain a solicitor, the Companies have estimated that they will pay an aggregate of approximately $60,000 for such services. If the Companies engage a solicitor, you could be contacted by telephone on behalf of your Company and be urged to vote. The solicitor will not attempt to influence how you vote your shares, but will only ask that you take the time to cast a vote. You may also be asked if you would like to vote over the telephone and to have your vote transmitted to our proxy tabulation firm. The address of each of the Adviser and the Administrator is 590 Madison Avenue,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w:t>
      </w:r>
    </w:p>
    <w:p>
      <w:pPr>
        <w:spacing w:after="0" w:line="85"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 xml:space="preserve">Stockholders may provide their voting instructions through the Internet, by telephone or by mail by following the instructions on the Notice of Internet Availability of Proxy Materials. These options require Stockholders to input the Control Number, which is provided with the Notice of Internet Availability of Proxy Materials. If you vote using the Internet, after visiting </w:t>
      </w:r>
      <w:r>
        <w:rPr>
          <w:rFonts w:ascii="Arial" w:cs="Arial" w:eastAsia="Arial" w:hAnsi="Arial"/>
          <w:sz w:val="18"/>
          <w:szCs w:val="18"/>
          <w:u w:val="single" w:color="auto"/>
          <w:color w:val="auto"/>
        </w:rPr>
        <w:t>www.proxyvote.com</w:t>
      </w:r>
      <w:r>
        <w:rPr>
          <w:rFonts w:ascii="Arial" w:cs="Arial" w:eastAsia="Arial" w:hAnsi="Arial"/>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93" w:lineRule="exact"/>
        <w:rPr>
          <w:sz w:val="20"/>
          <w:szCs w:val="20"/>
          <w:color w:val="auto"/>
        </w:rPr>
      </w:pPr>
    </w:p>
    <w:p>
      <w:pPr>
        <w:ind w:right="40" w:firstLine="598"/>
        <w:spacing w:after="0" w:line="277" w:lineRule="auto"/>
        <w:rPr>
          <w:sz w:val="20"/>
          <w:szCs w:val="20"/>
          <w:color w:val="auto"/>
        </w:rPr>
      </w:pPr>
      <w:r>
        <w:rPr>
          <w:rFonts w:ascii="Arial" w:cs="Arial" w:eastAsia="Arial" w:hAnsi="Arial"/>
          <w:sz w:val="18"/>
          <w:szCs w:val="18"/>
          <w:color w:val="auto"/>
        </w:rPr>
        <w:t>If a Stockholder wishes to participate in the Meeting, but does not wish to give a proxy by Internet, the Stockholder may attend the Meeting in person or request and submit a proxy card by following the instructions on the Notice of Internet Availability of Proxy Materials.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6" w:name="page7"/>
    <w:bookmarkEnd w:id="6"/>
    <w:p>
      <w:pPr>
        <w:ind w:right="100" w:firstLine="598"/>
        <w:spacing w:after="0" w:line="257" w:lineRule="auto"/>
        <w:rPr>
          <w:sz w:val="20"/>
          <w:szCs w:val="20"/>
          <w:color w:val="auto"/>
        </w:rPr>
      </w:pPr>
      <w:r>
        <w:rPr>
          <w:rFonts w:ascii="Arial" w:cs="Arial" w:eastAsia="Arial" w:hAnsi="Arial"/>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or (iii) by a notice, provided in writing and signed by the Stockholder, delivered to the Companies’ Secretary on any business day before the date of the Meeting.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Security Ownership of Certain Beneficial Owners and Management</w:t>
      </w:r>
    </w:p>
    <w:p>
      <w:pPr>
        <w:spacing w:after="0" w:line="225" w:lineRule="exact"/>
        <w:rPr>
          <w:sz w:val="20"/>
          <w:szCs w:val="20"/>
          <w:color w:val="auto"/>
        </w:rPr>
      </w:pPr>
    </w:p>
    <w:p>
      <w:pPr>
        <w:ind w:right="100" w:firstLine="598"/>
        <w:spacing w:after="0" w:line="277" w:lineRule="auto"/>
        <w:rPr>
          <w:sz w:val="20"/>
          <w:szCs w:val="20"/>
          <w:color w:val="auto"/>
        </w:rPr>
      </w:pPr>
      <w:r>
        <w:rPr>
          <w:rFonts w:ascii="Arial" w:cs="Arial" w:eastAsia="Arial" w:hAnsi="Arial"/>
          <w:sz w:val="18"/>
          <w:szCs w:val="18"/>
          <w:color w:val="auto"/>
        </w:rPr>
        <w:t>As of the Record Date, to our knowledge, no person would be deemed to “control” (as such term is defined in the Investment Company Act of 1940, as amended (the “1940 Act”)) either Company.</w:t>
      </w:r>
    </w:p>
    <w:p>
      <w:pPr>
        <w:spacing w:after="0" w:line="170" w:lineRule="exact"/>
        <w:rPr>
          <w:sz w:val="20"/>
          <w:szCs w:val="20"/>
          <w:color w:val="auto"/>
        </w:rPr>
      </w:pPr>
    </w:p>
    <w:p>
      <w:pPr>
        <w:ind w:right="140" w:firstLine="598"/>
        <w:spacing w:after="0" w:line="264" w:lineRule="auto"/>
        <w:rPr>
          <w:sz w:val="20"/>
          <w:szCs w:val="20"/>
          <w:color w:val="auto"/>
        </w:rPr>
      </w:pPr>
      <w:r>
        <w:rPr>
          <w:rFonts w:ascii="Arial" w:cs="Arial" w:eastAsia="Arial" w:hAnsi="Arial"/>
          <w:sz w:val="18"/>
          <w:szCs w:val="18"/>
          <w:color w:val="auto"/>
        </w:rPr>
        <w:t>Each Company’s Board is composed of the same individuals. Our directors consist of an interested director and four independent directors. An interested director is an “interested person” of the Companies, as defined in the 1940 Act, and independent directors are all other directors (the “Independent Directors”).</w:t>
      </w:r>
    </w:p>
    <w:p>
      <w:pPr>
        <w:spacing w:after="0" w:line="181" w:lineRule="exact"/>
        <w:rPr>
          <w:sz w:val="20"/>
          <w:szCs w:val="20"/>
          <w:color w:val="auto"/>
        </w:rPr>
      </w:pPr>
    </w:p>
    <w:p>
      <w:pPr>
        <w:jc w:val="both"/>
        <w:ind w:right="420" w:firstLine="598"/>
        <w:spacing w:after="0" w:line="264" w:lineRule="auto"/>
        <w:rPr>
          <w:sz w:val="20"/>
          <w:szCs w:val="20"/>
          <w:color w:val="auto"/>
        </w:rPr>
      </w:pPr>
      <w:r>
        <w:rPr>
          <w:rFonts w:ascii="Arial" w:cs="Arial" w:eastAsia="Arial" w:hAnsi="Arial"/>
          <w:sz w:val="18"/>
          <w:szCs w:val="18"/>
          <w:color w:val="auto"/>
        </w:rPr>
        <w:t>The following table sets forth, as of December 1, 2017, certain ownership information with respect to each Company’s Common Stock for those persons who directly or indirectly own, control or hold with the power to vote, five percent or more of a Company’s outstanding Common Stock and all officers and directors of the Companies, as a group.</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r>
              <w:rPr>
                <w:rFonts w:ascii="Arial" w:cs="Arial" w:eastAsia="Arial" w:hAnsi="Arial"/>
                <w:sz w:val="12"/>
                <w:szCs w:val="12"/>
                <w:b w:val="1"/>
                <w:bCs w:val="1"/>
                <w:color w:val="auto"/>
              </w:rPr>
              <w:t>(1)</w:t>
            </w:r>
          </w:p>
        </w:tc>
        <w:tc>
          <w:tcPr>
            <w:tcW w:w="20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12"/>
                <w:szCs w:val="12"/>
                <w:b w:val="1"/>
                <w:bCs w:val="1"/>
                <w:color w:val="auto"/>
              </w:rPr>
              <w:t>(3)</w:t>
            </w:r>
          </w:p>
        </w:tc>
        <w:tc>
          <w:tcPr>
            <w:tcW w:w="212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Shares Owned</w:t>
            </w:r>
          </w:p>
        </w:tc>
        <w:tc>
          <w:tcPr>
            <w:tcW w:w="206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84"/>
        </w:trPr>
        <w:tc>
          <w:tcPr>
            <w:tcW w:w="5240" w:type="dxa"/>
            <w:vAlign w:val="bottom"/>
            <w:gridSpan w:val="3"/>
            <w:vMerge w:val="continue"/>
          </w:tcPr>
          <w:p>
            <w:pPr>
              <w:spacing w:after="0"/>
              <w:rPr>
                <w:sz w:val="16"/>
                <w:szCs w:val="16"/>
                <w:color w:val="auto"/>
              </w:rPr>
            </w:pPr>
          </w:p>
        </w:tc>
        <w:tc>
          <w:tcPr>
            <w:tcW w:w="2000" w:type="dxa"/>
            <w:vAlign w:val="bottom"/>
            <w:gridSpan w:val="2"/>
            <w:vMerge w:val="continue"/>
          </w:tcPr>
          <w:p>
            <w:pPr>
              <w:spacing w:after="0"/>
              <w:rPr>
                <w:sz w:val="16"/>
                <w:szCs w:val="16"/>
                <w:color w:val="auto"/>
              </w:rPr>
            </w:pPr>
          </w:p>
        </w:tc>
        <w:tc>
          <w:tcPr>
            <w:tcW w:w="2120" w:type="dxa"/>
            <w:vAlign w:val="bottom"/>
            <w:gridSpan w:val="4"/>
            <w:vMerge w:val="continue"/>
          </w:tcPr>
          <w:p>
            <w:pPr>
              <w:spacing w:after="0"/>
              <w:rPr>
                <w:sz w:val="16"/>
                <w:szCs w:val="16"/>
                <w:color w:val="auto"/>
              </w:rPr>
            </w:pPr>
          </w:p>
        </w:tc>
        <w:tc>
          <w:tcPr>
            <w:tcW w:w="2060" w:type="dxa"/>
            <w:vAlign w:val="bottom"/>
            <w:gridSpan w:val="4"/>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43"/>
        </w:trPr>
        <w:tc>
          <w:tcPr>
            <w:tcW w:w="1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960" w:type="dxa"/>
            <w:vAlign w:val="bottom"/>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gridSpan w:val="2"/>
          </w:tcPr>
          <w:p>
            <w:pPr>
              <w:ind w:left="220"/>
              <w:spacing w:after="0" w:line="143" w:lineRule="exact"/>
              <w:rPr>
                <w:sz w:val="20"/>
                <w:szCs w:val="20"/>
                <w:color w:val="auto"/>
              </w:rPr>
            </w:pPr>
            <w:r>
              <w:rPr>
                <w:rFonts w:ascii="Arial" w:cs="Arial" w:eastAsia="Arial" w:hAnsi="Arial"/>
                <w:sz w:val="14"/>
                <w:szCs w:val="14"/>
                <w:b w:val="1"/>
                <w:bCs w:val="1"/>
                <w:color w:val="auto"/>
              </w:rPr>
              <w:t>PNNT</w:t>
            </w:r>
          </w:p>
        </w:tc>
        <w:tc>
          <w:tcPr>
            <w:tcW w:w="800" w:type="dxa"/>
            <w:vAlign w:val="bottom"/>
            <w:tcBorders>
              <w:top w:val="single" w:sz="8" w:color="auto"/>
            </w:tcBorders>
          </w:tcPr>
          <w:p>
            <w:pPr>
              <w:jc w:val="right"/>
              <w:ind w:right="132"/>
              <w:spacing w:after="0" w:line="143" w:lineRule="exact"/>
              <w:rPr>
                <w:sz w:val="20"/>
                <w:szCs w:val="20"/>
                <w:color w:val="auto"/>
              </w:rPr>
            </w:pPr>
            <w:r>
              <w:rPr>
                <w:rFonts w:ascii="Arial" w:cs="Arial" w:eastAsia="Arial" w:hAnsi="Arial"/>
                <w:sz w:val="14"/>
                <w:szCs w:val="14"/>
                <w:b w:val="1"/>
                <w:bCs w:val="1"/>
                <w:color w:val="auto"/>
              </w:rPr>
              <w:t>PFLT</w:t>
            </w:r>
          </w:p>
        </w:tc>
        <w:tc>
          <w:tcPr>
            <w:tcW w:w="240" w:type="dxa"/>
            <w:vAlign w:val="bottom"/>
          </w:tcPr>
          <w:p>
            <w:pPr>
              <w:spacing w:after="0"/>
              <w:rPr>
                <w:sz w:val="12"/>
                <w:szCs w:val="12"/>
                <w:color w:val="auto"/>
              </w:rPr>
            </w:pPr>
          </w:p>
        </w:tc>
        <w:tc>
          <w:tcPr>
            <w:tcW w:w="1080" w:type="dxa"/>
            <w:vAlign w:val="bottom"/>
            <w:tcBorders>
              <w:top w:val="single" w:sz="8" w:color="auto"/>
            </w:tcBorders>
            <w:gridSpan w:val="2"/>
          </w:tcPr>
          <w:p>
            <w:pPr>
              <w:ind w:left="180"/>
              <w:spacing w:after="0" w:line="143" w:lineRule="exact"/>
              <w:rPr>
                <w:sz w:val="20"/>
                <w:szCs w:val="20"/>
                <w:color w:val="auto"/>
              </w:rPr>
            </w:pPr>
            <w:r>
              <w:rPr>
                <w:rFonts w:ascii="Arial" w:cs="Arial" w:eastAsia="Arial" w:hAnsi="Arial"/>
                <w:sz w:val="14"/>
                <w:szCs w:val="14"/>
                <w:b w:val="1"/>
                <w:bCs w:val="1"/>
                <w:color w:val="auto"/>
              </w:rPr>
              <w:t>PNNT</w:t>
            </w:r>
          </w:p>
        </w:tc>
        <w:tc>
          <w:tcPr>
            <w:tcW w:w="800" w:type="dxa"/>
            <w:vAlign w:val="bottom"/>
            <w:tcBorders>
              <w:top w:val="single" w:sz="8" w:color="auto"/>
            </w:tcBorders>
          </w:tcPr>
          <w:p>
            <w:pPr>
              <w:ind w:left="220"/>
              <w:spacing w:after="0" w:line="143" w:lineRule="exact"/>
              <w:rPr>
                <w:sz w:val="20"/>
                <w:szCs w:val="20"/>
                <w:color w:val="auto"/>
              </w:rPr>
            </w:pPr>
            <w:r>
              <w:rPr>
                <w:rFonts w:ascii="Arial" w:cs="Arial" w:eastAsia="Arial" w:hAnsi="Arial"/>
                <w:sz w:val="14"/>
                <w:szCs w:val="14"/>
                <w:b w:val="1"/>
                <w:bCs w:val="1"/>
                <w:color w:val="auto"/>
              </w:rPr>
              <w:t>PFLT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52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18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3"/>
          </w:tcPr>
          <w:p>
            <w:pPr>
              <w:ind w:left="260"/>
              <w:spacing w:after="0"/>
              <w:rPr>
                <w:sz w:val="20"/>
                <w:szCs w:val="20"/>
                <w:color w:val="auto"/>
              </w:rPr>
            </w:pPr>
            <w:r>
              <w:rPr>
                <w:rFonts w:ascii="Arial" w:cs="Arial" w:eastAsia="Arial" w:hAnsi="Arial"/>
                <w:sz w:val="18"/>
                <w:szCs w:val="18"/>
                <w:color w:val="auto"/>
              </w:rPr>
              <w:t>Adam K. Bernstein</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Record/Beneficial</w:t>
            </w:r>
          </w:p>
        </w:tc>
        <w:tc>
          <w:tcPr>
            <w:tcW w:w="860" w:type="dxa"/>
            <w:vAlign w:val="bottom"/>
          </w:tcPr>
          <w:p>
            <w:pPr>
              <w:jc w:val="right"/>
              <w:spacing w:after="0"/>
              <w:rPr>
                <w:sz w:val="20"/>
                <w:szCs w:val="20"/>
                <w:color w:val="auto"/>
              </w:rPr>
            </w:pPr>
            <w:r>
              <w:rPr>
                <w:rFonts w:ascii="Arial" w:cs="Arial" w:eastAsia="Arial" w:hAnsi="Arial"/>
                <w:sz w:val="18"/>
                <w:szCs w:val="18"/>
                <w:color w:val="auto"/>
              </w:rPr>
              <w:t>46,430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5,000</w:t>
            </w:r>
          </w:p>
        </w:tc>
        <w:tc>
          <w:tcPr>
            <w:tcW w:w="240" w:type="dxa"/>
            <w:vAlign w:val="bottom"/>
          </w:tcPr>
          <w:p>
            <w:pPr>
              <w:spacing w:after="0"/>
              <w:rPr>
                <w:sz w:val="19"/>
                <w:szCs w:val="19"/>
                <w:color w:val="auto"/>
              </w:rPr>
            </w:pPr>
          </w:p>
        </w:tc>
        <w:tc>
          <w:tcPr>
            <w:tcW w:w="8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Marshall Brozost</w:t>
            </w:r>
          </w:p>
        </w:tc>
        <w:tc>
          <w:tcPr>
            <w:tcW w:w="20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Record/Beneficial</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21,678</w:t>
            </w:r>
          </w:p>
        </w:tc>
        <w:tc>
          <w:tcPr>
            <w:tcW w:w="22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3"/>
          </w:tcPr>
          <w:p>
            <w:pPr>
              <w:ind w:left="260"/>
              <w:spacing w:after="0"/>
              <w:rPr>
                <w:sz w:val="20"/>
                <w:szCs w:val="20"/>
                <w:color w:val="auto"/>
              </w:rPr>
            </w:pPr>
            <w:r>
              <w:rPr>
                <w:rFonts w:ascii="Arial" w:cs="Arial" w:eastAsia="Arial" w:hAnsi="Arial"/>
                <w:sz w:val="18"/>
                <w:szCs w:val="18"/>
                <w:color w:val="auto"/>
              </w:rPr>
              <w:t>Jeffrey Flug</w:t>
            </w:r>
          </w:p>
        </w:tc>
        <w:tc>
          <w:tcPr>
            <w:tcW w:w="2000" w:type="dxa"/>
            <w:vAlign w:val="bottom"/>
            <w:gridSpan w:val="2"/>
          </w:tcPr>
          <w:p>
            <w:pPr>
              <w:ind w:left="280"/>
              <w:spacing w:after="0"/>
              <w:rPr>
                <w:sz w:val="20"/>
                <w:szCs w:val="20"/>
                <w:color w:val="auto"/>
              </w:rPr>
            </w:pPr>
            <w:r>
              <w:rPr>
                <w:rFonts w:ascii="Arial" w:cs="Arial" w:eastAsia="Arial" w:hAnsi="Arial"/>
                <w:sz w:val="18"/>
                <w:szCs w:val="18"/>
                <w:color w:val="auto"/>
              </w:rPr>
              <w:t>Record/Beneficial</w:t>
            </w:r>
          </w:p>
        </w:tc>
        <w:tc>
          <w:tcPr>
            <w:tcW w:w="860" w:type="dxa"/>
            <w:vAlign w:val="bottom"/>
          </w:tcPr>
          <w:p>
            <w:pPr>
              <w:jc w:val="right"/>
              <w:spacing w:after="0"/>
              <w:rPr>
                <w:sz w:val="20"/>
                <w:szCs w:val="20"/>
                <w:color w:val="auto"/>
              </w:rPr>
            </w:pPr>
            <w:r>
              <w:rPr>
                <w:rFonts w:ascii="Arial" w:cs="Arial" w:eastAsia="Arial" w:hAnsi="Arial"/>
                <w:sz w:val="18"/>
                <w:szCs w:val="18"/>
                <w:color w:val="auto"/>
              </w:rPr>
              <w:t>320,560</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15,500</w:t>
            </w:r>
          </w:p>
        </w:tc>
        <w:tc>
          <w:tcPr>
            <w:tcW w:w="240" w:type="dxa"/>
            <w:vAlign w:val="bottom"/>
          </w:tcPr>
          <w:p>
            <w:pPr>
              <w:spacing w:after="0"/>
              <w:rPr>
                <w:sz w:val="19"/>
                <w:szCs w:val="19"/>
                <w:color w:val="auto"/>
              </w:rPr>
            </w:pPr>
          </w:p>
        </w:tc>
        <w:tc>
          <w:tcPr>
            <w:tcW w:w="800" w:type="dxa"/>
            <w:vAlign w:val="bottom"/>
          </w:tcPr>
          <w:p>
            <w:pPr>
              <w:ind w:left="6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0" w:type="dxa"/>
            <w:vAlign w:val="bottom"/>
          </w:tcPr>
          <w:p>
            <w:pPr>
              <w:ind w:lef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Samuel L. Katz</w:t>
            </w:r>
          </w:p>
        </w:tc>
        <w:tc>
          <w:tcPr>
            <w:tcW w:w="20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Record/Beneficial</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189,291</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120,100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Interested director</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0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Record/Beneficial</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795,333</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149,209</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680"/>
              <w:spacing w:after="0"/>
              <w:rPr>
                <w:sz w:val="20"/>
                <w:szCs w:val="20"/>
                <w:color w:val="auto"/>
              </w:rPr>
            </w:pPr>
            <w:r>
              <w:rPr>
                <w:rFonts w:ascii="Arial" w:cs="Arial" w:eastAsia="Arial" w:hAnsi="Arial"/>
                <w:sz w:val="18"/>
                <w:szCs w:val="18"/>
                <w:color w:val="auto"/>
              </w:rPr>
              <w:t>1%</w:t>
            </w:r>
          </w:p>
        </w:tc>
        <w:tc>
          <w:tcPr>
            <w:tcW w:w="800" w:type="dxa"/>
            <w:vAlign w:val="bottom"/>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Aviv Efrat</w:t>
            </w:r>
          </w:p>
        </w:tc>
        <w:tc>
          <w:tcPr>
            <w:tcW w:w="20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Record/Beneficial</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96,103</w:t>
            </w:r>
          </w:p>
        </w:tc>
        <w:tc>
          <w:tcPr>
            <w:tcW w:w="22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28,750</w:t>
            </w:r>
          </w:p>
        </w:tc>
        <w:tc>
          <w:tcPr>
            <w:tcW w:w="24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6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7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40" w:type="dxa"/>
            <w:vAlign w:val="bottom"/>
            <w:gridSpan w:val="3"/>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1,469,395</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318,559</w:t>
            </w:r>
          </w:p>
        </w:tc>
        <w:tc>
          <w:tcPr>
            <w:tcW w:w="240" w:type="dxa"/>
            <w:vAlign w:val="bottom"/>
          </w:tcPr>
          <w:p>
            <w:pPr>
              <w:spacing w:after="0"/>
              <w:rPr>
                <w:sz w:val="19"/>
                <w:szCs w:val="19"/>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2%</w:t>
            </w:r>
          </w:p>
        </w:tc>
        <w:tc>
          <w:tcPr>
            <w:tcW w:w="980" w:type="dxa"/>
            <w:vAlign w:val="bottom"/>
            <w:gridSpan w:val="2"/>
          </w:tcPr>
          <w:p>
            <w:pPr>
              <w:ind w:left="70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600" w:right="80" w:hanging="592"/>
        <w:spacing w:after="0" w:line="250"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Mr. Penn is the Managing Member of the Adviser and may therefore be deemed to own beneficially the 589,923 shares of PNNT and 149,209 shares of PFLT held by the Adviser.</w:t>
      </w:r>
    </w:p>
    <w:p>
      <w:pPr>
        <w:ind w:left="600" w:hanging="592"/>
        <w:spacing w:after="0"/>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840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600" w:hanging="592"/>
        <w:spacing w:after="0"/>
        <w:tabs>
          <w:tab w:leader="none" w:pos="6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i w:val="1"/>
          <w:iCs w:val="1"/>
          <w:color w:val="auto"/>
        </w:rPr>
        <w:t>Section 16(a) Beneficial Ownership Reporting Compliance</w:t>
      </w:r>
    </w:p>
    <w:p>
      <w:pPr>
        <w:spacing w:after="0" w:line="225" w:lineRule="exact"/>
        <w:rPr>
          <w:sz w:val="20"/>
          <w:szCs w:val="20"/>
          <w:color w:val="auto"/>
        </w:rPr>
      </w:pPr>
    </w:p>
    <w:p>
      <w:pPr>
        <w:ind w:right="160" w:firstLine="598"/>
        <w:spacing w:after="0" w:line="273" w:lineRule="auto"/>
        <w:rPr>
          <w:sz w:val="20"/>
          <w:szCs w:val="20"/>
          <w:color w:val="auto"/>
        </w:rPr>
      </w:pPr>
      <w:r>
        <w:rPr>
          <w:rFonts w:ascii="Arial" w:cs="Arial" w:eastAsia="Arial" w:hAnsi="Arial"/>
          <w:sz w:val="17"/>
          <w:szCs w:val="17"/>
          <w:color w:val="auto"/>
        </w:rPr>
        <w:t>Pursuant to Section 16(a) of the Securities Exchange Act of 1934, as amended (the “Exchange Act”), each Company’s directors and other executive officer and any persons holding more than 10% of that Company’s Common Stock are required to report their beneficial ownership and any changes therein to the SEC and the Company. Specific due dates for those reports have been established, and the Companies are required to report herein any failure to file such reports by those due dates. Based on the Companies’ review of Forms 3, 4 and 5 filed by such persons and information provided by the Companies’ directors and other executive officer, the Companies believe that, during the fiscal year ended September 30, 2017, all Section 16(a) filing requirements applicable to such persons were met in a timely manner.</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w:t>
      </w:r>
    </w:p>
    <w:p>
      <w:pPr>
        <w:spacing w:after="0" w:line="225" w:lineRule="exact"/>
        <w:rPr>
          <w:sz w:val="20"/>
          <w:szCs w:val="20"/>
          <w:color w:val="auto"/>
        </w:rPr>
      </w:pPr>
    </w:p>
    <w:p>
      <w:pPr>
        <w:ind w:right="380" w:firstLine="598"/>
        <w:spacing w:after="0" w:line="277" w:lineRule="auto"/>
        <w:rPr>
          <w:sz w:val="20"/>
          <w:szCs w:val="20"/>
          <w:color w:val="auto"/>
        </w:rPr>
      </w:pPr>
      <w:r>
        <w:rPr>
          <w:rFonts w:ascii="Arial" w:cs="Arial" w:eastAsia="Arial" w:hAnsi="Arial"/>
          <w:sz w:val="18"/>
          <w:szCs w:val="18"/>
          <w:color w:val="auto"/>
        </w:rPr>
        <w:t>The following table sets forth the dollar range of each Company’s Common Stock beneficially owned by each of our directors as of December 1, 2017. Information as to beneficial ownership is based on information furnished to the Companies by such persons.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620" w:type="dxa"/>
            <w:vAlign w:val="bottom"/>
            <w:gridSpan w:val="2"/>
          </w:tcPr>
          <w:p>
            <w:pPr>
              <w:spacing w:after="0"/>
              <w:rPr>
                <w:sz w:val="20"/>
                <w:szCs w:val="20"/>
                <w:color w:val="auto"/>
              </w:rPr>
            </w:pPr>
            <w:r>
              <w:rPr>
                <w:rFonts w:ascii="Arial" w:cs="Arial" w:eastAsia="Arial" w:hAnsi="Arial"/>
                <w:sz w:val="14"/>
                <w:szCs w:val="14"/>
                <w:b w:val="1"/>
                <w:bCs w:val="1"/>
                <w:color w:val="auto"/>
              </w:rPr>
              <w:t>Directors of the Companies</w:t>
            </w:r>
          </w:p>
        </w:tc>
        <w:tc>
          <w:tcPr>
            <w:tcW w:w="2080" w:type="dxa"/>
            <w:vAlign w:val="bottom"/>
          </w:tcPr>
          <w:p>
            <w:pPr>
              <w:spacing w:after="0"/>
              <w:rPr>
                <w:sz w:val="14"/>
                <w:szCs w:val="14"/>
                <w:color w:val="auto"/>
              </w:rPr>
            </w:pPr>
          </w:p>
        </w:tc>
        <w:tc>
          <w:tcPr>
            <w:tcW w:w="36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Dollar Range of the Common Stock of the Companies</w:t>
            </w:r>
            <w:r>
              <w:rPr>
                <w:rFonts w:ascii="Arial" w:cs="Arial" w:eastAsia="Arial" w:hAnsi="Arial"/>
                <w:sz w:val="12"/>
                <w:szCs w:val="12"/>
                <w:b w:val="1"/>
                <w:bCs w:val="1"/>
                <w:color w:val="auto"/>
                <w:w w:val="92"/>
              </w:rPr>
              <w:t>(1)</w:t>
            </w:r>
          </w:p>
        </w:tc>
        <w:tc>
          <w:tcPr>
            <w:tcW w:w="2100" w:type="dxa"/>
            <w:vAlign w:val="bottom"/>
          </w:tcPr>
          <w:p>
            <w:pPr>
              <w:spacing w:after="0"/>
              <w:rPr>
                <w:sz w:val="14"/>
                <w:szCs w:val="14"/>
                <w:color w:val="auto"/>
              </w:rPr>
            </w:pPr>
          </w:p>
        </w:tc>
      </w:tr>
      <w:tr>
        <w:trPr>
          <w:trHeight w:val="162"/>
        </w:trPr>
        <w:tc>
          <w:tcPr>
            <w:tcW w:w="1680" w:type="dxa"/>
            <w:vAlign w:val="bottom"/>
            <w:tcBorders>
              <w:top w:val="single" w:sz="8" w:color="auto"/>
            </w:tcBorders>
          </w:tcPr>
          <w:p>
            <w:pPr>
              <w:spacing w:after="0"/>
              <w:rPr>
                <w:sz w:val="14"/>
                <w:szCs w:val="14"/>
                <w:color w:val="auto"/>
              </w:rPr>
            </w:pPr>
          </w:p>
        </w:tc>
        <w:tc>
          <w:tcPr>
            <w:tcW w:w="1940" w:type="dxa"/>
            <w:vAlign w:val="bottom"/>
          </w:tcPr>
          <w:p>
            <w:pPr>
              <w:spacing w:after="0"/>
              <w:rPr>
                <w:sz w:val="14"/>
                <w:szCs w:val="14"/>
                <w:color w:val="auto"/>
              </w:rPr>
            </w:pPr>
          </w:p>
        </w:tc>
        <w:tc>
          <w:tcPr>
            <w:tcW w:w="2080" w:type="dxa"/>
            <w:vAlign w:val="bottom"/>
            <w:tcBorders>
              <w:top w:val="single" w:sz="8" w:color="auto"/>
            </w:tcBorders>
          </w:tcPr>
          <w:p>
            <w:pPr>
              <w:jc w:val="center"/>
              <w:ind w:left="313"/>
              <w:spacing w:after="0"/>
              <w:rPr>
                <w:sz w:val="20"/>
                <w:szCs w:val="20"/>
                <w:color w:val="auto"/>
              </w:rPr>
            </w:pPr>
            <w:r>
              <w:rPr>
                <w:rFonts w:ascii="Arial" w:cs="Arial" w:eastAsia="Arial" w:hAnsi="Arial"/>
                <w:sz w:val="14"/>
                <w:szCs w:val="14"/>
                <w:b w:val="1"/>
                <w:bCs w:val="1"/>
                <w:color w:val="auto"/>
              </w:rPr>
              <w:t>PNNT</w:t>
            </w:r>
          </w:p>
        </w:tc>
        <w:tc>
          <w:tcPr>
            <w:tcW w:w="4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040" w:type="dxa"/>
            <w:vAlign w:val="bottom"/>
            <w:tcBorders>
              <w:top w:val="single" w:sz="8" w:color="auto"/>
            </w:tcBorders>
            <w:gridSpan w:val="3"/>
          </w:tcPr>
          <w:p>
            <w:pPr>
              <w:jc w:val="center"/>
              <w:ind w:right="580"/>
              <w:spacing w:after="0"/>
              <w:rPr>
                <w:sz w:val="20"/>
                <w:szCs w:val="20"/>
                <w:color w:val="auto"/>
              </w:rPr>
            </w:pPr>
            <w:r>
              <w:rPr>
                <w:rFonts w:ascii="Arial" w:cs="Arial" w:eastAsia="Arial" w:hAnsi="Arial"/>
                <w:sz w:val="14"/>
                <w:szCs w:val="14"/>
                <w:b w:val="1"/>
                <w:bCs w:val="1"/>
                <w:color w:val="auto"/>
                <w:w w:val="97"/>
              </w:rPr>
              <w:t>PFLT</w:t>
            </w:r>
          </w:p>
        </w:tc>
        <w:tc>
          <w:tcPr>
            <w:tcW w:w="2100" w:type="dxa"/>
            <w:vAlign w:val="bottom"/>
            <w:tcBorders>
              <w:top w:val="single" w:sz="8" w:color="auto"/>
            </w:tcBorders>
          </w:tcPr>
          <w:p>
            <w:pPr>
              <w:jc w:val="center"/>
              <w:ind w:right="333"/>
              <w:spacing w:after="0"/>
              <w:rPr>
                <w:sz w:val="20"/>
                <w:szCs w:val="20"/>
                <w:color w:val="auto"/>
              </w:rPr>
            </w:pPr>
            <w:r>
              <w:rPr>
                <w:rFonts w:ascii="Arial" w:cs="Arial" w:eastAsia="Arial" w:hAnsi="Arial"/>
                <w:sz w:val="14"/>
                <w:szCs w:val="14"/>
                <w:b w:val="1"/>
                <w:bCs w:val="1"/>
                <w:color w:val="auto"/>
                <w:w w:val="95"/>
              </w:rPr>
              <w:t>Total</w:t>
            </w:r>
          </w:p>
        </w:tc>
      </w:tr>
      <w:tr>
        <w:trPr>
          <w:trHeight w:val="223"/>
        </w:trPr>
        <w:tc>
          <w:tcPr>
            <w:tcW w:w="362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b w:val="1"/>
                <w:bCs w:val="1"/>
                <w:color w:val="auto"/>
              </w:rPr>
              <w:t>Independent directors</w:t>
            </w:r>
          </w:p>
        </w:tc>
        <w:tc>
          <w:tcPr>
            <w:tcW w:w="20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48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spacing w:after="0"/>
              <w:rPr>
                <w:sz w:val="19"/>
                <w:szCs w:val="19"/>
                <w:color w:val="auto"/>
              </w:rPr>
            </w:pPr>
          </w:p>
        </w:tc>
        <w:tc>
          <w:tcPr>
            <w:tcW w:w="2100" w:type="dxa"/>
            <w:vAlign w:val="bottom"/>
            <w:tcBorders>
              <w:top w:val="single" w:sz="8" w:color="auto"/>
            </w:tcBorders>
            <w:shd w:val="clear" w:color="auto" w:fill="CFF0FC"/>
          </w:tcPr>
          <w:p>
            <w:pPr>
              <w:spacing w:after="0"/>
              <w:rPr>
                <w:sz w:val="19"/>
                <w:szCs w:val="19"/>
                <w:color w:val="auto"/>
              </w:rPr>
            </w:pPr>
          </w:p>
        </w:tc>
      </w:tr>
      <w:tr>
        <w:trPr>
          <w:trHeight w:val="230"/>
        </w:trPr>
        <w:tc>
          <w:tcPr>
            <w:tcW w:w="3620" w:type="dxa"/>
            <w:vAlign w:val="bottom"/>
            <w:gridSpan w:val="2"/>
          </w:tcPr>
          <w:p>
            <w:pPr>
              <w:ind w:left="260"/>
              <w:spacing w:after="0"/>
              <w:rPr>
                <w:sz w:val="20"/>
                <w:szCs w:val="20"/>
                <w:color w:val="auto"/>
              </w:rPr>
            </w:pPr>
            <w:r>
              <w:rPr>
                <w:rFonts w:ascii="Arial" w:cs="Arial" w:eastAsia="Arial" w:hAnsi="Arial"/>
                <w:sz w:val="18"/>
                <w:szCs w:val="18"/>
                <w:color w:val="auto"/>
              </w:rPr>
              <w:t>Adam K. Bernstein</w:t>
            </w:r>
          </w:p>
        </w:tc>
        <w:tc>
          <w:tcPr>
            <w:tcW w:w="2080" w:type="dxa"/>
            <w:vAlign w:val="bottom"/>
          </w:tcPr>
          <w:p>
            <w:pPr>
              <w:jc w:val="center"/>
              <w:ind w:left="333"/>
              <w:spacing w:after="0"/>
              <w:rPr>
                <w:sz w:val="20"/>
                <w:szCs w:val="20"/>
                <w:color w:val="auto"/>
              </w:rPr>
            </w:pPr>
            <w:r>
              <w:rPr>
                <w:rFonts w:ascii="Arial" w:cs="Arial" w:eastAsia="Arial" w:hAnsi="Arial"/>
                <w:sz w:val="18"/>
                <w:szCs w:val="18"/>
                <w:color w:val="auto"/>
                <w:w w:val="90"/>
              </w:rPr>
              <w:t>$100,001 - $500,000</w:t>
            </w:r>
          </w:p>
        </w:tc>
        <w:tc>
          <w:tcPr>
            <w:tcW w:w="3060" w:type="dxa"/>
            <w:vAlign w:val="bottom"/>
            <w:gridSpan w:val="3"/>
          </w:tcPr>
          <w:p>
            <w:pPr>
              <w:jc w:val="right"/>
              <w:ind w:right="454"/>
              <w:spacing w:after="0"/>
              <w:rPr>
                <w:sz w:val="20"/>
                <w:szCs w:val="20"/>
                <w:color w:val="auto"/>
              </w:rPr>
            </w:pPr>
            <w:r>
              <w:rPr>
                <w:rFonts w:ascii="Arial" w:cs="Arial" w:eastAsia="Arial" w:hAnsi="Arial"/>
                <w:sz w:val="18"/>
                <w:szCs w:val="18"/>
                <w:color w:val="auto"/>
              </w:rPr>
              <w:t>$50,001 - $100,000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jc w:val="center"/>
              <w:ind w:right="313"/>
              <w:spacing w:after="0"/>
              <w:rPr>
                <w:sz w:val="20"/>
                <w:szCs w:val="20"/>
                <w:color w:val="auto"/>
              </w:rPr>
            </w:pPr>
            <w:r>
              <w:rPr>
                <w:rFonts w:ascii="Arial" w:cs="Arial" w:eastAsia="Arial" w:hAnsi="Arial"/>
                <w:sz w:val="18"/>
                <w:szCs w:val="18"/>
                <w:color w:val="auto"/>
                <w:w w:val="90"/>
              </w:rPr>
              <w:t>$100,001 - $500,000</w:t>
            </w:r>
          </w:p>
        </w:tc>
      </w:tr>
      <w:tr>
        <w:trPr>
          <w:trHeight w:val="230"/>
        </w:trPr>
        <w:tc>
          <w:tcPr>
            <w:tcW w:w="3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Marshall Brozost</w:t>
            </w:r>
          </w:p>
        </w:tc>
        <w:tc>
          <w:tcPr>
            <w:tcW w:w="2080" w:type="dxa"/>
            <w:vAlign w:val="bottom"/>
            <w:shd w:val="clear" w:color="auto" w:fill="CFF0FC"/>
          </w:tcPr>
          <w:p>
            <w:pPr>
              <w:jc w:val="center"/>
              <w:ind w:left="333"/>
              <w:spacing w:after="0"/>
              <w:rPr>
                <w:sz w:val="20"/>
                <w:szCs w:val="20"/>
                <w:color w:val="auto"/>
              </w:rPr>
            </w:pPr>
            <w:r>
              <w:rPr>
                <w:rFonts w:ascii="Arial" w:cs="Arial" w:eastAsia="Arial" w:hAnsi="Arial"/>
                <w:sz w:val="18"/>
                <w:szCs w:val="18"/>
                <w:color w:val="auto"/>
                <w:w w:val="90"/>
              </w:rPr>
              <w:t>$100,001 - $500,000</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40" w:type="dxa"/>
            <w:vAlign w:val="bottom"/>
            <w:gridSpan w:val="3"/>
            <w:shd w:val="clear" w:color="auto" w:fill="CFF0FC"/>
          </w:tcPr>
          <w:p>
            <w:pPr>
              <w:jc w:val="center"/>
              <w:ind w:right="580"/>
              <w:spacing w:after="0"/>
              <w:rPr>
                <w:sz w:val="20"/>
                <w:szCs w:val="20"/>
                <w:color w:val="auto"/>
              </w:rPr>
            </w:pPr>
            <w:r>
              <w:rPr>
                <w:rFonts w:ascii="Arial" w:cs="Arial" w:eastAsia="Arial" w:hAnsi="Arial"/>
                <w:sz w:val="18"/>
                <w:szCs w:val="18"/>
                <w:color w:val="auto"/>
                <w:w w:val="88"/>
              </w:rPr>
              <w:t>None</w:t>
            </w:r>
          </w:p>
        </w:tc>
        <w:tc>
          <w:tcPr>
            <w:tcW w:w="2100" w:type="dxa"/>
            <w:vAlign w:val="bottom"/>
            <w:shd w:val="clear" w:color="auto" w:fill="CFF0FC"/>
          </w:tcPr>
          <w:p>
            <w:pPr>
              <w:jc w:val="center"/>
              <w:ind w:right="313"/>
              <w:spacing w:after="0"/>
              <w:rPr>
                <w:sz w:val="20"/>
                <w:szCs w:val="20"/>
                <w:color w:val="auto"/>
              </w:rPr>
            </w:pPr>
            <w:r>
              <w:rPr>
                <w:rFonts w:ascii="Arial" w:cs="Arial" w:eastAsia="Arial" w:hAnsi="Arial"/>
                <w:sz w:val="18"/>
                <w:szCs w:val="18"/>
                <w:color w:val="auto"/>
                <w:w w:val="90"/>
              </w:rPr>
              <w:t>$100,001 - $500,000</w:t>
            </w:r>
          </w:p>
        </w:tc>
      </w:tr>
      <w:tr>
        <w:trPr>
          <w:trHeight w:val="230"/>
        </w:trPr>
        <w:tc>
          <w:tcPr>
            <w:tcW w:w="3620" w:type="dxa"/>
            <w:vAlign w:val="bottom"/>
            <w:gridSpan w:val="2"/>
          </w:tcPr>
          <w:p>
            <w:pPr>
              <w:ind w:left="260"/>
              <w:spacing w:after="0"/>
              <w:rPr>
                <w:sz w:val="20"/>
                <w:szCs w:val="20"/>
                <w:color w:val="auto"/>
              </w:rPr>
            </w:pPr>
            <w:r>
              <w:rPr>
                <w:rFonts w:ascii="Arial" w:cs="Arial" w:eastAsia="Arial" w:hAnsi="Arial"/>
                <w:sz w:val="18"/>
                <w:szCs w:val="18"/>
                <w:color w:val="auto"/>
              </w:rPr>
              <w:t>Jeffrey Flug</w:t>
            </w:r>
          </w:p>
        </w:tc>
        <w:tc>
          <w:tcPr>
            <w:tcW w:w="2080" w:type="dxa"/>
            <w:vAlign w:val="bottom"/>
          </w:tcPr>
          <w:p>
            <w:pPr>
              <w:jc w:val="center"/>
              <w:ind w:left="333"/>
              <w:spacing w:after="0"/>
              <w:rPr>
                <w:sz w:val="20"/>
                <w:szCs w:val="20"/>
                <w:color w:val="auto"/>
              </w:rPr>
            </w:pPr>
            <w:r>
              <w:rPr>
                <w:rFonts w:ascii="Arial" w:cs="Arial" w:eastAsia="Arial" w:hAnsi="Arial"/>
                <w:sz w:val="18"/>
                <w:szCs w:val="18"/>
                <w:color w:val="auto"/>
                <w:w w:val="90"/>
              </w:rPr>
              <w:t>Over $1,000,000</w:t>
            </w:r>
          </w:p>
        </w:tc>
        <w:tc>
          <w:tcPr>
            <w:tcW w:w="3060" w:type="dxa"/>
            <w:vAlign w:val="bottom"/>
            <w:gridSpan w:val="3"/>
          </w:tcPr>
          <w:p>
            <w:pPr>
              <w:jc w:val="right"/>
              <w:ind w:right="414"/>
              <w:spacing w:after="0"/>
              <w:rPr>
                <w:sz w:val="20"/>
                <w:szCs w:val="20"/>
                <w:color w:val="auto"/>
              </w:rPr>
            </w:pPr>
            <w:r>
              <w:rPr>
                <w:rFonts w:ascii="Arial" w:cs="Arial" w:eastAsia="Arial" w:hAnsi="Arial"/>
                <w:sz w:val="18"/>
                <w:szCs w:val="18"/>
                <w:color w:val="auto"/>
              </w:rPr>
              <w:t>$100,001 - $500,000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jc w:val="center"/>
              <w:ind w:right="313"/>
              <w:spacing w:after="0"/>
              <w:rPr>
                <w:sz w:val="20"/>
                <w:szCs w:val="20"/>
                <w:color w:val="auto"/>
              </w:rPr>
            </w:pPr>
            <w:r>
              <w:rPr>
                <w:rFonts w:ascii="Arial" w:cs="Arial" w:eastAsia="Arial" w:hAnsi="Arial"/>
                <w:sz w:val="18"/>
                <w:szCs w:val="18"/>
                <w:color w:val="auto"/>
                <w:w w:val="90"/>
              </w:rPr>
              <w:t>Over $1,000,000</w:t>
            </w:r>
          </w:p>
        </w:tc>
      </w:tr>
      <w:tr>
        <w:trPr>
          <w:trHeight w:val="230"/>
        </w:trPr>
        <w:tc>
          <w:tcPr>
            <w:tcW w:w="3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Samuel L. Katz</w:t>
            </w:r>
          </w:p>
        </w:tc>
        <w:tc>
          <w:tcPr>
            <w:tcW w:w="2080" w:type="dxa"/>
            <w:vAlign w:val="bottom"/>
            <w:shd w:val="clear" w:color="auto" w:fill="CFF0FC"/>
          </w:tcPr>
          <w:p>
            <w:pPr>
              <w:jc w:val="center"/>
              <w:ind w:left="333"/>
              <w:spacing w:after="0"/>
              <w:rPr>
                <w:sz w:val="20"/>
                <w:szCs w:val="20"/>
                <w:color w:val="auto"/>
              </w:rPr>
            </w:pPr>
            <w:r>
              <w:rPr>
                <w:rFonts w:ascii="Arial" w:cs="Arial" w:eastAsia="Arial" w:hAnsi="Arial"/>
                <w:sz w:val="18"/>
                <w:szCs w:val="18"/>
                <w:color w:val="auto"/>
                <w:w w:val="90"/>
              </w:rPr>
              <w:t>Over $1,000,000</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40" w:type="dxa"/>
            <w:vAlign w:val="bottom"/>
            <w:gridSpan w:val="3"/>
            <w:shd w:val="clear" w:color="auto" w:fill="CFF0FC"/>
          </w:tcPr>
          <w:p>
            <w:pPr>
              <w:jc w:val="center"/>
              <w:ind w:right="580"/>
              <w:spacing w:after="0"/>
              <w:rPr>
                <w:sz w:val="20"/>
                <w:szCs w:val="20"/>
                <w:color w:val="auto"/>
              </w:rPr>
            </w:pPr>
            <w:r>
              <w:rPr>
                <w:rFonts w:ascii="Arial" w:cs="Arial" w:eastAsia="Arial" w:hAnsi="Arial"/>
                <w:sz w:val="18"/>
                <w:szCs w:val="18"/>
                <w:color w:val="auto"/>
                <w:w w:val="90"/>
              </w:rPr>
              <w:t>Over $1,000,000</w:t>
            </w:r>
          </w:p>
        </w:tc>
        <w:tc>
          <w:tcPr>
            <w:tcW w:w="2100" w:type="dxa"/>
            <w:vAlign w:val="bottom"/>
            <w:shd w:val="clear" w:color="auto" w:fill="CFF0FC"/>
          </w:tcPr>
          <w:p>
            <w:pPr>
              <w:jc w:val="center"/>
              <w:ind w:right="313"/>
              <w:spacing w:after="0"/>
              <w:rPr>
                <w:sz w:val="20"/>
                <w:szCs w:val="20"/>
                <w:color w:val="auto"/>
              </w:rPr>
            </w:pPr>
            <w:r>
              <w:rPr>
                <w:rFonts w:ascii="Arial" w:cs="Arial" w:eastAsia="Arial" w:hAnsi="Arial"/>
                <w:sz w:val="18"/>
                <w:szCs w:val="18"/>
                <w:color w:val="auto"/>
                <w:w w:val="90"/>
              </w:rPr>
              <w:t>Over $1,000,000</w:t>
            </w:r>
          </w:p>
        </w:tc>
      </w:tr>
      <w:tr>
        <w:trPr>
          <w:trHeight w:val="230"/>
        </w:trPr>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100" w:type="dxa"/>
            <w:vAlign w:val="bottom"/>
          </w:tcPr>
          <w:p>
            <w:pPr>
              <w:spacing w:after="0"/>
              <w:rPr>
                <w:sz w:val="19"/>
                <w:szCs w:val="19"/>
                <w:color w:val="auto"/>
              </w:rPr>
            </w:pPr>
          </w:p>
        </w:tc>
      </w:tr>
      <w:tr>
        <w:trPr>
          <w:trHeight w:val="230"/>
        </w:trPr>
        <w:tc>
          <w:tcPr>
            <w:tcW w:w="36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Arthur H. Penn</w:t>
            </w:r>
            <w:r>
              <w:rPr>
                <w:rFonts w:ascii="Arial" w:cs="Arial" w:eastAsia="Arial" w:hAnsi="Arial"/>
                <w:sz w:val="15"/>
                <w:szCs w:val="15"/>
                <w:color w:val="auto"/>
              </w:rPr>
              <w:t>(2)</w:t>
            </w:r>
          </w:p>
        </w:tc>
        <w:tc>
          <w:tcPr>
            <w:tcW w:w="2080" w:type="dxa"/>
            <w:vAlign w:val="bottom"/>
            <w:shd w:val="clear" w:color="auto" w:fill="CFF0FC"/>
          </w:tcPr>
          <w:p>
            <w:pPr>
              <w:jc w:val="center"/>
              <w:ind w:left="333"/>
              <w:spacing w:after="0"/>
              <w:rPr>
                <w:sz w:val="20"/>
                <w:szCs w:val="20"/>
                <w:color w:val="auto"/>
              </w:rPr>
            </w:pPr>
            <w:r>
              <w:rPr>
                <w:rFonts w:ascii="Arial" w:cs="Arial" w:eastAsia="Arial" w:hAnsi="Arial"/>
                <w:sz w:val="18"/>
                <w:szCs w:val="18"/>
                <w:color w:val="auto"/>
                <w:w w:val="90"/>
              </w:rPr>
              <w:t>Over $1,000,000</w:t>
            </w:r>
          </w:p>
        </w:tc>
        <w:tc>
          <w:tcPr>
            <w:tcW w:w="4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40" w:type="dxa"/>
            <w:vAlign w:val="bottom"/>
            <w:gridSpan w:val="3"/>
            <w:shd w:val="clear" w:color="auto" w:fill="CFF0FC"/>
          </w:tcPr>
          <w:p>
            <w:pPr>
              <w:jc w:val="center"/>
              <w:ind w:right="580"/>
              <w:spacing w:after="0"/>
              <w:rPr>
                <w:sz w:val="20"/>
                <w:szCs w:val="20"/>
                <w:color w:val="auto"/>
              </w:rPr>
            </w:pPr>
            <w:r>
              <w:rPr>
                <w:rFonts w:ascii="Arial" w:cs="Arial" w:eastAsia="Arial" w:hAnsi="Arial"/>
                <w:sz w:val="18"/>
                <w:szCs w:val="18"/>
                <w:color w:val="auto"/>
                <w:w w:val="90"/>
              </w:rPr>
              <w:t>Over $1,000,000</w:t>
            </w:r>
          </w:p>
        </w:tc>
        <w:tc>
          <w:tcPr>
            <w:tcW w:w="2100" w:type="dxa"/>
            <w:vAlign w:val="bottom"/>
            <w:shd w:val="clear" w:color="auto" w:fill="CFF0FC"/>
          </w:tcPr>
          <w:p>
            <w:pPr>
              <w:jc w:val="center"/>
              <w:ind w:right="313"/>
              <w:spacing w:after="0"/>
              <w:rPr>
                <w:sz w:val="20"/>
                <w:szCs w:val="20"/>
                <w:color w:val="auto"/>
              </w:rPr>
            </w:pPr>
            <w:r>
              <w:rPr>
                <w:rFonts w:ascii="Arial" w:cs="Arial" w:eastAsia="Arial" w:hAnsi="Arial"/>
                <w:sz w:val="18"/>
                <w:szCs w:val="18"/>
                <w:color w:val="auto"/>
                <w:w w:val="90"/>
              </w:rPr>
              <w:t>Over $1,000,000</w:t>
            </w:r>
          </w:p>
        </w:tc>
      </w:tr>
    </w:tbl>
    <w:p>
      <w:pPr>
        <w:spacing w:after="0" w:line="229" w:lineRule="exact"/>
        <w:rPr>
          <w:sz w:val="20"/>
          <w:szCs w:val="20"/>
          <w:color w:val="auto"/>
        </w:rPr>
      </w:pPr>
    </w:p>
    <w:p>
      <w:pPr>
        <w:ind w:left="600" w:hanging="592"/>
        <w:spacing w:after="0"/>
        <w:tabs>
          <w:tab w:leader="none" w:pos="600" w:val="left"/>
        </w:tabs>
        <w:numPr>
          <w:ilvl w:val="0"/>
          <w:numId w:val="9"/>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46" w:lineRule="exact"/>
        <w:rPr>
          <w:rFonts w:ascii="Arial" w:cs="Arial" w:eastAsia="Arial" w:hAnsi="Arial"/>
          <w:sz w:val="16"/>
          <w:szCs w:val="16"/>
          <w:color w:val="auto"/>
        </w:rPr>
      </w:pPr>
    </w:p>
    <w:p>
      <w:pPr>
        <w:ind w:left="600" w:hanging="59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i w:val="1"/>
          <w:iCs w:val="1"/>
          <w:color w:val="auto"/>
        </w:rPr>
        <w:t>PROPOSAL 1: ELECTION OF DIRECTORS</w:t>
      </w:r>
    </w:p>
    <w:p>
      <w:pPr>
        <w:spacing w:after="0" w:line="225" w:lineRule="exact"/>
        <w:rPr>
          <w:sz w:val="20"/>
          <w:szCs w:val="20"/>
          <w:color w:val="auto"/>
        </w:rPr>
      </w:pPr>
    </w:p>
    <w:p>
      <w:pPr>
        <w:ind w:right="40" w:firstLine="598"/>
        <w:spacing w:after="0" w:line="259" w:lineRule="auto"/>
        <w:rPr>
          <w:sz w:val="20"/>
          <w:szCs w:val="20"/>
          <w:color w:val="auto"/>
        </w:rPr>
      </w:pPr>
      <w:r>
        <w:rPr>
          <w:rFonts w:ascii="Arial" w:cs="Arial" w:eastAsia="Arial" w:hAnsi="Arial"/>
          <w:sz w:val="18"/>
          <w:szCs w:val="18"/>
          <w:color w:val="auto"/>
        </w:rPr>
        <w:t>In accordance with its bylaws, each of the Companies currently has five members on its Board. Directors are divided into three classes and are elected for staggered terms of three years each, with a term of office of one of the three classes of directors expiring each year. Each director will hold office for the term to which he is elected and until a successor is duly elected and qualifies. After this election, the terms of Class I, II and III directors will expire as follows:</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81"/>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Companies</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Class I</w:t>
            </w:r>
          </w:p>
        </w:tc>
        <w:tc>
          <w:tcPr>
            <w:tcW w:w="12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Class II</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8"/>
              </w:rPr>
              <w:t>Class III</w:t>
            </w:r>
          </w:p>
        </w:tc>
      </w:tr>
      <w:tr>
        <w:trPr>
          <w:trHeight w:val="189"/>
        </w:trPr>
        <w:tc>
          <w:tcPr>
            <w:tcW w:w="700" w:type="dxa"/>
            <w:vAlign w:val="bottom"/>
            <w:tcBorders>
              <w:top w:val="single" w:sz="8" w:color="auto"/>
            </w:tcBorders>
          </w:tcPr>
          <w:p>
            <w:pPr>
              <w:spacing w:after="0"/>
              <w:rPr>
                <w:sz w:val="20"/>
                <w:szCs w:val="20"/>
                <w:color w:val="auto"/>
              </w:rPr>
            </w:pPr>
            <w:r>
              <w:rPr>
                <w:rFonts w:ascii="Arial" w:cs="Arial" w:eastAsia="Arial" w:hAnsi="Arial"/>
                <w:sz w:val="16"/>
                <w:szCs w:val="16"/>
                <w:color w:val="auto"/>
                <w:w w:val="73"/>
              </w:rPr>
              <w:t>PennantPark</w:t>
            </w:r>
          </w:p>
        </w:tc>
        <w:tc>
          <w:tcPr>
            <w:tcW w:w="4820" w:type="dxa"/>
            <w:vAlign w:val="bottom"/>
          </w:tcPr>
          <w:p>
            <w:pPr>
              <w:ind w:left="260"/>
              <w:spacing w:after="0" w:line="189" w:lineRule="exact"/>
              <w:rPr>
                <w:sz w:val="20"/>
                <w:szCs w:val="20"/>
                <w:color w:val="auto"/>
              </w:rPr>
            </w:pPr>
            <w:r>
              <w:rPr>
                <w:rFonts w:ascii="Arial" w:cs="Arial" w:eastAsia="Arial" w:hAnsi="Arial"/>
                <w:sz w:val="18"/>
                <w:szCs w:val="18"/>
                <w:color w:val="auto"/>
              </w:rPr>
              <w:t>Investment Corporation</w:t>
            </w:r>
          </w:p>
        </w:tc>
        <w:tc>
          <w:tcPr>
            <w:tcW w:w="11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2019</w:t>
            </w: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PennantPark Floating Rate Capital Ltd.</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2020</w:t>
            </w:r>
          </w:p>
        </w:tc>
      </w:tr>
    </w:tbl>
    <w:p>
      <w:pPr>
        <w:spacing w:after="0" w:line="202" w:lineRule="exact"/>
        <w:rPr>
          <w:sz w:val="20"/>
          <w:szCs w:val="20"/>
          <w:color w:val="auto"/>
        </w:rPr>
      </w:pPr>
    </w:p>
    <w:p>
      <w:pPr>
        <w:ind w:right="160" w:firstLine="598"/>
        <w:spacing w:after="0" w:line="279" w:lineRule="auto"/>
        <w:rPr>
          <w:sz w:val="20"/>
          <w:szCs w:val="20"/>
          <w:color w:val="auto"/>
        </w:rPr>
      </w:pPr>
      <w:r>
        <w:rPr>
          <w:rFonts w:ascii="Arial" w:cs="Arial" w:eastAsia="Arial" w:hAnsi="Arial"/>
          <w:sz w:val="17"/>
          <w:szCs w:val="17"/>
          <w:color w:val="auto"/>
        </w:rPr>
        <w:t>A Stockholder can vote for, or withhold his or her vote from, any nominee for his or her Company’s Board. In the absence of instructions to the contrary, it is the intention of the person named as proxy to vote such proxy FOR the election of each nominee named below. If a nominee should decline or be unable to serve as a director, it is intended that the proxy will be voted for the election of such person as is nominated by the relevant Board as a replacement. Neither Board has reason to believe that its nominee(s) will be unable or unwilling to serve.</w:t>
      </w:r>
    </w:p>
    <w:p>
      <w:pPr>
        <w:spacing w:after="0" w:line="167" w:lineRule="exact"/>
        <w:rPr>
          <w:sz w:val="20"/>
          <w:szCs w:val="20"/>
          <w:color w:val="auto"/>
        </w:rPr>
      </w:pPr>
    </w:p>
    <w:p>
      <w:pPr>
        <w:ind w:right="400" w:firstLine="598"/>
        <w:spacing w:after="0" w:line="282"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THE ELECTION OF THE NOMINEES NAMED IN THIS JOINT PROXY STATEMENT.</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Information about the Nominees and Directors</w:t>
      </w:r>
    </w:p>
    <w:p>
      <w:pPr>
        <w:spacing w:after="0" w:line="225" w:lineRule="exact"/>
        <w:rPr>
          <w:sz w:val="20"/>
          <w:szCs w:val="20"/>
          <w:color w:val="auto"/>
        </w:rPr>
      </w:pPr>
    </w:p>
    <w:p>
      <w:pPr>
        <w:ind w:right="120" w:firstLine="598"/>
        <w:spacing w:after="0" w:line="312" w:lineRule="auto"/>
        <w:rPr>
          <w:sz w:val="20"/>
          <w:szCs w:val="20"/>
          <w:color w:val="auto"/>
        </w:rPr>
      </w:pPr>
      <w:r>
        <w:rPr>
          <w:rFonts w:ascii="Arial" w:cs="Arial" w:eastAsia="Arial" w:hAnsi="Arial"/>
          <w:sz w:val="16"/>
          <w:szCs w:val="16"/>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each Company. The nominees currently serve as directors of each Company.</w:t>
      </w:r>
    </w:p>
    <w:p>
      <w:pPr>
        <w:spacing w:after="0" w:line="147" w:lineRule="exact"/>
        <w:rPr>
          <w:sz w:val="20"/>
          <w:szCs w:val="20"/>
          <w:color w:val="auto"/>
        </w:rPr>
      </w:pPr>
    </w:p>
    <w:p>
      <w:pPr>
        <w:ind w:firstLine="598"/>
        <w:spacing w:after="0" w:line="264" w:lineRule="auto"/>
        <w:rPr>
          <w:sz w:val="20"/>
          <w:szCs w:val="20"/>
          <w:color w:val="auto"/>
        </w:rPr>
      </w:pPr>
      <w:r>
        <w:rPr>
          <w:rFonts w:ascii="Arial" w:cs="Arial" w:eastAsia="Arial" w:hAnsi="Arial"/>
          <w:sz w:val="18"/>
          <w:szCs w:val="18"/>
          <w:color w:val="auto"/>
        </w:rPr>
        <w:t>Each of Mr. Adam Bernstein and Mr. Jeffrey Flug has been nominated for election as a Class II director of PNNT for a three-year term expiring in 2021. Neither Mr. Bernstein nor Mr. Flug is being proposed for election pursuant to any agreement or understanding between either Mr. Bernstein or Mr. Flug and PNNT.</w:t>
      </w:r>
    </w:p>
    <w:p>
      <w:pPr>
        <w:spacing w:after="0" w:line="181" w:lineRule="exact"/>
        <w:rPr>
          <w:sz w:val="20"/>
          <w:szCs w:val="20"/>
          <w:color w:val="auto"/>
        </w:rPr>
      </w:pPr>
    </w:p>
    <w:p>
      <w:pPr>
        <w:ind w:right="60" w:firstLine="598"/>
        <w:spacing w:after="0" w:line="264" w:lineRule="auto"/>
        <w:rPr>
          <w:sz w:val="20"/>
          <w:szCs w:val="20"/>
          <w:color w:val="auto"/>
        </w:rPr>
      </w:pPr>
      <w:r>
        <w:rPr>
          <w:rFonts w:ascii="Arial" w:cs="Arial" w:eastAsia="Arial" w:hAnsi="Arial"/>
          <w:sz w:val="18"/>
          <w:szCs w:val="18"/>
          <w:color w:val="auto"/>
        </w:rPr>
        <w:t>Each of Mr. Marshall Brozost and Mr. Samuel L. Katz has been nominated for election as a Class I director of PFLT for a three-year term expiring in 2021. Neither Mr. Brozost nor Mr. Katz is being proposed for election pursuant to any agreement or understanding between either Mr. Brozost or Mr. Katz and PFLT.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160" w:type="dxa"/>
            <w:vAlign w:val="bottom"/>
          </w:tcPr>
          <w:p>
            <w:pPr>
              <w:spacing w:after="0"/>
              <w:rPr>
                <w:sz w:val="12"/>
                <w:szCs w:val="12"/>
                <w:color w:val="auto"/>
              </w:rPr>
            </w:pPr>
          </w:p>
        </w:tc>
        <w:tc>
          <w:tcPr>
            <w:tcW w:w="4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Principal</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Position(s) held</w:t>
            </w: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7"/>
              </w:rPr>
              <w:t>Name, Address and Age</w:t>
            </w:r>
            <w:r>
              <w:rPr>
                <w:rFonts w:ascii="Arial" w:cs="Arial" w:eastAsia="Arial" w:hAnsi="Arial"/>
                <w:sz w:val="12"/>
                <w:szCs w:val="12"/>
                <w:b w:val="1"/>
                <w:bCs w:val="1"/>
                <w:color w:val="auto"/>
                <w:w w:val="97"/>
              </w:rPr>
              <w:t>(1)</w:t>
            </w:r>
          </w:p>
        </w:tc>
        <w:tc>
          <w:tcPr>
            <w:tcW w:w="1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 of Office and</w:t>
            </w:r>
          </w:p>
        </w:tc>
        <w:tc>
          <w:tcPr>
            <w:tcW w:w="160" w:type="dxa"/>
            <w:vAlign w:val="bottom"/>
          </w:tcPr>
          <w:p>
            <w:pPr>
              <w:spacing w:after="0"/>
              <w:rPr>
                <w:sz w:val="12"/>
                <w:szCs w:val="12"/>
                <w:color w:val="auto"/>
              </w:rPr>
            </w:pPr>
          </w:p>
        </w:tc>
        <w:tc>
          <w:tcPr>
            <w:tcW w:w="4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Occupation(s) During, at least, the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1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380"/>
              <w:spacing w:after="0"/>
              <w:rPr>
                <w:sz w:val="20"/>
                <w:szCs w:val="20"/>
                <w:color w:val="auto"/>
              </w:rPr>
            </w:pPr>
            <w:r>
              <w:rPr>
                <w:rFonts w:ascii="Arial" w:cs="Arial" w:eastAsia="Arial" w:hAnsi="Arial"/>
                <w:sz w:val="14"/>
                <w:szCs w:val="14"/>
                <w:b w:val="1"/>
                <w:bCs w:val="1"/>
                <w:color w:val="auto"/>
              </w:rPr>
              <w:t>with Company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Length of Time Served</w:t>
            </w:r>
          </w:p>
        </w:tc>
        <w:tc>
          <w:tcPr>
            <w:tcW w:w="160" w:type="dxa"/>
            <w:vAlign w:val="bottom"/>
          </w:tcPr>
          <w:p>
            <w:pPr>
              <w:spacing w:after="0"/>
              <w:rPr>
                <w:sz w:val="14"/>
                <w:szCs w:val="14"/>
                <w:color w:val="auto"/>
              </w:rPr>
            </w:pPr>
          </w:p>
        </w:tc>
        <w:tc>
          <w:tcPr>
            <w:tcW w:w="4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Past 5 Years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341"/>
        </w:trPr>
        <w:tc>
          <w:tcPr>
            <w:tcW w:w="18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Independent Directors</w:t>
            </w:r>
          </w:p>
        </w:tc>
        <w:tc>
          <w:tcPr>
            <w:tcW w:w="1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1880" w:type="dxa"/>
            <w:vAlign w:val="bottom"/>
          </w:tcPr>
          <w:p>
            <w:pPr>
              <w:spacing w:after="0"/>
              <w:rPr>
                <w:sz w:val="20"/>
                <w:szCs w:val="20"/>
                <w:color w:val="auto"/>
              </w:rPr>
            </w:pPr>
            <w:r>
              <w:rPr>
                <w:rFonts w:ascii="Arial" w:cs="Arial" w:eastAsia="Arial" w:hAnsi="Arial"/>
                <w:sz w:val="17"/>
                <w:szCs w:val="17"/>
                <w:color w:val="auto"/>
              </w:rPr>
              <w:t>Adam K. Bernstein (54)</w:t>
            </w: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r>
              <w:rPr>
                <w:rFonts w:ascii="Arial" w:cs="Arial" w:eastAsia="Arial" w:hAnsi="Arial"/>
                <w:sz w:val="17"/>
                <w:szCs w:val="17"/>
                <w:color w:val="auto"/>
              </w:rPr>
              <w:t>PNNT - Class II</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7"/>
              </w:rPr>
              <w:t>President of The Bernstein Companies, a Washington,</w:t>
            </w:r>
          </w:p>
        </w:tc>
        <w:tc>
          <w:tcPr>
            <w:tcW w:w="166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Nominee</w:t>
            </w: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2"/>
              </w:rPr>
              <w:t>D.C.-based real estate investment and development firm,</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February 2007;</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4"/>
              </w:rPr>
              <w:t>since 1995 and President and Chief Executive Officer of</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Term Expires, if</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Consortium Atlantic Realty Trust, Inc., a private real</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elected, 2021</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estate investment trust operating in the Mid-Atlantic</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vMerge w:val="restart"/>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3"/>
              </w:rPr>
              <w:t>region, from 2006. Also, Mr. Bernstein has served on the</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2040" w:type="dxa"/>
            <w:vAlign w:val="bottom"/>
            <w:gridSpan w:val="3"/>
            <w:vMerge w:val="continue"/>
          </w:tcPr>
          <w:p>
            <w:pPr>
              <w:spacing w:after="0"/>
              <w:rPr>
                <w:sz w:val="7"/>
                <w:szCs w:val="7"/>
                <w:color w:val="auto"/>
              </w:rPr>
            </w:pPr>
          </w:p>
        </w:tc>
        <w:tc>
          <w:tcPr>
            <w:tcW w:w="1680" w:type="dxa"/>
            <w:vAlign w:val="bottom"/>
            <w:vMerge w:val="restart"/>
          </w:tcPr>
          <w:p>
            <w:pPr>
              <w:spacing w:after="0"/>
              <w:rPr>
                <w:sz w:val="20"/>
                <w:szCs w:val="20"/>
                <w:color w:val="auto"/>
              </w:rPr>
            </w:pPr>
            <w:r>
              <w:rPr>
                <w:rFonts w:ascii="Arial" w:cs="Arial" w:eastAsia="Arial" w:hAnsi="Arial"/>
                <w:sz w:val="17"/>
                <w:szCs w:val="17"/>
                <w:color w:val="auto"/>
              </w:rPr>
              <w:t>PFLT - Class II</w:t>
            </w:r>
          </w:p>
        </w:tc>
        <w:tc>
          <w:tcPr>
            <w:tcW w:w="4160" w:type="dxa"/>
            <w:vAlign w:val="bottom"/>
            <w:gridSpan w:val="3"/>
            <w:vMerge w:val="restart"/>
          </w:tcPr>
          <w:p>
            <w:pPr>
              <w:ind w:left="160"/>
              <w:spacing w:after="0"/>
              <w:rPr>
                <w:sz w:val="20"/>
                <w:szCs w:val="20"/>
                <w:color w:val="auto"/>
              </w:rPr>
            </w:pPr>
            <w:r>
              <w:rPr>
                <w:rFonts w:ascii="Arial" w:cs="Arial" w:eastAsia="Arial" w:hAnsi="Arial"/>
                <w:sz w:val="17"/>
                <w:szCs w:val="17"/>
                <w:color w:val="auto"/>
                <w:w w:val="92"/>
              </w:rPr>
              <w:t>Board of Overseers of the School of Arts and Sciences at</w:t>
            </w: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1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vMerge w:val="continue"/>
          </w:tcPr>
          <w:p>
            <w:pPr>
              <w:spacing w:after="0"/>
              <w:rPr>
                <w:sz w:val="10"/>
                <w:szCs w:val="10"/>
                <w:color w:val="auto"/>
              </w:rPr>
            </w:pPr>
          </w:p>
        </w:tc>
        <w:tc>
          <w:tcPr>
            <w:tcW w:w="4160" w:type="dxa"/>
            <w:vAlign w:val="bottom"/>
            <w:gridSpan w:val="3"/>
            <w:vMerge w:val="continue"/>
          </w:tcPr>
          <w:p>
            <w:pPr>
              <w:spacing w:after="0"/>
              <w:rPr>
                <w:sz w:val="10"/>
                <w:szCs w:val="10"/>
                <w:color w:val="auto"/>
              </w:rPr>
            </w:pPr>
          </w:p>
        </w:tc>
        <w:tc>
          <w:tcPr>
            <w:tcW w:w="1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the University of Pennsylvania since 2012.</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October 2010;</w:t>
            </w:r>
          </w:p>
        </w:tc>
        <w:tc>
          <w:tcPr>
            <w:tcW w:w="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Term Expires 2019</w:t>
            </w:r>
          </w:p>
        </w:tc>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1880" w:type="dxa"/>
            <w:vAlign w:val="bottom"/>
          </w:tcPr>
          <w:p>
            <w:pPr>
              <w:spacing w:after="0"/>
              <w:rPr>
                <w:sz w:val="20"/>
                <w:szCs w:val="20"/>
                <w:color w:val="auto"/>
              </w:rPr>
            </w:pPr>
            <w:r>
              <w:rPr>
                <w:rFonts w:ascii="Arial" w:cs="Arial" w:eastAsia="Arial" w:hAnsi="Arial"/>
                <w:sz w:val="17"/>
                <w:szCs w:val="17"/>
                <w:color w:val="auto"/>
              </w:rPr>
              <w:t>Marshall Brozost (50)</w:t>
            </w: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r>
              <w:rPr>
                <w:rFonts w:ascii="Arial" w:cs="Arial" w:eastAsia="Arial" w:hAnsi="Arial"/>
                <w:sz w:val="17"/>
                <w:szCs w:val="17"/>
                <w:color w:val="auto"/>
              </w:rPr>
              <w:t>PNNT - Class I</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Partner at Orrick, Herrington &amp; Sutcliffe LLP, where</w:t>
            </w:r>
          </w:p>
        </w:tc>
        <w:tc>
          <w:tcPr>
            <w:tcW w:w="166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4"/>
              </w:rPr>
              <w:t>he practices in the real estate and private equity groups,</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February 2007;</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9"/>
              </w:rPr>
              <w:t>since July 2016. Prior to Orrick, Herrington &amp; Sutcliffe</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Term Expires 2020</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LLP Mr. Brozost practiced law at Schulte Roth &amp;</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Zabel from May 2012 to July 2016 and at Dewey &amp;</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r>
              <w:rPr>
                <w:rFonts w:ascii="Arial" w:cs="Arial" w:eastAsia="Arial" w:hAnsi="Arial"/>
                <w:sz w:val="17"/>
                <w:szCs w:val="17"/>
                <w:color w:val="auto"/>
              </w:rPr>
              <w:t>PFLT - Class I</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LeBoeuf LLP from 2005 to 2012.</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Nominee</w:t>
            </w: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October 2010;</w:t>
            </w:r>
          </w:p>
        </w:tc>
        <w:tc>
          <w:tcPr>
            <w:tcW w:w="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Term Expires, if</w:t>
            </w:r>
          </w:p>
        </w:tc>
        <w:tc>
          <w:tcPr>
            <w:tcW w:w="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elected, 2021</w:t>
            </w:r>
          </w:p>
        </w:tc>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1880" w:type="dxa"/>
            <w:vAlign w:val="bottom"/>
          </w:tcPr>
          <w:p>
            <w:pPr>
              <w:spacing w:after="0"/>
              <w:rPr>
                <w:sz w:val="20"/>
                <w:szCs w:val="20"/>
                <w:color w:val="auto"/>
              </w:rPr>
            </w:pPr>
            <w:r>
              <w:rPr>
                <w:rFonts w:ascii="Arial" w:cs="Arial" w:eastAsia="Arial" w:hAnsi="Arial"/>
                <w:sz w:val="17"/>
                <w:szCs w:val="17"/>
                <w:color w:val="auto"/>
              </w:rPr>
              <w:t>Jeffrey Flug (55)</w:t>
            </w: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r>
              <w:rPr>
                <w:rFonts w:ascii="Arial" w:cs="Arial" w:eastAsia="Arial" w:hAnsi="Arial"/>
                <w:sz w:val="17"/>
                <w:szCs w:val="17"/>
                <w:color w:val="auto"/>
              </w:rPr>
              <w:t>PNNT - Class II</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Mr. Flug was President of Union Square Hospitality</w:t>
            </w:r>
          </w:p>
        </w:tc>
        <w:tc>
          <w:tcPr>
            <w:tcW w:w="1660" w:type="dxa"/>
            <w:vAlign w:val="bottom"/>
          </w:tcPr>
          <w:p>
            <w:pPr>
              <w:jc w:val="center"/>
              <w:spacing w:after="0"/>
              <w:rPr>
                <w:sz w:val="20"/>
                <w:szCs w:val="20"/>
                <w:color w:val="auto"/>
              </w:rPr>
            </w:pPr>
            <w:r>
              <w:rPr>
                <w:rFonts w:ascii="Arial" w:cs="Arial" w:eastAsia="Arial" w:hAnsi="Arial"/>
                <w:sz w:val="17"/>
                <w:szCs w:val="17"/>
                <w:color w:val="auto"/>
                <w:w w:val="89"/>
              </w:rPr>
              <w:t>Shake Shack Inc, since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Nominee</w:t>
            </w: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7"/>
              </w:rPr>
              <w:t>Group, an exclusive chain of restaurants, from 2009 to</w:t>
            </w:r>
          </w:p>
        </w:tc>
        <w:tc>
          <w:tcPr>
            <w:tcW w:w="1660" w:type="dxa"/>
            <w:vAlign w:val="bottom"/>
          </w:tcPr>
          <w:p>
            <w:pPr>
              <w:jc w:val="center"/>
              <w:spacing w:after="0"/>
              <w:rPr>
                <w:sz w:val="20"/>
                <w:szCs w:val="20"/>
                <w:color w:val="auto"/>
              </w:rPr>
            </w:pPr>
            <w:r>
              <w:rPr>
                <w:rFonts w:ascii="Arial" w:cs="Arial" w:eastAsia="Arial" w:hAnsi="Arial"/>
                <w:sz w:val="17"/>
                <w:szCs w:val="17"/>
                <w:color w:val="auto"/>
                <w:w w:val="87"/>
              </w:rPr>
              <w:t>September 2014; Sears</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February 2007;</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7"/>
              </w:rPr>
              <w:t>June 2015. Mr. Flug served as Chief Executive Officer</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Hometown and Outlet</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Term Expires, if</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and Executive Director of Millennium Promise</w:t>
            </w:r>
          </w:p>
        </w:tc>
        <w:tc>
          <w:tcPr>
            <w:tcW w:w="1660" w:type="dxa"/>
            <w:vAlign w:val="bottom"/>
          </w:tcPr>
          <w:p>
            <w:pPr>
              <w:jc w:val="center"/>
              <w:spacing w:after="0"/>
              <w:rPr>
                <w:sz w:val="20"/>
                <w:szCs w:val="20"/>
                <w:color w:val="auto"/>
              </w:rPr>
            </w:pPr>
            <w:r>
              <w:rPr>
                <w:rFonts w:ascii="Arial" w:cs="Arial" w:eastAsia="Arial" w:hAnsi="Arial"/>
                <w:sz w:val="17"/>
                <w:szCs w:val="17"/>
                <w:color w:val="auto"/>
                <w:w w:val="92"/>
              </w:rPr>
              <w:t>Stores, Inc., from</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elected, 2021</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8"/>
              </w:rPr>
              <w:t>Alliance, Inc., a non-profit organization whose mission</w:t>
            </w:r>
          </w:p>
        </w:tc>
        <w:tc>
          <w:tcPr>
            <w:tcW w:w="1660" w:type="dxa"/>
            <w:vAlign w:val="bottom"/>
          </w:tcPr>
          <w:p>
            <w:pPr>
              <w:jc w:val="center"/>
              <w:spacing w:after="0"/>
              <w:rPr>
                <w:sz w:val="20"/>
                <w:szCs w:val="20"/>
                <w:color w:val="auto"/>
              </w:rPr>
            </w:pPr>
            <w:r>
              <w:rPr>
                <w:rFonts w:ascii="Arial" w:cs="Arial" w:eastAsia="Arial" w:hAnsi="Arial"/>
                <w:sz w:val="17"/>
                <w:szCs w:val="17"/>
                <w:color w:val="auto"/>
                <w:w w:val="91"/>
              </w:rPr>
              <w:t>October 2012 to</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is to eradicate extreme global poverty, from 2006 to</w:t>
            </w:r>
          </w:p>
        </w:tc>
        <w:tc>
          <w:tcPr>
            <w:tcW w:w="1660" w:type="dxa"/>
            <w:vAlign w:val="bottom"/>
          </w:tcPr>
          <w:p>
            <w:pPr>
              <w:jc w:val="center"/>
              <w:spacing w:after="0"/>
              <w:rPr>
                <w:sz w:val="20"/>
                <w:szCs w:val="20"/>
                <w:color w:val="auto"/>
              </w:rPr>
            </w:pPr>
            <w:r>
              <w:rPr>
                <w:rFonts w:ascii="Arial" w:cs="Arial" w:eastAsia="Arial" w:hAnsi="Arial"/>
                <w:sz w:val="17"/>
                <w:szCs w:val="17"/>
                <w:color w:val="auto"/>
                <w:w w:val="88"/>
              </w:rPr>
              <w:t>September 2015.</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r>
              <w:rPr>
                <w:rFonts w:ascii="Arial" w:cs="Arial" w:eastAsia="Arial" w:hAnsi="Arial"/>
                <w:sz w:val="17"/>
                <w:szCs w:val="17"/>
                <w:color w:val="auto"/>
              </w:rPr>
              <w:t>PFLT - Class II</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2008. From 2000 to 2006, Mr. Flug was a Managing</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Director and Head of North American Institutional</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October 2010;</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Sales at JP Morgan’s Investment Bank.</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Term Expires 2019</w:t>
            </w:r>
          </w:p>
        </w:tc>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1880" w:type="dxa"/>
            <w:vAlign w:val="bottom"/>
          </w:tcPr>
          <w:p>
            <w:pPr>
              <w:spacing w:after="0"/>
              <w:rPr>
                <w:sz w:val="20"/>
                <w:szCs w:val="20"/>
                <w:color w:val="auto"/>
              </w:rPr>
            </w:pPr>
            <w:r>
              <w:rPr>
                <w:rFonts w:ascii="Arial" w:cs="Arial" w:eastAsia="Arial" w:hAnsi="Arial"/>
                <w:sz w:val="17"/>
                <w:szCs w:val="17"/>
                <w:color w:val="auto"/>
              </w:rPr>
              <w:t>Samuel L. Katz (52)</w:t>
            </w: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r>
              <w:rPr>
                <w:rFonts w:ascii="Arial" w:cs="Arial" w:eastAsia="Arial" w:hAnsi="Arial"/>
                <w:sz w:val="17"/>
                <w:szCs w:val="17"/>
                <w:color w:val="auto"/>
              </w:rPr>
              <w:t>PNNT - Class I</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8"/>
              </w:rPr>
              <w:t>Managing Partner of TZP Group LLC, a private equity</w:t>
            </w:r>
          </w:p>
        </w:tc>
        <w:tc>
          <w:tcPr>
            <w:tcW w:w="1660" w:type="dxa"/>
            <w:vAlign w:val="bottom"/>
          </w:tcPr>
          <w:p>
            <w:pPr>
              <w:jc w:val="center"/>
              <w:spacing w:after="0"/>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9"/>
              </w:rPr>
              <w:t>fund, since 2007. Before joining TZP Group, Mr. Katz</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February 2007;</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8"/>
              </w:rPr>
              <w:t>was Chief Executive Officer of MacAndrews &amp; Forbes</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Term Expires 2020</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Acquisition Holdings, Inc. from 2006 to 2007. Prior to</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that position, Mr. Katz was Chairman and Chief</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r>
              <w:rPr>
                <w:rFonts w:ascii="Arial" w:cs="Arial" w:eastAsia="Arial" w:hAnsi="Arial"/>
                <w:sz w:val="17"/>
                <w:szCs w:val="17"/>
                <w:color w:val="auto"/>
              </w:rPr>
              <w:t>PFLT - Class I</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Executive Officer of the Cendant Travel Distribution</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Nominee</w:t>
            </w: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Services Division from 2001 to 2005.</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October 2010;</w:t>
            </w:r>
          </w:p>
        </w:tc>
        <w:tc>
          <w:tcPr>
            <w:tcW w:w="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Term Expires, if</w:t>
            </w:r>
          </w:p>
        </w:tc>
        <w:tc>
          <w:tcPr>
            <w:tcW w:w="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elected, 2021</w:t>
            </w:r>
          </w:p>
        </w:tc>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0"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Directorships</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Company,</w:t>
            </w:r>
          </w:p>
        </w:tc>
        <w:tc>
          <w:tcPr>
            <w:tcW w:w="160" w:type="dxa"/>
            <w:vAlign w:val="bottom"/>
          </w:tcPr>
          <w:p>
            <w:pPr>
              <w:spacing w:after="0"/>
              <w:rPr>
                <w:sz w:val="12"/>
                <w:szCs w:val="12"/>
                <w:color w:val="auto"/>
              </w:rPr>
            </w:pPr>
          </w:p>
        </w:tc>
        <w:tc>
          <w:tcPr>
            <w:tcW w:w="40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Principal</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Held by Director</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Position(s) held</w:t>
            </w:r>
          </w:p>
        </w:tc>
        <w:tc>
          <w:tcPr>
            <w:tcW w:w="1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000" w:type="dxa"/>
            <w:vAlign w:val="bottom"/>
            <w:gridSpan w:val="2"/>
            <w:vMerge w:val="continue"/>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or Nominee for</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7"/>
              </w:rPr>
              <w:t>Name, Address and Age</w:t>
            </w:r>
            <w:r>
              <w:rPr>
                <w:rFonts w:ascii="Arial" w:cs="Arial" w:eastAsia="Arial" w:hAnsi="Arial"/>
                <w:sz w:val="12"/>
                <w:szCs w:val="12"/>
                <w:b w:val="1"/>
                <w:bCs w:val="1"/>
                <w:color w:val="auto"/>
                <w:w w:val="97"/>
              </w:rPr>
              <w:t>(1)</w:t>
            </w:r>
          </w:p>
        </w:tc>
        <w:tc>
          <w:tcPr>
            <w:tcW w:w="180" w:type="dxa"/>
            <w:vAlign w:val="bottom"/>
          </w:tcPr>
          <w:p>
            <w:pPr>
              <w:spacing w:after="0"/>
              <w:rPr>
                <w:sz w:val="12"/>
                <w:szCs w:val="12"/>
                <w:color w:val="auto"/>
              </w:rPr>
            </w:pPr>
          </w:p>
        </w:tc>
        <w:tc>
          <w:tcPr>
            <w:tcW w:w="1860" w:type="dxa"/>
            <w:vAlign w:val="bottom"/>
            <w:gridSpan w:val="2"/>
            <w:vMerge w:val="continue"/>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Term of Office and</w:t>
            </w:r>
          </w:p>
        </w:tc>
        <w:tc>
          <w:tcPr>
            <w:tcW w:w="160" w:type="dxa"/>
            <w:vAlign w:val="bottom"/>
          </w:tcPr>
          <w:p>
            <w:pPr>
              <w:spacing w:after="0"/>
              <w:rPr>
                <w:sz w:val="12"/>
                <w:szCs w:val="12"/>
                <w:color w:val="auto"/>
              </w:rPr>
            </w:pPr>
          </w:p>
        </w:tc>
        <w:tc>
          <w:tcPr>
            <w:tcW w:w="4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Occupation(s) During, at least, the</w:t>
            </w:r>
          </w:p>
        </w:tc>
        <w:tc>
          <w:tcPr>
            <w:tcW w:w="1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Director During</w:t>
            </w:r>
          </w:p>
        </w:tc>
        <w:tc>
          <w:tcPr>
            <w:tcW w:w="0" w:type="dxa"/>
            <w:vAlign w:val="bottom"/>
          </w:tcPr>
          <w:p>
            <w:pPr>
              <w:spacing w:after="0"/>
              <w:rPr>
                <w:sz w:val="1"/>
                <w:szCs w:val="1"/>
                <w:color w:val="auto"/>
              </w:rPr>
            </w:pPr>
          </w:p>
        </w:tc>
      </w:tr>
      <w:tr>
        <w:trPr>
          <w:trHeight w:val="171"/>
        </w:trPr>
        <w:tc>
          <w:tcPr>
            <w:tcW w:w="18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ind w:left="380"/>
              <w:spacing w:after="0"/>
              <w:rPr>
                <w:sz w:val="20"/>
                <w:szCs w:val="20"/>
                <w:color w:val="auto"/>
              </w:rPr>
            </w:pPr>
            <w:r>
              <w:rPr>
                <w:rFonts w:ascii="Arial" w:cs="Arial" w:eastAsia="Arial" w:hAnsi="Arial"/>
                <w:sz w:val="14"/>
                <w:szCs w:val="14"/>
                <w:b w:val="1"/>
                <w:bCs w:val="1"/>
                <w:color w:val="auto"/>
              </w:rPr>
              <w:t>with Company</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Length of Time Served</w:t>
            </w:r>
          </w:p>
        </w:tc>
        <w:tc>
          <w:tcPr>
            <w:tcW w:w="160" w:type="dxa"/>
            <w:vAlign w:val="bottom"/>
          </w:tcPr>
          <w:p>
            <w:pPr>
              <w:spacing w:after="0"/>
              <w:rPr>
                <w:sz w:val="14"/>
                <w:szCs w:val="14"/>
                <w:color w:val="auto"/>
              </w:rPr>
            </w:pPr>
          </w:p>
        </w:tc>
        <w:tc>
          <w:tcPr>
            <w:tcW w:w="4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Past 5 Years</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1"/>
              </w:rPr>
              <w:t>the Past 5 Years</w:t>
            </w:r>
            <w:r>
              <w:rPr>
                <w:rFonts w:ascii="Arial" w:cs="Arial" w:eastAsia="Arial" w:hAnsi="Arial"/>
                <w:sz w:val="12"/>
                <w:szCs w:val="12"/>
                <w:b w:val="1"/>
                <w:bCs w:val="1"/>
                <w:color w:val="auto"/>
                <w:w w:val="91"/>
              </w:rPr>
              <w:t>(2)</w:t>
            </w:r>
          </w:p>
        </w:tc>
        <w:tc>
          <w:tcPr>
            <w:tcW w:w="0" w:type="dxa"/>
            <w:vAlign w:val="bottom"/>
          </w:tcPr>
          <w:p>
            <w:pPr>
              <w:spacing w:after="0"/>
              <w:rPr>
                <w:sz w:val="1"/>
                <w:szCs w:val="1"/>
                <w:color w:val="auto"/>
              </w:rPr>
            </w:pPr>
          </w:p>
        </w:tc>
      </w:tr>
      <w:tr>
        <w:trPr>
          <w:trHeight w:val="341"/>
        </w:trPr>
        <w:tc>
          <w:tcPr>
            <w:tcW w:w="188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Interested Director</w:t>
            </w:r>
          </w:p>
        </w:tc>
        <w:tc>
          <w:tcPr>
            <w:tcW w:w="1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1880" w:type="dxa"/>
            <w:vAlign w:val="bottom"/>
          </w:tcPr>
          <w:p>
            <w:pPr>
              <w:spacing w:after="0" w:line="159" w:lineRule="exact"/>
              <w:rPr>
                <w:sz w:val="20"/>
                <w:szCs w:val="20"/>
                <w:color w:val="auto"/>
              </w:rPr>
            </w:pPr>
            <w:r>
              <w:rPr>
                <w:rFonts w:ascii="Arial" w:cs="Arial" w:eastAsia="Arial" w:hAnsi="Arial"/>
                <w:sz w:val="17"/>
                <w:szCs w:val="17"/>
                <w:color w:val="auto"/>
              </w:rPr>
              <w:t>Arthur H. Penn (54)</w:t>
            </w:r>
          </w:p>
        </w:tc>
        <w:tc>
          <w:tcPr>
            <w:tcW w:w="2040" w:type="dxa"/>
            <w:vAlign w:val="bottom"/>
            <w:gridSpan w:val="3"/>
          </w:tcPr>
          <w:p>
            <w:pPr>
              <w:ind w:left="180"/>
              <w:spacing w:after="0" w:line="159" w:lineRule="exact"/>
              <w:rPr>
                <w:sz w:val="20"/>
                <w:szCs w:val="20"/>
                <w:color w:val="auto"/>
              </w:rPr>
            </w:pPr>
            <w:r>
              <w:rPr>
                <w:rFonts w:ascii="Arial" w:cs="Arial" w:eastAsia="Arial" w:hAnsi="Arial"/>
                <w:sz w:val="17"/>
                <w:szCs w:val="17"/>
                <w:color w:val="auto"/>
              </w:rPr>
              <w:t>Director</w:t>
            </w:r>
          </w:p>
        </w:tc>
        <w:tc>
          <w:tcPr>
            <w:tcW w:w="1680" w:type="dxa"/>
            <w:vAlign w:val="bottom"/>
          </w:tcPr>
          <w:p>
            <w:pPr>
              <w:spacing w:after="0" w:line="159" w:lineRule="exact"/>
              <w:rPr>
                <w:sz w:val="20"/>
                <w:szCs w:val="20"/>
                <w:color w:val="auto"/>
              </w:rPr>
            </w:pPr>
            <w:r>
              <w:rPr>
                <w:rFonts w:ascii="Arial" w:cs="Arial" w:eastAsia="Arial" w:hAnsi="Arial"/>
                <w:sz w:val="17"/>
                <w:szCs w:val="17"/>
                <w:color w:val="auto"/>
              </w:rPr>
              <w:t>PNNT - Class III</w:t>
            </w:r>
          </w:p>
        </w:tc>
        <w:tc>
          <w:tcPr>
            <w:tcW w:w="4160" w:type="dxa"/>
            <w:vAlign w:val="bottom"/>
            <w:gridSpan w:val="3"/>
          </w:tcPr>
          <w:p>
            <w:pPr>
              <w:ind w:left="160"/>
              <w:spacing w:after="0" w:line="159" w:lineRule="exact"/>
              <w:rPr>
                <w:sz w:val="20"/>
                <w:szCs w:val="20"/>
                <w:color w:val="auto"/>
              </w:rPr>
            </w:pPr>
            <w:r>
              <w:rPr>
                <w:rFonts w:ascii="Arial" w:cs="Arial" w:eastAsia="Arial" w:hAnsi="Arial"/>
                <w:sz w:val="17"/>
                <w:szCs w:val="17"/>
                <w:color w:val="auto"/>
              </w:rPr>
              <w:t>Founder, Chairman and Chief Executive Officer of</w:t>
            </w:r>
          </w:p>
        </w:tc>
        <w:tc>
          <w:tcPr>
            <w:tcW w:w="1660" w:type="dxa"/>
            <w:vAlign w:val="bottom"/>
          </w:tcPr>
          <w:p>
            <w:pPr>
              <w:jc w:val="center"/>
              <w:spacing w:after="0" w:line="159" w:lineRule="exact"/>
              <w:rPr>
                <w:sz w:val="20"/>
                <w:szCs w:val="20"/>
                <w:color w:val="auto"/>
              </w:rPr>
            </w:pPr>
            <w:r>
              <w:rPr>
                <w:rFonts w:ascii="Arial" w:cs="Arial" w:eastAsia="Arial" w:hAnsi="Arial"/>
                <w:sz w:val="17"/>
                <w:szCs w:val="17"/>
                <w:color w:val="auto"/>
                <w:w w:val="88"/>
              </w:rPr>
              <w:t>None.</w:t>
            </w:r>
          </w:p>
        </w:tc>
        <w:tc>
          <w:tcPr>
            <w:tcW w:w="0" w:type="dxa"/>
            <w:vAlign w:val="bottom"/>
          </w:tcPr>
          <w:p>
            <w:pPr>
              <w:spacing w:after="0"/>
              <w:rPr>
                <w:sz w:val="1"/>
                <w:szCs w:val="1"/>
                <w:color w:val="auto"/>
              </w:rPr>
            </w:pPr>
          </w:p>
        </w:tc>
      </w:tr>
      <w:tr>
        <w:trPr>
          <w:trHeight w:val="179"/>
        </w:trPr>
        <w:tc>
          <w:tcPr>
            <w:tcW w:w="1880" w:type="dxa"/>
            <w:vAlign w:val="bottom"/>
          </w:tcPr>
          <w:p>
            <w:pPr>
              <w:jc w:val="right"/>
              <w:ind w:right="241"/>
              <w:spacing w:after="0"/>
              <w:rPr>
                <w:sz w:val="20"/>
                <w:szCs w:val="20"/>
                <w:color w:val="auto"/>
              </w:rPr>
            </w:pPr>
            <w:r>
              <w:rPr>
                <w:rFonts w:ascii="Arial" w:cs="Arial" w:eastAsia="Arial" w:hAnsi="Arial"/>
                <w:sz w:val="15"/>
                <w:szCs w:val="15"/>
                <w:color w:val="auto"/>
              </w:rPr>
              <w:t>(3)</w:t>
            </w: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PNNT and of PFLT from their inception in 2007 and</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Chief Executive</w:t>
            </w:r>
          </w:p>
        </w:tc>
        <w:tc>
          <w:tcPr>
            <w:tcW w:w="1680" w:type="dxa"/>
            <w:vAlign w:val="bottom"/>
          </w:tcPr>
          <w:p>
            <w:pPr>
              <w:spacing w:after="0"/>
              <w:rPr>
                <w:sz w:val="20"/>
                <w:szCs w:val="20"/>
                <w:color w:val="auto"/>
              </w:rPr>
            </w:pPr>
            <w:r>
              <w:rPr>
                <w:rFonts w:ascii="Arial" w:cs="Arial" w:eastAsia="Arial" w:hAnsi="Arial"/>
                <w:sz w:val="17"/>
                <w:szCs w:val="17"/>
                <w:color w:val="auto"/>
              </w:rPr>
              <w:t>February 2007;</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2010, respectively. Mr. Penn also is the Founder and</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Officer and</w:t>
            </w:r>
          </w:p>
        </w:tc>
        <w:tc>
          <w:tcPr>
            <w:tcW w:w="1680" w:type="dxa"/>
            <w:vAlign w:val="bottom"/>
          </w:tcPr>
          <w:p>
            <w:pPr>
              <w:spacing w:after="0"/>
              <w:rPr>
                <w:sz w:val="20"/>
                <w:szCs w:val="20"/>
                <w:color w:val="auto"/>
              </w:rPr>
            </w:pPr>
            <w:r>
              <w:rPr>
                <w:rFonts w:ascii="Arial" w:cs="Arial" w:eastAsia="Arial" w:hAnsi="Arial"/>
                <w:sz w:val="17"/>
                <w:szCs w:val="17"/>
                <w:color w:val="auto"/>
              </w:rPr>
              <w:t>Term Expires 2019</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Managing Member of the Adviser. Before founding</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Chairman of the</w:t>
            </w: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PNNT, Mr. Penn was the Co-Founder of Apollo</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Board of</w:t>
            </w: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Investment Management, where he was a Managing</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Directors</w:t>
            </w: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Partner from 2004 to 2006. He also served as Chief</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Operating Officer of Apollo Investment Corporation</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PFLT - Class III</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5"/>
              </w:rPr>
              <w:t>from inception in 2004 to 2006 and served as President</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w:t>
            </w:r>
          </w:p>
        </w:tc>
        <w:tc>
          <w:tcPr>
            <w:tcW w:w="1680" w:type="dxa"/>
            <w:vAlign w:val="bottom"/>
          </w:tcPr>
          <w:p>
            <w:pPr>
              <w:spacing w:after="0"/>
              <w:rPr>
                <w:sz w:val="20"/>
                <w:szCs w:val="20"/>
                <w:color w:val="auto"/>
              </w:rPr>
            </w:pPr>
            <w:r>
              <w:rPr>
                <w:rFonts w:ascii="Arial" w:cs="Arial" w:eastAsia="Arial" w:hAnsi="Arial"/>
                <w:sz w:val="17"/>
                <w:szCs w:val="17"/>
                <w:color w:val="auto"/>
              </w:rPr>
              <w:t>Director since</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w w:val="99"/>
              </w:rPr>
              <w:t>and Chief Operating Officer in 2006. He formerly was</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20"/>
                <w:szCs w:val="20"/>
                <w:color w:val="auto"/>
              </w:rPr>
            </w:pPr>
            <w:r>
              <w:rPr>
                <w:rFonts w:ascii="Arial" w:cs="Arial" w:eastAsia="Arial" w:hAnsi="Arial"/>
                <w:sz w:val="17"/>
                <w:szCs w:val="17"/>
                <w:color w:val="auto"/>
              </w:rPr>
              <w:t>October 2010;</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a Managing Partner of Apollo Value Fund L.P.</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Chief Executive</w:t>
            </w:r>
          </w:p>
        </w:tc>
        <w:tc>
          <w:tcPr>
            <w:tcW w:w="1680" w:type="dxa"/>
            <w:vAlign w:val="bottom"/>
          </w:tcPr>
          <w:p>
            <w:pPr>
              <w:spacing w:after="0"/>
              <w:rPr>
                <w:sz w:val="20"/>
                <w:szCs w:val="20"/>
                <w:color w:val="auto"/>
              </w:rPr>
            </w:pPr>
            <w:r>
              <w:rPr>
                <w:rFonts w:ascii="Arial" w:cs="Arial" w:eastAsia="Arial" w:hAnsi="Arial"/>
                <w:sz w:val="17"/>
                <w:szCs w:val="17"/>
                <w:color w:val="auto"/>
              </w:rPr>
              <w:t>Term Expires 2020</w:t>
            </w: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(formerly Apollo Distressed Investment Fund, L.P.)</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Officer and</w:t>
            </w:r>
          </w:p>
        </w:tc>
        <w:tc>
          <w:tcPr>
            <w:tcW w:w="1680" w:type="dxa"/>
            <w:vAlign w:val="bottom"/>
          </w:tcPr>
          <w:p>
            <w:pPr>
              <w:spacing w:after="0"/>
              <w:rPr>
                <w:sz w:val="17"/>
                <w:szCs w:val="17"/>
                <w:color w:val="auto"/>
              </w:rPr>
            </w:pPr>
          </w:p>
        </w:tc>
        <w:tc>
          <w:tcPr>
            <w:tcW w:w="4160" w:type="dxa"/>
            <w:vAlign w:val="bottom"/>
            <w:gridSpan w:val="3"/>
          </w:tcPr>
          <w:p>
            <w:pPr>
              <w:ind w:left="160"/>
              <w:spacing w:after="0"/>
              <w:rPr>
                <w:sz w:val="20"/>
                <w:szCs w:val="20"/>
                <w:color w:val="auto"/>
              </w:rPr>
            </w:pPr>
            <w:r>
              <w:rPr>
                <w:rFonts w:ascii="Arial" w:cs="Arial" w:eastAsia="Arial" w:hAnsi="Arial"/>
                <w:sz w:val="17"/>
                <w:szCs w:val="17"/>
                <w:color w:val="auto"/>
              </w:rPr>
              <w:t>from 2003 to 2006.</w:t>
            </w: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Chairman of the</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tcPr>
          <w:p>
            <w:pPr>
              <w:spacing w:after="0"/>
              <w:rPr>
                <w:sz w:val="17"/>
                <w:szCs w:val="17"/>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Board of</w:t>
            </w:r>
          </w:p>
        </w:tc>
        <w:tc>
          <w:tcPr>
            <w:tcW w:w="1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80" w:type="dxa"/>
            <w:vAlign w:val="bottom"/>
          </w:tcPr>
          <w:p>
            <w:pPr>
              <w:spacing w:after="0"/>
              <w:rPr>
                <w:sz w:val="18"/>
                <w:szCs w:val="18"/>
                <w:color w:val="auto"/>
              </w:rPr>
            </w:pPr>
          </w:p>
        </w:tc>
        <w:tc>
          <w:tcPr>
            <w:tcW w:w="2040" w:type="dxa"/>
            <w:vAlign w:val="bottom"/>
            <w:gridSpan w:val="3"/>
          </w:tcPr>
          <w:p>
            <w:pPr>
              <w:ind w:left="180"/>
              <w:spacing w:after="0"/>
              <w:rPr>
                <w:sz w:val="20"/>
                <w:szCs w:val="20"/>
                <w:color w:val="auto"/>
              </w:rPr>
            </w:pPr>
            <w:r>
              <w:rPr>
                <w:rFonts w:ascii="Arial" w:cs="Arial" w:eastAsia="Arial" w:hAnsi="Arial"/>
                <w:sz w:val="17"/>
                <w:szCs w:val="17"/>
                <w:color w:val="auto"/>
              </w:rPr>
              <w:t>Directors</w:t>
            </w: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address for each officer and director is c/o PennantPark, 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 director otherwise serves as a director of an investment company subject to the 1940 Act.</w:t>
      </w:r>
    </w:p>
    <w:p>
      <w:pPr>
        <w:spacing w:after="0" w:line="9" w:lineRule="exact"/>
        <w:rPr>
          <w:rFonts w:ascii="Arial" w:cs="Arial" w:eastAsia="Arial" w:hAnsi="Arial"/>
          <w:sz w:val="18"/>
          <w:szCs w:val="18"/>
          <w:color w:val="auto"/>
        </w:rPr>
      </w:pPr>
    </w:p>
    <w:p>
      <w:pPr>
        <w:ind w:left="600" w:hanging="59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Mr. Penn is an interested director due to his position as an officer of each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Corporate Governance</w:t>
      </w:r>
    </w:p>
    <w:p>
      <w:pPr>
        <w:spacing w:after="0" w:line="225" w:lineRule="exact"/>
        <w:rPr>
          <w:sz w:val="20"/>
          <w:szCs w:val="20"/>
          <w:color w:val="auto"/>
        </w:rPr>
      </w:pPr>
    </w:p>
    <w:p>
      <w:pPr>
        <w:jc w:val="both"/>
        <w:ind w:right="60" w:firstLine="598"/>
        <w:spacing w:after="0" w:line="264" w:lineRule="auto"/>
        <w:rPr>
          <w:sz w:val="20"/>
          <w:szCs w:val="20"/>
          <w:color w:val="auto"/>
        </w:rPr>
      </w:pPr>
      <w:r>
        <w:rPr>
          <w:rFonts w:ascii="Arial" w:cs="Arial" w:eastAsia="Arial" w:hAnsi="Arial"/>
          <w:sz w:val="18"/>
          <w:szCs w:val="18"/>
          <w:color w:val="auto"/>
        </w:rPr>
        <w:t>Each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225" w:lineRule="exact"/>
        <w:rPr>
          <w:sz w:val="20"/>
          <w:szCs w:val="20"/>
          <w:color w:val="auto"/>
        </w:rPr>
      </w:pPr>
    </w:p>
    <w:p>
      <w:pPr>
        <w:ind w:right="40" w:firstLine="598"/>
        <w:spacing w:after="0" w:line="288" w:lineRule="auto"/>
        <w:rPr>
          <w:sz w:val="20"/>
          <w:szCs w:val="20"/>
          <w:color w:val="auto"/>
        </w:rPr>
      </w:pPr>
      <w:r>
        <w:rPr>
          <w:rFonts w:ascii="Arial" w:cs="Arial" w:eastAsia="Arial" w:hAnsi="Arial"/>
          <w:sz w:val="16"/>
          <w:szCs w:val="16"/>
          <w:color w:val="auto"/>
        </w:rPr>
        <w:t>NASDAQ corporate governance rules require listed companies to have a board of directors with at least a majority of independent directors. Under NASDAQ corporate governance rules, in order for a director to be deemed independent, the Board of each Company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Companies’ Boards in determining whether the director is independent under NASDAQ corporate governance rules, the 1940 Act and applicable corporate governance guidelines. Each Board has determined that each of its directors, other than Mr. Penn, is independent under the applicable listing standards of the NASDAQ Global Select Market and the New York Stock Exchange and under the Exchange Act and the 1940 Act. Each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Each Board limits membership on its Audit Committee, its Nominating and Corporate Governance Committee and its Compensation Committee to Independent Directors.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i w:val="1"/>
          <w:iCs w:val="1"/>
          <w:color w:val="auto"/>
        </w:rPr>
        <w:t>Boards’ Oversight Role in Management</w:t>
      </w:r>
    </w:p>
    <w:p>
      <w:pPr>
        <w:spacing w:after="0" w:line="225"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Each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81" w:lineRule="exact"/>
        <w:rPr>
          <w:sz w:val="20"/>
          <w:szCs w:val="20"/>
          <w:color w:val="auto"/>
        </w:rPr>
      </w:pPr>
    </w:p>
    <w:p>
      <w:pPr>
        <w:ind w:right="60" w:firstLine="598"/>
        <w:spacing w:after="0" w:line="269" w:lineRule="auto"/>
        <w:rPr>
          <w:sz w:val="20"/>
          <w:szCs w:val="20"/>
          <w:color w:val="auto"/>
        </w:rPr>
      </w:pPr>
      <w:r>
        <w:rPr>
          <w:rFonts w:ascii="Arial" w:cs="Arial" w:eastAsia="Arial" w:hAnsi="Arial"/>
          <w:sz w:val="17"/>
          <w:szCs w:val="17"/>
          <w:color w:val="auto"/>
        </w:rPr>
        <w:t>As described below in more detail under “Audit Committees”, “Nominating and Corporate Governance Committees”, and “Compensation Committees”, each Board’s Audit Committee, Nominating and Corporate Governance Committee and Compensation Committee assist the Board in fulfilling its risk oversight responsibilities. Each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Each Nominating and Corporate Governance Committee’s risk oversight responsibilities include selecting, researching and nominating directors for election by the Company’s Stockholders, developing and recommending to its Board a set of corporate governance principles and overseeing the evaluation of the Board and the Company’s management. Each Compensation Committee’s risk oversight responsibilities include determining, or recommending to its Board for determining, the compensation of the Company’s chief executive officer and all other executive officers, paid directly by the Company, if any, and assisting its Board with matters related to compensation, as directed by each Board. Each of the Audit Committee, Nominating and Corporate Governance Committee and Compensation Committee consists solely of Independent Directors.</w:t>
      </w:r>
    </w:p>
    <w:p>
      <w:pPr>
        <w:spacing w:after="0" w:line="180" w:lineRule="exact"/>
        <w:rPr>
          <w:sz w:val="20"/>
          <w:szCs w:val="20"/>
          <w:color w:val="auto"/>
        </w:rPr>
      </w:pPr>
    </w:p>
    <w:p>
      <w:pPr>
        <w:ind w:right="80" w:firstLine="598"/>
        <w:spacing w:after="0" w:line="271" w:lineRule="auto"/>
        <w:rPr>
          <w:sz w:val="20"/>
          <w:szCs w:val="20"/>
          <w:color w:val="auto"/>
        </w:rPr>
      </w:pPr>
      <w:r>
        <w:rPr>
          <w:rFonts w:ascii="Arial" w:cs="Arial" w:eastAsia="Arial" w:hAnsi="Arial"/>
          <w:sz w:val="17"/>
          <w:szCs w:val="17"/>
          <w:color w:val="auto"/>
        </w:rPr>
        <w:t>Each Board also performs its risk oversight responsibilities with the assistance of a CCO, who is the same individual for both Companies. The Companies’ CCO prepares a written report annually discussing the adequacy and effectiveness of the compliance policies and procedures of the Companies and certain of their service providers. The CCO’s report, which is reviewed by the Boards, addresses, at a minimum: (1) the operation of the compliance policies and procedures of the Companies and certain of their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Boards would reasonably need to know to oversee the Companies’ compliance activities and risks. In addition, the CCO meets separately in executive session with the Independent Directors at least once each year and presents quarterly reports to the Boards.</w:t>
      </w:r>
    </w:p>
    <w:p>
      <w:pPr>
        <w:spacing w:after="0" w:line="179" w:lineRule="exact"/>
        <w:rPr>
          <w:sz w:val="20"/>
          <w:szCs w:val="20"/>
          <w:color w:val="auto"/>
        </w:rPr>
      </w:pPr>
    </w:p>
    <w:p>
      <w:pPr>
        <w:ind w:right="60" w:firstLine="598"/>
        <w:spacing w:after="0" w:line="293" w:lineRule="auto"/>
        <w:rPr>
          <w:sz w:val="20"/>
          <w:szCs w:val="20"/>
          <w:color w:val="auto"/>
        </w:rPr>
      </w:pPr>
      <w:r>
        <w:rPr>
          <w:rFonts w:ascii="Arial" w:cs="Arial" w:eastAsia="Arial" w:hAnsi="Arial"/>
          <w:sz w:val="16"/>
          <w:szCs w:val="16"/>
          <w:color w:val="auto"/>
        </w:rPr>
        <w:t>Each Company believes that its Board’s role in risk oversight is effective and appropriate given the extensive regulation to which it is already subject as a business development company. Specifically, as a business development company, each Company must comply with certain regulatory requirements that control the levels of risk in its business and operations. For example, the ability of each Company to incur indebtedness is limited by the asset coverage ratio set forth in the 1940 Act (as modified by any exemptive relief granted by the SEC) and each Company generally must invest at least 70% of its total assets in “qualifying assets.” Each Company also has elected to be treated as a regulated investment company (a “RIC”) under Subchapter M of the Internal Revenue Code of 1986, as amended. As a RIC, each Company must, among other things, meet certain income source and asset diversification requirements.</w:t>
      </w:r>
    </w:p>
    <w:p>
      <w:pPr>
        <w:spacing w:after="0" w:line="165" w:lineRule="exact"/>
        <w:rPr>
          <w:sz w:val="20"/>
          <w:szCs w:val="20"/>
          <w:color w:val="auto"/>
        </w:rPr>
      </w:pPr>
    </w:p>
    <w:p>
      <w:pPr>
        <w:ind w:firstLine="598"/>
        <w:spacing w:after="0" w:line="255" w:lineRule="auto"/>
        <w:rPr>
          <w:sz w:val="20"/>
          <w:szCs w:val="20"/>
          <w:color w:val="auto"/>
        </w:rPr>
      </w:pPr>
      <w:r>
        <w:rPr>
          <w:rFonts w:ascii="Arial" w:cs="Arial" w:eastAsia="Arial" w:hAnsi="Arial"/>
          <w:sz w:val="18"/>
          <w:szCs w:val="18"/>
          <w:color w:val="auto"/>
        </w:rPr>
        <w:t>Each Company believes that the extent of its Board’s and its committees’ roles in risk oversight complements the Board’s leadership structure. Because they are comprised solely of Independent Directors, the Audit Committees, the Nominating and Corporate Governance Committees and Compensation Committees are able to exercise their oversight responsibilities without any conflict of interest that might discourage critical questioning and review. Through regular executive session meetings with the Companies’ independent registered public accounting firm, their CCO and their Chief Executive Officer, the Independent Directors have similarly established direct communication and oversight channels that the Boards believe foster open communication and early detection of issues of concern.</w:t>
      </w:r>
    </w:p>
    <w:p>
      <w:pPr>
        <w:spacing w:after="0" w:line="193" w:lineRule="exact"/>
        <w:rPr>
          <w:sz w:val="20"/>
          <w:szCs w:val="20"/>
          <w:color w:val="auto"/>
        </w:rPr>
      </w:pPr>
    </w:p>
    <w:p>
      <w:pPr>
        <w:ind w:right="600" w:firstLine="598"/>
        <w:spacing w:after="0" w:line="277" w:lineRule="auto"/>
        <w:rPr>
          <w:sz w:val="20"/>
          <w:szCs w:val="20"/>
          <w:color w:val="auto"/>
        </w:rPr>
      </w:pPr>
      <w:r>
        <w:rPr>
          <w:rFonts w:ascii="Arial" w:cs="Arial" w:eastAsia="Arial" w:hAnsi="Arial"/>
          <w:sz w:val="18"/>
          <w:szCs w:val="18"/>
          <w:color w:val="auto"/>
        </w:rPr>
        <w:t>Each Company believes that its Board’s role in risk oversight must be evaluated on a case by case basis and that the current configuration and allocation of responsibilities among the Board and its committees with respect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2" w:name="page13"/>
    <w:bookmarkEnd w:id="12"/>
    <w:p>
      <w:pPr>
        <w:spacing w:after="0" w:line="308" w:lineRule="auto"/>
        <w:rPr>
          <w:sz w:val="20"/>
          <w:szCs w:val="20"/>
          <w:color w:val="auto"/>
        </w:rPr>
      </w:pPr>
      <w:r>
        <w:rPr>
          <w:rFonts w:ascii="Arial" w:cs="Arial" w:eastAsia="Arial" w:hAnsi="Arial"/>
          <w:sz w:val="17"/>
          <w:szCs w:val="17"/>
          <w:color w:val="auto"/>
        </w:rPr>
        <w:t>the oversight of risk is appropriate. However, each Board and its committees continually re-examine the manner in which they administer their respective risk oversight functions, including through formal annual assessments of performance, to ensure that they meet their Company’s needs.</w:t>
      </w:r>
    </w:p>
    <w:p>
      <w:pPr>
        <w:spacing w:after="0" w:line="25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Boards’ Composition and Leadership Structure</w:t>
      </w:r>
    </w:p>
    <w:p>
      <w:pPr>
        <w:spacing w:after="0" w:line="225"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The 1940 Act requires that at least a majority of each Company’s directors not be “interested persons” (as defined in the 1940 Act) of the Company. Currently, four of the five directors on each Board are Independent Directors; however, the Chairman of the Boards is an interested person of each Company. The Independent Directors believe that the combined position of Chief Executive Officer of the Companies and Chairman of the Boards of the Companies results in greater efficiencies in managing the Companies, by eliminating the need to transfer substantial information quickly and repeatedly between the Chief Executive Officer and the Chairman, and the ability to capitalize on the specialized knowledge acquired from the duties of the roles. The Boards have not identified a lead Independent Director; however, each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Information about Each Director’s Experience, Qualifications, Attributes or Skills</w:t>
      </w:r>
    </w:p>
    <w:p>
      <w:pPr>
        <w:spacing w:after="0" w:line="225" w:lineRule="exact"/>
        <w:rPr>
          <w:sz w:val="20"/>
          <w:szCs w:val="20"/>
          <w:color w:val="auto"/>
        </w:rPr>
      </w:pPr>
    </w:p>
    <w:p>
      <w:pPr>
        <w:ind w:right="80" w:firstLine="598"/>
        <w:spacing w:after="0" w:line="269" w:lineRule="auto"/>
        <w:rPr>
          <w:sz w:val="20"/>
          <w:szCs w:val="20"/>
          <w:color w:val="auto"/>
        </w:rPr>
      </w:pPr>
      <w:r>
        <w:rPr>
          <w:rFonts w:ascii="Arial" w:cs="Arial" w:eastAsia="Arial" w:hAnsi="Arial"/>
          <w:sz w:val="17"/>
          <w:szCs w:val="17"/>
          <w:color w:val="auto"/>
        </w:rPr>
        <w:t>Each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each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Each Board believes that its members satisfy this standard. Experience relevant to having this ability may be achieved through a director’s educational background, business or professional training or practice (</w:t>
      </w:r>
      <w:r>
        <w:rPr>
          <w:rFonts w:ascii="Arial" w:cs="Arial" w:eastAsia="Arial" w:hAnsi="Arial"/>
          <w:sz w:val="17"/>
          <w:szCs w:val="17"/>
          <w:i w:val="1"/>
          <w:iCs w:val="1"/>
          <w:color w:val="auto"/>
        </w:rPr>
        <w:t>e.g</w:t>
      </w:r>
      <w:r>
        <w:rPr>
          <w:rFonts w:ascii="Arial" w:cs="Arial" w:eastAsia="Arial" w:hAnsi="Arial"/>
          <w:sz w:val="17"/>
          <w:szCs w:val="17"/>
          <w:color w:val="auto"/>
        </w:rPr>
        <w:t>., finance, accounting or law), public service or academic positions, experience from service as a board member (including the Boards of the Companies)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Companies’ counsel. Both the Independent Directors’ and the Companies’ counsels have significant experience advising funds and fund board members. Each of the Boards and its committees has the ability to engage other experts as appropriate. Each Board evaluates its performance on an annual basis.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Role of the Chairman and Chief Executive Officer</w:t>
      </w:r>
    </w:p>
    <w:p>
      <w:pPr>
        <w:spacing w:after="0" w:line="117" w:lineRule="exact"/>
        <w:rPr>
          <w:sz w:val="20"/>
          <w:szCs w:val="20"/>
          <w:color w:val="auto"/>
        </w:rPr>
      </w:pPr>
    </w:p>
    <w:p>
      <w:pPr>
        <w:ind w:right="20" w:firstLine="598"/>
        <w:spacing w:after="0" w:line="259" w:lineRule="auto"/>
        <w:rPr>
          <w:sz w:val="20"/>
          <w:szCs w:val="20"/>
          <w:color w:val="auto"/>
        </w:rPr>
      </w:pPr>
      <w:r>
        <w:rPr>
          <w:rFonts w:ascii="Arial" w:cs="Arial" w:eastAsia="Arial" w:hAnsi="Arial"/>
          <w:sz w:val="18"/>
          <w:szCs w:val="18"/>
          <w:color w:val="auto"/>
        </w:rPr>
        <w:t>As Chairman of each Board and Chief Executive Officer of each Company, Mr. Penn assumes a leading role in strategic planning and supports major transaction initiatives of the Companies. Mr. Penn also manages the day-to-day operations of the Companies, with the support of the other investment professionals and officers. As Chief Executive Officer, Mr. Penn has general responsibility for the implementation of the policies of the Companies, as determined by the Boards, and for the management of the business and affairs of the Companies.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Experience, Qualifications, Attributes and/or Skills that Led to the Boards’ Conclusion that such Members Should Serve as Directors of the Companies</w:t>
      </w:r>
    </w:p>
    <w:p>
      <w:pPr>
        <w:spacing w:after="0" w:line="129" w:lineRule="exact"/>
        <w:rPr>
          <w:sz w:val="20"/>
          <w:szCs w:val="20"/>
          <w:color w:val="auto"/>
        </w:rPr>
      </w:pPr>
    </w:p>
    <w:p>
      <w:pPr>
        <w:ind w:right="20" w:firstLine="598"/>
        <w:spacing w:after="0" w:line="279" w:lineRule="auto"/>
        <w:rPr>
          <w:sz w:val="20"/>
          <w:szCs w:val="20"/>
          <w:color w:val="auto"/>
        </w:rPr>
      </w:pPr>
      <w:r>
        <w:rPr>
          <w:rFonts w:ascii="Arial" w:cs="Arial" w:eastAsia="Arial" w:hAnsi="Arial"/>
          <w:sz w:val="17"/>
          <w:szCs w:val="17"/>
          <w:color w:val="auto"/>
        </w:rPr>
        <w:t>Each Board believes that, collectively, the directors have balanced and diverse experience, qualifications, attributes and skills, which allow the Board to operate effectively in governing the Company and protecting the interests of its Stockholders. Below is additional information about each director (supplementing the information provided in the table above) that describes some of the specific experiences, qualifications, attributes and/or skills that each director possesses, and which each Board believes has prepared each director to be an effective director.</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Arthur H. Penn</w:t>
      </w:r>
    </w:p>
    <w:p>
      <w:pPr>
        <w:spacing w:after="0" w:line="117" w:lineRule="exact"/>
        <w:rPr>
          <w:sz w:val="20"/>
          <w:szCs w:val="20"/>
          <w:color w:val="auto"/>
        </w:rPr>
      </w:pPr>
    </w:p>
    <w:p>
      <w:pPr>
        <w:ind w:firstLine="598"/>
        <w:spacing w:after="0" w:line="284" w:lineRule="auto"/>
        <w:rPr>
          <w:sz w:val="20"/>
          <w:szCs w:val="20"/>
          <w:color w:val="auto"/>
        </w:rPr>
      </w:pPr>
      <w:r>
        <w:rPr>
          <w:rFonts w:ascii="Arial" w:cs="Arial" w:eastAsia="Arial" w:hAnsi="Arial"/>
          <w:sz w:val="16"/>
          <w:szCs w:val="16"/>
          <w:color w:val="auto"/>
        </w:rPr>
        <w:t>Each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Companies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Companies and Managing Member of the Adviser and the Administrator provide him with a specific and valuable understanding of the Companies, their operations and the business and regulatory issues facing them.</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Adam K. Bernstein</w:t>
      </w:r>
    </w:p>
    <w:p>
      <w:pPr>
        <w:spacing w:after="0" w:line="117" w:lineRule="exact"/>
        <w:rPr>
          <w:sz w:val="20"/>
          <w:szCs w:val="20"/>
          <w:color w:val="auto"/>
        </w:rPr>
      </w:pPr>
    </w:p>
    <w:p>
      <w:pPr>
        <w:ind w:firstLine="598"/>
        <w:spacing w:after="0" w:line="273" w:lineRule="auto"/>
        <w:rPr>
          <w:sz w:val="20"/>
          <w:szCs w:val="20"/>
          <w:color w:val="auto"/>
        </w:rPr>
      </w:pPr>
      <w:r>
        <w:rPr>
          <w:rFonts w:ascii="Arial" w:cs="Arial" w:eastAsia="Arial" w:hAnsi="Arial"/>
          <w:sz w:val="17"/>
          <w:szCs w:val="17"/>
          <w:color w:val="auto"/>
        </w:rPr>
        <w:t>Mr. Bernstein brings to the Boards 30 years of experience at a real estate development, investment and management business in the Mid-Atlantic region of the United States. Mr. Bernstein affords the Boards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Marshall Brozost</w:t>
      </w:r>
    </w:p>
    <w:p>
      <w:pPr>
        <w:spacing w:after="0" w:line="117" w:lineRule="exact"/>
        <w:rPr>
          <w:sz w:val="20"/>
          <w:szCs w:val="20"/>
          <w:color w:val="auto"/>
        </w:rPr>
      </w:pPr>
    </w:p>
    <w:p>
      <w:pPr>
        <w:ind w:firstLine="598"/>
        <w:spacing w:after="0" w:line="257" w:lineRule="auto"/>
        <w:rPr>
          <w:sz w:val="20"/>
          <w:szCs w:val="20"/>
          <w:color w:val="auto"/>
        </w:rPr>
      </w:pPr>
      <w:r>
        <w:rPr>
          <w:rFonts w:ascii="Arial" w:cs="Arial" w:eastAsia="Arial" w:hAnsi="Arial"/>
          <w:sz w:val="18"/>
          <w:szCs w:val="18"/>
          <w:color w:val="auto"/>
        </w:rPr>
        <w:t>Mr. Brozost brings to the Boards 22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from Dewey &amp; LeBoeuf LLP from 2005 to 2012, at Solomon &amp; Weinberg LLP from 2004 to 2005 and at O’Melveny &amp; Myers LLP from 2001 to 2004. Mr. Brozost also served as a Vice President of Nomura Asset Capital Corporation from 1997 through 2000.</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Jeffrey Flug</w:t>
      </w:r>
    </w:p>
    <w:p>
      <w:pPr>
        <w:spacing w:after="0" w:line="117"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Mr. Flug brings to the Boards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Samuel L Katz</w:t>
      </w:r>
    </w:p>
    <w:p>
      <w:pPr>
        <w:spacing w:after="0" w:line="117" w:lineRule="exact"/>
        <w:rPr>
          <w:sz w:val="20"/>
          <w:szCs w:val="20"/>
          <w:color w:val="auto"/>
        </w:rPr>
      </w:pPr>
    </w:p>
    <w:p>
      <w:pPr>
        <w:jc w:val="both"/>
        <w:ind w:right="160" w:firstLine="598"/>
        <w:spacing w:after="0" w:line="264" w:lineRule="auto"/>
        <w:rPr>
          <w:sz w:val="20"/>
          <w:szCs w:val="20"/>
          <w:color w:val="auto"/>
        </w:rPr>
      </w:pPr>
      <w:r>
        <w:rPr>
          <w:rFonts w:ascii="Arial" w:cs="Arial" w:eastAsia="Arial" w:hAnsi="Arial"/>
          <w:sz w:val="18"/>
          <w:szCs w:val="18"/>
          <w:color w:val="auto"/>
        </w:rPr>
        <w:t>Mr. Katz brings to the Boards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4" w:name="page15"/>
    <w:bookmarkEnd w:id="14"/>
    <w:p>
      <w:pPr>
        <w:ind w:right="180"/>
        <w:spacing w:after="0" w:line="297" w:lineRule="auto"/>
        <w:rPr>
          <w:sz w:val="20"/>
          <w:szCs w:val="20"/>
          <w:color w:val="auto"/>
        </w:rPr>
      </w:pPr>
      <w:r>
        <w:rPr>
          <w:rFonts w:ascii="Arial" w:cs="Arial" w:eastAsia="Arial" w:hAnsi="Arial"/>
          <w:sz w:val="16"/>
          <w:szCs w:val="16"/>
          <w:color w:val="auto"/>
        </w:rPr>
        <w:t>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Committees of the Boards</w:t>
      </w:r>
    </w:p>
    <w:p>
      <w:pPr>
        <w:spacing w:after="0" w:line="225" w:lineRule="exact"/>
        <w:rPr>
          <w:sz w:val="20"/>
          <w:szCs w:val="20"/>
          <w:color w:val="auto"/>
        </w:rPr>
      </w:pPr>
    </w:p>
    <w:p>
      <w:pPr>
        <w:ind w:right="20" w:firstLine="598"/>
        <w:spacing w:after="0" w:line="272" w:lineRule="auto"/>
        <w:rPr>
          <w:sz w:val="20"/>
          <w:szCs w:val="20"/>
          <w:color w:val="auto"/>
        </w:rPr>
      </w:pPr>
      <w:r>
        <w:rPr>
          <w:rFonts w:ascii="Arial" w:cs="Arial" w:eastAsia="Arial" w:hAnsi="Arial"/>
          <w:sz w:val="17"/>
          <w:szCs w:val="17"/>
          <w:color w:val="auto"/>
        </w:rPr>
        <w:t>Each Board has established an Audit Committee, a Nominating and Corporate Governance Committee and a Compensation Committee. For the fiscal year ended September 30, 2017, the Board of PNNT held five board meetings, four Audit Committee meetings, one Nominating and Corporate Governance Committee meeting and one Compensation Committee meeting and the Board of PFLT held six board meetings, four Audit Committee meetings, one Nominating and Corporate Governance Committee meeting and one Compensation Committee meeting. All directors attended at least 75% of the aggregate number of meetings of the respective Board and of the respective committees on which they served. The Companies require each director to make a diligent effort to attend all Board and committee meetings, and encourage directors to attend the Companies’ joint annual stockholders’ meetings. Last year, three members of each Board attended the joint annual stockholders’ meeting.</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w:t>
      </w:r>
    </w:p>
    <w:p>
      <w:pPr>
        <w:spacing w:after="0" w:line="121" w:lineRule="exact"/>
        <w:rPr>
          <w:sz w:val="20"/>
          <w:szCs w:val="20"/>
          <w:color w:val="auto"/>
        </w:rPr>
      </w:pPr>
    </w:p>
    <w:p>
      <w:pPr>
        <w:ind w:firstLine="598"/>
        <w:spacing w:after="0" w:line="286" w:lineRule="auto"/>
        <w:rPr>
          <w:sz w:val="20"/>
          <w:szCs w:val="20"/>
          <w:color w:val="auto"/>
        </w:rPr>
      </w:pPr>
      <w:r>
        <w:rPr>
          <w:rFonts w:ascii="Arial" w:cs="Arial" w:eastAsia="Arial" w:hAnsi="Arial"/>
          <w:sz w:val="16"/>
          <w:szCs w:val="16"/>
          <w:color w:val="auto"/>
        </w:rPr>
        <w:t>The members of the Audit Committee of each Company are Messrs. Bernstein, Brozost, Flug and Katz, each of whom is independent for purposes of the 1940 Act and the NASDAQ corporate governance rules. Messrs. Flug and Katz serve as Co-Chairmen of the Audit Committees. Each Audit Committee operates pursuant to a separate Audit Committee Charter approved by its Board. Each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their quarterly reports on Form 10-Q; pre-approving the auditors’ engagement to render audit and/or permissible non-audit services; reviewing and approving all related party transactions; and evaluating the qualifications, performance and independence of the auditors. The Audit Committees are also responsible for aiding the Boards in fair valuing the Companies’ portfolio securities that are not publicly traded or for which current market values are not readily available. Such investments are valued at fair value as determined in good faith by or under the direction of the Boards using a documented valuation policy and a consistently applied valuation process. The Boards and Audit Committees use the services of nationally recognized independent valuation firms to help them determine the fair value of certain securities held by the Companies. Each Board has determined that each of Messrs. Flug and Katz is an “audit committee financial expert” as that term is defined under Item 407 of Regulation S-K under the Exchange Act. Each Audit Committee Charter is available on the Companies’ website (http://www.pennantpark.com).</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Committees</w:t>
      </w:r>
    </w:p>
    <w:p>
      <w:pPr>
        <w:spacing w:after="0" w:line="121" w:lineRule="exact"/>
        <w:rPr>
          <w:sz w:val="20"/>
          <w:szCs w:val="20"/>
          <w:color w:val="auto"/>
        </w:rPr>
      </w:pPr>
    </w:p>
    <w:p>
      <w:pPr>
        <w:ind w:firstLine="598"/>
        <w:spacing w:after="0" w:line="272" w:lineRule="auto"/>
        <w:rPr>
          <w:sz w:val="20"/>
          <w:szCs w:val="20"/>
          <w:color w:val="auto"/>
        </w:rPr>
      </w:pPr>
      <w:r>
        <w:rPr>
          <w:rFonts w:ascii="Arial" w:cs="Arial" w:eastAsia="Arial" w:hAnsi="Arial"/>
          <w:sz w:val="17"/>
          <w:szCs w:val="17"/>
          <w:color w:val="auto"/>
        </w:rPr>
        <w:t>The members of the Nominating and Corporate Governance Committee of each Company are Messrs. Bernstein, Brozost, Flug and Katz, each of whom is independent for purposes of the 1940 Act and the NASDAQ corporate governance rules. Messrs. Bernstein and Brozost serve as Co-Chairmen of the Nominating and Corporate Governance Committees. Each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each Company has adopted a written Nominating and Corporate Governance Committee Charter that is available on the Companies’ website (http://www.pennantpark.com).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5" w:name="page16"/>
    <w:bookmarkEnd w:id="15"/>
    <w:p>
      <w:pPr>
        <w:ind w:right="60" w:firstLine="598"/>
        <w:spacing w:after="0" w:line="290" w:lineRule="auto"/>
        <w:rPr>
          <w:sz w:val="20"/>
          <w:szCs w:val="20"/>
          <w:color w:val="auto"/>
        </w:rPr>
      </w:pPr>
      <w:r>
        <w:rPr>
          <w:rFonts w:ascii="Arial" w:cs="Arial" w:eastAsia="Arial" w:hAnsi="Arial"/>
          <w:sz w:val="16"/>
          <w:szCs w:val="16"/>
          <w:color w:val="auto"/>
        </w:rPr>
        <w:t>Each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a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66" w:lineRule="exact"/>
        <w:rPr>
          <w:sz w:val="20"/>
          <w:szCs w:val="20"/>
          <w:color w:val="auto"/>
        </w:rPr>
      </w:pPr>
    </w:p>
    <w:p>
      <w:pPr>
        <w:ind w:right="60" w:firstLine="598"/>
        <w:spacing w:after="0" w:line="269" w:lineRule="auto"/>
        <w:rPr>
          <w:sz w:val="20"/>
          <w:szCs w:val="20"/>
          <w:color w:val="auto"/>
        </w:rPr>
      </w:pPr>
      <w:r>
        <w:rPr>
          <w:rFonts w:ascii="Arial" w:cs="Arial" w:eastAsia="Arial" w:hAnsi="Arial"/>
          <w:sz w:val="17"/>
          <w:szCs w:val="17"/>
          <w:color w:val="auto"/>
        </w:rPr>
        <w:t>Criteria considered by the Nominating and Corporate Governance Committees in evaluating the qualifications of individuals for election as director of the Boards include: compliance with the independence and other applicable requirements of the NASDAQ corporate governance rules and the 1940 Act, and all other applicable laws, rules, regulations and listing standards; the criteria, policies and principles set forth in the Companies’ Nominating and Corporate Governance Committee Charters; and the ability to contribute to the effective management of the Companies, taking into account the needs of the Companies and such factors as the individual’s experience, perspective, skills and knowledge of the industry in which the Companies operate. The Nominating and Corporate Governance Committee has adopted a formal policy with regard to the consideration of diversity in identifying individuals for election as members of the Board, but the Nominating and Corporate Governance Committees will consider such factors as they may deem are in the best interests of the Companies and their Stockholders. Those factors may include a person’s differences of viewpoint, professional experience, education and skills, as well as his or her race, gender and national origin. In addition, as part of each Board’s annual-self assessment, the members of the Nominating and Corporate Governance Committee evaluate the membership of the Board and whether the Board maintains satisfactory policies regarding membership selection.</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Committees</w:t>
      </w:r>
    </w:p>
    <w:p>
      <w:pPr>
        <w:spacing w:after="0" w:line="121" w:lineRule="exact"/>
        <w:rPr>
          <w:sz w:val="20"/>
          <w:szCs w:val="20"/>
          <w:color w:val="auto"/>
        </w:rPr>
      </w:pPr>
    </w:p>
    <w:p>
      <w:pPr>
        <w:ind w:right="140" w:firstLine="598"/>
        <w:spacing w:after="0" w:line="293" w:lineRule="auto"/>
        <w:rPr>
          <w:sz w:val="20"/>
          <w:szCs w:val="20"/>
          <w:color w:val="auto"/>
        </w:rPr>
      </w:pPr>
      <w:r>
        <w:rPr>
          <w:rFonts w:ascii="Arial" w:cs="Arial" w:eastAsia="Arial" w:hAnsi="Arial"/>
          <w:sz w:val="16"/>
          <w:szCs w:val="16"/>
          <w:color w:val="auto"/>
        </w:rPr>
        <w:t>The Compensation Committee is responsible for determining, or recommending to the Board for determining, the compensation of the Company’s chief executive officer and all other executive officers, paid directly by the Company, if any. The Compensation Committee also assists each Board with all matters related to compensation, as directed by each Board. The current members of the Compensation Committee are Messrs. Bernstein, Brozost, Flug and Katz, each of whom is independent for purposes of the 1940 Act and the NASDAQ corporate governance rules. As discussed below, none of our executive officers are directly compensated by either Company and, as a result, the Compensation Committees do not produce and/or review and report on executive compensation practices. Each Compensation Committee Charter is available on the Companies’ website (http://www.pennantpark.com).</w:t>
      </w:r>
    </w:p>
    <w:p>
      <w:pPr>
        <w:spacing w:after="0" w:line="27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Communication with the Boards of Directors</w:t>
      </w:r>
    </w:p>
    <w:p>
      <w:pPr>
        <w:spacing w:after="0" w:line="225"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Stockholders with questions about a Company are encouraged to contact the Companies’ Investor Relations Department at 590 Madison Avenue, 15th Floor, New York, New York 10022 or by visiting the investor relations web page on our website (http://www.pennantpark.com). However, if Stockholders believe that their questions have not been addressed, they may communicate with the relevant Board by sending their communications to Thomas J. Friedmann, Secretary, c/o PennantPark, 590 Madison Avenue, 15th Floor, New York, New York 10022. All Stockholder communications received in this manner will be delivered to one or more members of the relevant Board.</w:t>
      </w:r>
    </w:p>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557" w:right="31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Information about the Executive Officer Who is Not a Director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executive officer who is not a director of the Companies.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Position(s) held</w:t>
            </w:r>
          </w:p>
        </w:tc>
        <w:tc>
          <w:tcPr>
            <w:tcW w:w="6800" w:type="dxa"/>
            <w:vAlign w:val="bottom"/>
            <w:vMerge w:val="restart"/>
          </w:tcPr>
          <w:p>
            <w:pPr>
              <w:ind w:left="1720"/>
              <w:spacing w:after="0"/>
              <w:rPr>
                <w:sz w:val="20"/>
                <w:szCs w:val="20"/>
                <w:color w:val="auto"/>
              </w:rPr>
            </w:pPr>
            <w:r>
              <w:rPr>
                <w:rFonts w:ascii="Arial" w:cs="Arial" w:eastAsia="Arial" w:hAnsi="Arial"/>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2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with the Companies</w:t>
            </w:r>
          </w:p>
        </w:tc>
        <w:tc>
          <w:tcPr>
            <w:tcW w:w="6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Aviv Efrat (53)</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PNNT and PFLT -</w:t>
            </w:r>
          </w:p>
        </w:tc>
        <w:tc>
          <w:tcPr>
            <w:tcW w:w="180" w:type="dxa"/>
            <w:vAlign w:val="bottom"/>
          </w:tcPr>
          <w:p>
            <w:pPr>
              <w:spacing w:after="0"/>
              <w:rPr>
                <w:sz w:val="16"/>
                <w:szCs w:val="16"/>
                <w:color w:val="auto"/>
              </w:rPr>
            </w:pPr>
          </w:p>
        </w:tc>
        <w:tc>
          <w:tcPr>
            <w:tcW w:w="68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Chief Financial Officer and Treasurer of PNNT and PFLT from their inception in 2007 and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 and</w:t>
            </w:r>
          </w:p>
        </w:tc>
        <w:tc>
          <w:tcPr>
            <w:tcW w:w="6800" w:type="dxa"/>
            <w:vAlign w:val="bottom"/>
          </w:tcPr>
          <w:p>
            <w:pPr>
              <w:spacing w:after="0"/>
              <w:rPr>
                <w:sz w:val="20"/>
                <w:szCs w:val="20"/>
                <w:color w:val="auto"/>
              </w:rPr>
            </w:pPr>
            <w:r>
              <w:rPr>
                <w:rFonts w:ascii="Arial" w:cs="Arial" w:eastAsia="Arial" w:hAnsi="Arial"/>
                <w:sz w:val="18"/>
                <w:szCs w:val="18"/>
                <w:color w:val="auto"/>
                <w:w w:val="93"/>
              </w:rPr>
              <w:t>2010, respectively. Managing Director of the Administrator from inception in 2007. Mr. Efrat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180"/>
              <w:spacing w:after="0"/>
              <w:rPr>
                <w:sz w:val="20"/>
                <w:szCs w:val="20"/>
                <w:color w:val="auto"/>
              </w:rPr>
            </w:pPr>
            <w:r>
              <w:rPr>
                <w:rFonts w:ascii="Arial" w:cs="Arial" w:eastAsia="Arial" w:hAnsi="Arial"/>
                <w:sz w:val="18"/>
                <w:szCs w:val="18"/>
                <w:color w:val="auto"/>
                <w:w w:val="87"/>
              </w:rPr>
              <w:t>Treasurer</w:t>
            </w:r>
          </w:p>
        </w:tc>
        <w:tc>
          <w:tcPr>
            <w:tcW w:w="6800" w:type="dxa"/>
            <w:vAlign w:val="bottom"/>
          </w:tcPr>
          <w:p>
            <w:pPr>
              <w:spacing w:after="0"/>
              <w:rPr>
                <w:sz w:val="20"/>
                <w:szCs w:val="20"/>
                <w:color w:val="auto"/>
              </w:rPr>
            </w:pPr>
            <w:r>
              <w:rPr>
                <w:rFonts w:ascii="Arial" w:cs="Arial" w:eastAsia="Arial" w:hAnsi="Arial"/>
                <w:sz w:val="18"/>
                <w:szCs w:val="18"/>
                <w:color w:val="auto"/>
                <w:w w:val="93"/>
              </w:rPr>
              <w:t>was a Director at BlackRock, Inc., where he was responsible for a variety of administrative,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operational, and financial aspects of closed-end and open-end registered 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companies from 1997 to 2007. From 1994 to 1997, Mr. Efrat was in the 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9"/>
              </w:rPr>
              <w:t>Companies Business Unit at Deloitte &amp; Touche LLP. He is a member of the American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w w:val="94"/>
              </w:rPr>
              <w:t>Institute of Certified Public Accountants and the New York State Society of Certified Public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Accountants.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40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Chief Compliance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pertains to our CCO who is not a director of the Companies.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Address and Age</w:t>
            </w:r>
            <w:r>
              <w:rPr>
                <w:rFonts w:ascii="Arial" w:cs="Arial" w:eastAsia="Arial" w:hAnsi="Arial"/>
                <w:sz w:val="12"/>
                <w:szCs w:val="12"/>
                <w:b w:val="1"/>
                <w:bCs w:val="1"/>
                <w:color w:val="auto"/>
              </w:rPr>
              <w:t>(1)</w:t>
            </w:r>
          </w:p>
        </w:tc>
        <w:tc>
          <w:tcPr>
            <w:tcW w:w="2300" w:type="dxa"/>
            <w:vAlign w:val="bottom"/>
          </w:tcPr>
          <w:p>
            <w:pPr>
              <w:jc w:val="center"/>
              <w:ind w:left="59"/>
              <w:spacing w:after="0"/>
              <w:rPr>
                <w:sz w:val="20"/>
                <w:szCs w:val="20"/>
                <w:color w:val="auto"/>
              </w:rPr>
            </w:pPr>
            <w:r>
              <w:rPr>
                <w:rFonts w:ascii="Arial" w:cs="Arial" w:eastAsia="Arial" w:hAnsi="Arial"/>
                <w:sz w:val="14"/>
                <w:szCs w:val="14"/>
                <w:b w:val="1"/>
                <w:bCs w:val="1"/>
                <w:color w:val="auto"/>
                <w:w w:val="90"/>
              </w:rPr>
              <w:t>Position held</w:t>
            </w:r>
          </w:p>
        </w:tc>
        <w:tc>
          <w:tcPr>
            <w:tcW w:w="120" w:type="dxa"/>
            <w:vAlign w:val="bottom"/>
          </w:tcPr>
          <w:p>
            <w:pPr>
              <w:spacing w:after="0"/>
              <w:rPr>
                <w:sz w:val="14"/>
                <w:szCs w:val="14"/>
                <w:color w:val="auto"/>
              </w:rPr>
            </w:pPr>
          </w:p>
        </w:tc>
        <w:tc>
          <w:tcPr>
            <w:tcW w:w="684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1"/>
        </w:trPr>
        <w:tc>
          <w:tcPr>
            <w:tcW w:w="2160" w:type="dxa"/>
            <w:vAlign w:val="bottom"/>
            <w:gridSpan w:val="3"/>
            <w:vMerge w:val="continue"/>
          </w:tcPr>
          <w:p>
            <w:pPr>
              <w:spacing w:after="0"/>
              <w:rPr>
                <w:sz w:val="14"/>
                <w:szCs w:val="14"/>
                <w:color w:val="auto"/>
              </w:rPr>
            </w:pPr>
          </w:p>
        </w:tc>
        <w:tc>
          <w:tcPr>
            <w:tcW w:w="2300" w:type="dxa"/>
            <w:vAlign w:val="bottom"/>
          </w:tcPr>
          <w:p>
            <w:pPr>
              <w:jc w:val="center"/>
              <w:ind w:left="39"/>
              <w:spacing w:after="0"/>
              <w:rPr>
                <w:sz w:val="20"/>
                <w:szCs w:val="20"/>
                <w:color w:val="auto"/>
              </w:rPr>
            </w:pPr>
            <w:r>
              <w:rPr>
                <w:rFonts w:ascii="Arial" w:cs="Arial" w:eastAsia="Arial" w:hAnsi="Arial"/>
                <w:sz w:val="14"/>
                <w:szCs w:val="14"/>
                <w:b w:val="1"/>
                <w:bCs w:val="1"/>
                <w:color w:val="auto"/>
                <w:w w:val="92"/>
              </w:rPr>
              <w:t>with the Companies</w:t>
            </w:r>
          </w:p>
        </w:tc>
        <w:tc>
          <w:tcPr>
            <w:tcW w:w="120" w:type="dxa"/>
            <w:vAlign w:val="bottom"/>
          </w:tcPr>
          <w:p>
            <w:pPr>
              <w:spacing w:after="0"/>
              <w:rPr>
                <w:sz w:val="14"/>
                <w:szCs w:val="14"/>
                <w:color w:val="auto"/>
              </w:rPr>
            </w:pPr>
          </w:p>
        </w:tc>
        <w:tc>
          <w:tcPr>
            <w:tcW w:w="6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Guy F. Talarico (62)</w:t>
            </w:r>
          </w:p>
        </w:tc>
        <w:tc>
          <w:tcPr>
            <w:tcW w:w="100" w:type="dxa"/>
            <w:vAlign w:val="bottom"/>
          </w:tcPr>
          <w:p>
            <w:pPr>
              <w:spacing w:after="0"/>
              <w:rPr>
                <w:sz w:val="16"/>
                <w:szCs w:val="16"/>
                <w:color w:val="auto"/>
              </w:rPr>
            </w:pPr>
          </w:p>
        </w:tc>
        <w:tc>
          <w:tcPr>
            <w:tcW w:w="23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PNNT and PFLT -</w:t>
            </w:r>
          </w:p>
        </w:tc>
        <w:tc>
          <w:tcPr>
            <w:tcW w:w="120" w:type="dxa"/>
            <w:vAlign w:val="bottom"/>
          </w:tcPr>
          <w:p>
            <w:pPr>
              <w:spacing w:after="0"/>
              <w:rPr>
                <w:sz w:val="16"/>
                <w:szCs w:val="16"/>
                <w:color w:val="auto"/>
              </w:rPr>
            </w:pPr>
          </w:p>
        </w:tc>
        <w:tc>
          <w:tcPr>
            <w:tcW w:w="68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3"/>
              </w:rPr>
              <w:t>Chief Compliance Officer of PNNT and PFLT from May 2008 and March 2011, respectively.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jc w:val="center"/>
              <w:spacing w:after="0"/>
              <w:rPr>
                <w:sz w:val="20"/>
                <w:szCs w:val="20"/>
                <w:color w:val="auto"/>
              </w:rPr>
            </w:pPr>
            <w:r>
              <w:rPr>
                <w:rFonts w:ascii="Arial" w:cs="Arial" w:eastAsia="Arial" w:hAnsi="Arial"/>
                <w:sz w:val="18"/>
                <w:szCs w:val="18"/>
                <w:color w:val="auto"/>
                <w:w w:val="92"/>
              </w:rPr>
              <w:t>Chief Compliance Officer</w:t>
            </w: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w w:val="96"/>
              </w:rPr>
              <w:t>Mr. Talarico has held the position of Chief Compliance Officer for a number of 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advisers, private funds and investment companies from 2004 when he founded Alaric</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Arial" w:cs="Arial" w:eastAsia="Arial" w:hAnsi="Arial"/>
                <w:sz w:val="18"/>
                <w:szCs w:val="18"/>
                <w:color w:val="auto"/>
              </w:rPr>
              <w:t>Compliance Services, LLC, of which he is chief executive officer.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600" w:hanging="592"/>
        <w:spacing w:after="0"/>
        <w:tabs>
          <w:tab w:leader="none" w:pos="6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business address of the CCO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40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Code of Conduct and Code of Ethics</w:t>
      </w:r>
    </w:p>
    <w:p>
      <w:pPr>
        <w:spacing w:after="0" w:line="225" w:lineRule="exact"/>
        <w:rPr>
          <w:sz w:val="20"/>
          <w:szCs w:val="20"/>
          <w:color w:val="auto"/>
        </w:rPr>
      </w:pPr>
    </w:p>
    <w:p>
      <w:pPr>
        <w:ind w:right="60" w:firstLine="598"/>
        <w:spacing w:after="0" w:line="302" w:lineRule="auto"/>
        <w:rPr>
          <w:sz w:val="20"/>
          <w:szCs w:val="20"/>
          <w:color w:val="auto"/>
        </w:rPr>
      </w:pPr>
      <w:r>
        <w:rPr>
          <w:rFonts w:ascii="Arial" w:cs="Arial" w:eastAsia="Arial" w:hAnsi="Arial"/>
          <w:sz w:val="16"/>
          <w:szCs w:val="16"/>
          <w:color w:val="auto"/>
        </w:rPr>
        <w:t>We expect each of our officers and directors, as well as any person affiliated with our operations, to act in accordance with the highest standards of personal and professional integrity at all times, and to comply with the Companies’ policies and procedures and all laws, rules and regulations of any applicable international, federal, provincial, state or local government. To this effect, each Company has adopted a Joint Code of Conduct, which is posted on the Companies’ website (http://www.pennantpark.com). The Joint Code of Conduct applies to the directors, officers and their respective staffs.</w:t>
      </w:r>
    </w:p>
    <w:p>
      <w:pPr>
        <w:spacing w:after="0" w:line="154" w:lineRule="exact"/>
        <w:rPr>
          <w:sz w:val="20"/>
          <w:szCs w:val="20"/>
          <w:color w:val="auto"/>
        </w:rPr>
      </w:pPr>
    </w:p>
    <w:p>
      <w:pPr>
        <w:ind w:right="20" w:firstLine="598"/>
        <w:spacing w:after="0" w:line="255" w:lineRule="auto"/>
        <w:rPr>
          <w:sz w:val="20"/>
          <w:szCs w:val="20"/>
          <w:color w:val="auto"/>
        </w:rPr>
      </w:pPr>
      <w:r>
        <w:rPr>
          <w:rFonts w:ascii="Arial" w:cs="Arial" w:eastAsia="Arial" w:hAnsi="Arial"/>
          <w:sz w:val="18"/>
          <w:szCs w:val="18"/>
          <w:color w:val="auto"/>
        </w:rPr>
        <w:t>As required by the 1940 Act, each Company maintains a Joint Code of Ethics with the Adviser that establishes procedures that apply to the Companies’ directors, officers, their respective staffs and the employees of the Adviser with respect to their personal investments and investment transactions. The Joint Code of Ethics generally does not permit investments by a Company’s directors, officers or any other covered person in securities that may be purchased or held by the Company. PNNT and PFLT each filed its Joint Code of Ethics as Exhibit 14.1 to its Annual Report on Form 10-K, filed with the SEC on November 29 and 30, 2017, respectively. You may access the Joint Codes of Ethics via the Internet site of the SEC (http://www.sec.gov) or our website (http://www.pennantpark.com). Each Company intends to disclose any material amendments to or waivers of required provisions of its Joint Code of Conduct or its Joint Code of Ethics on Form 8-K.</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i w:val="1"/>
          <w:iCs w:val="1"/>
          <w:color w:val="auto"/>
        </w:rPr>
        <w:t>Compensation of Independent Directors</w:t>
      </w:r>
    </w:p>
    <w:p>
      <w:pPr>
        <w:spacing w:after="0" w:line="225" w:lineRule="exact"/>
        <w:rPr>
          <w:sz w:val="20"/>
          <w:szCs w:val="20"/>
          <w:color w:val="auto"/>
        </w:rPr>
      </w:pPr>
    </w:p>
    <w:p>
      <w:pPr>
        <w:ind w:right="60" w:firstLine="598"/>
        <w:spacing w:after="0" w:line="271" w:lineRule="auto"/>
        <w:rPr>
          <w:sz w:val="20"/>
          <w:szCs w:val="20"/>
          <w:color w:val="auto"/>
        </w:rPr>
      </w:pPr>
      <w:r>
        <w:rPr>
          <w:rFonts w:ascii="Arial" w:cs="Arial" w:eastAsia="Arial" w:hAnsi="Arial"/>
          <w:sz w:val="17"/>
          <w:szCs w:val="17"/>
          <w:color w:val="auto"/>
        </w:rPr>
        <w:t>For PNNT, each Independent Director receives an annual payment of $110,000 for services performed on behalf of PNNT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PNNT has purchased directors’ and officers’ liability insurance on behalf of its directors and officers and indemnifies such persons against certain losses. Independent Directors have the option to receive their directors’ fees paid in shares of PNNT’s Common Stock issued at a price per share equal to the greater of net asset value or the market price at the time of payment. No compensation is expected to be paid to directors who are “interested persons” (as defined in the 1940 Act).</w:t>
      </w:r>
    </w:p>
    <w:p>
      <w:pPr>
        <w:spacing w:after="0" w:line="179" w:lineRule="exact"/>
        <w:rPr>
          <w:sz w:val="20"/>
          <w:szCs w:val="20"/>
          <w:color w:val="auto"/>
        </w:rPr>
      </w:pPr>
    </w:p>
    <w:p>
      <w:pPr>
        <w:ind w:right="140" w:firstLine="598"/>
        <w:spacing w:after="0" w:line="290" w:lineRule="auto"/>
        <w:rPr>
          <w:sz w:val="20"/>
          <w:szCs w:val="20"/>
          <w:color w:val="auto"/>
        </w:rPr>
      </w:pPr>
      <w:r>
        <w:rPr>
          <w:rFonts w:ascii="Arial" w:cs="Arial" w:eastAsia="Arial" w:hAnsi="Arial"/>
          <w:sz w:val="16"/>
          <w:szCs w:val="16"/>
          <w:color w:val="auto"/>
        </w:rPr>
        <w:t>For PFLT, each Independent Director receives an annual payment of $50,000, and effective August 2017 $70,000, for services performed on behalf of PFLT as a director. The Independent Directors also receive $2,500 plus reimbursement of reasonable out-of-pocket expenses incurred in connection with attending each Board meeting and receive $500 plus reimbursement of reasonable out-of-pocket expenses incurred in connection with attending each committee meeting (unless combined with a Board meeting). In addition, each Co-Chairman of the Audit Committee receives an annual fee of $3,750 and each Co-Chairman of any other committee receives an annual fee of $1,250 for his additional services in these capacities. Also, PFLT has purchased directors’ and officers’ liability insurance on behalf of its directors and officers and indemnifies such persons against certain losses. Independent Directors have the option to receive their directors’ fees paid in shares of PFLT’s Common Stock issued at a price per share equal to the greater of net asset value or the market price at the time of payment. No compensation is expected to be paid to directors who are “interested persons” (as defined in the 1940 Act).</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Compensation of Directors and Executive Officer</w:t>
      </w:r>
    </w:p>
    <w:p>
      <w:pPr>
        <w:spacing w:after="0" w:line="225"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color w:val="auto"/>
        </w:rPr>
        <w:t>The following table shows information regarding the compensation paid by the Companies to our directors for the fiscal year ended September 30, 2017. No compensation is paid directly by either Company to any interested director or executive officer of the Companies.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PNNT</w:t>
            </w: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PFLT</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88"/>
              </w:rPr>
              <w:t>Pension or</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1"/>
              </w:rPr>
              <w:t>Pension or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Aggregate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retirement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Aggregate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retirement</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benefits</w:t>
            </w: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accrued</w:t>
            </w:r>
          </w:p>
        </w:tc>
        <w:tc>
          <w:tcPr>
            <w:tcW w:w="100" w:type="dxa"/>
            <w:vAlign w:val="bottom"/>
          </w:tcPr>
          <w:p>
            <w:pPr>
              <w:spacing w:after="0"/>
              <w:rPr>
                <w:sz w:val="12"/>
                <w:szCs w:val="1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 paid to</w:t>
            </w:r>
          </w:p>
        </w:tc>
        <w:tc>
          <w:tcPr>
            <w:tcW w:w="2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compensation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accrued as</w:t>
            </w:r>
          </w:p>
        </w:tc>
        <w:tc>
          <w:tcPr>
            <w:tcW w:w="120" w:type="dxa"/>
            <w:vAlign w:val="bottom"/>
          </w:tcPr>
          <w:p>
            <w:pPr>
              <w:spacing w:after="0"/>
              <w:rPr>
                <w:sz w:val="12"/>
                <w:szCs w:val="12"/>
                <w:color w:val="auto"/>
              </w:rPr>
            </w:pPr>
          </w:p>
        </w:tc>
        <w:tc>
          <w:tcPr>
            <w:tcW w:w="10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322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6"/>
              </w:rPr>
              <w:t>from the</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as part of our</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from the</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our</w:t>
            </w:r>
          </w:p>
        </w:tc>
        <w:tc>
          <w:tcPr>
            <w:tcW w:w="12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220" w:type="dxa"/>
            <w:vAlign w:val="bottom"/>
            <w:gridSpan w:val="6"/>
            <w:vMerge w:val="continue"/>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3"/>
              </w:rPr>
              <w:t>Company</w:t>
            </w:r>
          </w:p>
        </w:tc>
        <w:tc>
          <w:tcPr>
            <w:tcW w:w="10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1040" w:type="dxa"/>
            <w:vAlign w:val="bottom"/>
            <w:gridSpan w:val="3"/>
          </w:tcPr>
          <w:p>
            <w:pPr>
              <w:ind w:left="100"/>
              <w:spacing w:after="0" w:line="158" w:lineRule="exact"/>
              <w:rPr>
                <w:sz w:val="20"/>
                <w:szCs w:val="20"/>
                <w:color w:val="auto"/>
              </w:rPr>
            </w:pPr>
            <w:r>
              <w:rPr>
                <w:rFonts w:ascii="Arial" w:cs="Arial" w:eastAsia="Arial" w:hAnsi="Arial"/>
                <w:sz w:val="14"/>
                <w:szCs w:val="14"/>
                <w:b w:val="1"/>
                <w:bCs w:val="1"/>
                <w:color w:val="auto"/>
                <w:w w:val="93"/>
              </w:rPr>
              <w:t>director/officer</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Company</w:t>
            </w: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7"/>
              </w:rPr>
              <w:t>expense</w:t>
            </w:r>
            <w:r>
              <w:rPr>
                <w:rFonts w:ascii="Arial" w:cs="Arial" w:eastAsia="Arial" w:hAnsi="Arial"/>
                <w:sz w:val="12"/>
                <w:szCs w:val="12"/>
                <w:b w:val="1"/>
                <w:bCs w:val="1"/>
                <w:color w:val="auto"/>
                <w:w w:val="87"/>
              </w:rPr>
              <w:t>(1)</w:t>
            </w:r>
          </w:p>
        </w:tc>
        <w:tc>
          <w:tcPr>
            <w:tcW w:w="12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director/officer</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FF0FC"/>
            </w:tcBorders>
            <w:shd w:val="clear" w:color="auto" w:fill="000000"/>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CFF0FC"/>
            </w:tcBorders>
          </w:tcPr>
          <w:p>
            <w:pPr>
              <w:spacing w:after="0" w:line="20" w:lineRule="exact"/>
              <w:rPr>
                <w:sz w:val="1"/>
                <w:szCs w:val="1"/>
                <w:color w:val="auto"/>
              </w:rPr>
            </w:pPr>
          </w:p>
        </w:tc>
        <w:tc>
          <w:tcPr>
            <w:tcW w:w="152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FF0F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gridSpan w:val="5"/>
            <w:shd w:val="clear" w:color="auto" w:fill="CFF0FC"/>
          </w:tcPr>
          <w:p>
            <w:pPr>
              <w:spacing w:after="0" w:line="176" w:lineRule="exact"/>
              <w:rPr>
                <w:sz w:val="20"/>
                <w:szCs w:val="20"/>
                <w:color w:val="auto"/>
              </w:rPr>
            </w:pPr>
            <w:r>
              <w:rPr>
                <w:rFonts w:ascii="Arial" w:cs="Arial" w:eastAsia="Arial" w:hAnsi="Arial"/>
                <w:sz w:val="18"/>
                <w:szCs w:val="18"/>
                <w:b w:val="1"/>
                <w:bCs w:val="1"/>
                <w:color w:val="auto"/>
              </w:rPr>
              <w:t>Independent directors</w:t>
            </w: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8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Adam K. Bernstein</w:t>
            </w:r>
          </w:p>
        </w:tc>
        <w:tc>
          <w:tcPr>
            <w:tcW w:w="1520" w:type="dxa"/>
            <w:vAlign w:val="bottom"/>
            <w:tcBorders>
              <w:top w:val="single" w:sz="8" w:color="CFF0FC"/>
            </w:tcBorders>
          </w:tcPr>
          <w:p>
            <w:pPr>
              <w:spacing w:after="0"/>
              <w:rPr>
                <w:sz w:val="19"/>
                <w:szCs w:val="19"/>
                <w:color w:val="auto"/>
              </w:rPr>
            </w:pPr>
          </w:p>
        </w:tc>
        <w:tc>
          <w:tcPr>
            <w:tcW w:w="1620" w:type="dxa"/>
            <w:vAlign w:val="bottom"/>
            <w:tcBorders>
              <w:top w:val="single" w:sz="8" w:color="CFF0FC"/>
            </w:tcBorders>
            <w:gridSpan w:val="2"/>
          </w:tcPr>
          <w:p>
            <w:pPr>
              <w:ind w:left="152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tcBorders>
              <w:top w:val="single" w:sz="8" w:color="CFF0FC"/>
            </w:tcBorders>
          </w:tcPr>
          <w:p>
            <w:pPr>
              <w:spacing w:after="0"/>
              <w:rPr>
                <w:sz w:val="19"/>
                <w:szCs w:val="19"/>
                <w:color w:val="auto"/>
              </w:rPr>
            </w:pPr>
          </w:p>
        </w:tc>
        <w:tc>
          <w:tcPr>
            <w:tcW w:w="1020" w:type="dxa"/>
            <w:vAlign w:val="bottom"/>
            <w:tcBorders>
              <w:top w:val="single" w:sz="8" w:color="CFF0FC"/>
            </w:tcBorders>
          </w:tcPr>
          <w:p>
            <w:pPr>
              <w:ind w:left="620"/>
              <w:spacing w:after="0"/>
              <w:rPr>
                <w:sz w:val="20"/>
                <w:szCs w:val="20"/>
                <w:color w:val="auto"/>
              </w:rPr>
            </w:pPr>
            <w:r>
              <w:rPr>
                <w:rFonts w:ascii="Arial" w:cs="Arial" w:eastAsia="Arial" w:hAnsi="Arial"/>
                <w:sz w:val="18"/>
                <w:szCs w:val="18"/>
                <w:color w:val="auto"/>
                <w:w w:val="88"/>
              </w:rPr>
              <w:t>None</w:t>
            </w:r>
          </w:p>
        </w:tc>
        <w:tc>
          <w:tcPr>
            <w:tcW w:w="320" w:type="dxa"/>
            <w:vAlign w:val="bottom"/>
            <w:tcBorders>
              <w:top w:val="single" w:sz="8" w:color="CFF0FC"/>
            </w:tcBorders>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tcBorders>
              <w:top w:val="single" w:sz="8" w:color="CFF0FC"/>
            </w:tcBorders>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68,750</w:t>
            </w:r>
          </w:p>
        </w:tc>
        <w:tc>
          <w:tcPr>
            <w:tcW w:w="220" w:type="dxa"/>
            <w:vAlign w:val="bottom"/>
            <w:tcBorders>
              <w:top w:val="single" w:sz="8" w:color="CFF0FC"/>
            </w:tcBorders>
          </w:tcPr>
          <w:p>
            <w:pPr>
              <w:spacing w:after="0"/>
              <w:rPr>
                <w:sz w:val="19"/>
                <w:szCs w:val="19"/>
                <w:color w:val="auto"/>
              </w:rPr>
            </w:pPr>
          </w:p>
        </w:tc>
        <w:tc>
          <w:tcPr>
            <w:tcW w:w="1000" w:type="dxa"/>
            <w:vAlign w:val="bottom"/>
            <w:tcBorders>
              <w:top w:val="single" w:sz="8" w:color="CFF0FC"/>
            </w:tcBorders>
          </w:tcPr>
          <w:p>
            <w:pPr>
              <w:ind w:left="600"/>
              <w:spacing w:after="0"/>
              <w:rPr>
                <w:sz w:val="20"/>
                <w:szCs w:val="20"/>
                <w:color w:val="auto"/>
              </w:rPr>
            </w:pPr>
            <w:r>
              <w:rPr>
                <w:rFonts w:ascii="Arial" w:cs="Arial" w:eastAsia="Arial" w:hAnsi="Arial"/>
                <w:sz w:val="18"/>
                <w:szCs w:val="18"/>
                <w:color w:val="auto"/>
                <w:w w:val="88"/>
              </w:rPr>
              <w:t>None</w:t>
            </w:r>
          </w:p>
        </w:tc>
        <w:tc>
          <w:tcPr>
            <w:tcW w:w="380" w:type="dxa"/>
            <w:vAlign w:val="bottom"/>
            <w:tcBorders>
              <w:top w:val="single" w:sz="8" w:color="CFF0FC"/>
            </w:tcBorders>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68,750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Marshall Brozost</w:t>
            </w:r>
          </w:p>
        </w:tc>
        <w:tc>
          <w:tcPr>
            <w:tcW w:w="1620" w:type="dxa"/>
            <w:vAlign w:val="bottom"/>
            <w:gridSpan w:val="2"/>
            <w:shd w:val="clear" w:color="auto" w:fill="CFF0FC"/>
          </w:tcPr>
          <w:p>
            <w:pPr>
              <w:ind w:left="15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None</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125,000</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68,750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None</w:t>
            </w:r>
          </w:p>
        </w:tc>
        <w:tc>
          <w:tcPr>
            <w:tcW w:w="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5"/>
          </w:tcPr>
          <w:p>
            <w:pPr>
              <w:spacing w:after="0"/>
              <w:rPr>
                <w:sz w:val="20"/>
                <w:szCs w:val="20"/>
                <w:color w:val="auto"/>
              </w:rPr>
            </w:pPr>
            <w:r>
              <w:rPr>
                <w:rFonts w:ascii="Arial" w:cs="Arial" w:eastAsia="Arial" w:hAnsi="Arial"/>
                <w:sz w:val="18"/>
                <w:szCs w:val="18"/>
                <w:color w:val="auto"/>
              </w:rPr>
              <w:t>Jeffrey Flug</w:t>
            </w:r>
          </w:p>
        </w:tc>
        <w:tc>
          <w:tcPr>
            <w:tcW w:w="1620" w:type="dxa"/>
            <w:vAlign w:val="bottom"/>
            <w:gridSpan w:val="2"/>
          </w:tcPr>
          <w:p>
            <w:pPr>
              <w:ind w:left="152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tcPr>
          <w:p>
            <w:pPr>
              <w:spacing w:after="0"/>
              <w:rPr>
                <w:sz w:val="19"/>
                <w:szCs w:val="19"/>
                <w:color w:val="auto"/>
              </w:rPr>
            </w:pPr>
          </w:p>
        </w:tc>
        <w:tc>
          <w:tcPr>
            <w:tcW w:w="1020" w:type="dxa"/>
            <w:vAlign w:val="bottom"/>
          </w:tcPr>
          <w:p>
            <w:pPr>
              <w:ind w:left="620"/>
              <w:spacing w:after="0"/>
              <w:rPr>
                <w:sz w:val="20"/>
                <w:szCs w:val="20"/>
                <w:color w:val="auto"/>
              </w:rPr>
            </w:pPr>
            <w:r>
              <w:rPr>
                <w:rFonts w:ascii="Arial" w:cs="Arial" w:eastAsia="Arial" w:hAnsi="Arial"/>
                <w:sz w:val="18"/>
                <w:szCs w:val="18"/>
                <w:color w:val="auto"/>
                <w:w w:val="88"/>
              </w:rPr>
              <w:t>None</w:t>
            </w: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135,000</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71,250</w:t>
            </w:r>
          </w:p>
        </w:tc>
        <w:tc>
          <w:tcPr>
            <w:tcW w:w="220" w:type="dxa"/>
            <w:vAlign w:val="bottom"/>
          </w:tcPr>
          <w:p>
            <w:pPr>
              <w:spacing w:after="0"/>
              <w:rPr>
                <w:sz w:val="19"/>
                <w:szCs w:val="19"/>
                <w:color w:val="auto"/>
              </w:rPr>
            </w:pPr>
          </w:p>
        </w:tc>
        <w:tc>
          <w:tcPr>
            <w:tcW w:w="1000" w:type="dxa"/>
            <w:vAlign w:val="bottom"/>
          </w:tcPr>
          <w:p>
            <w:pPr>
              <w:ind w:left="600"/>
              <w:spacing w:after="0"/>
              <w:rPr>
                <w:sz w:val="20"/>
                <w:szCs w:val="20"/>
                <w:color w:val="auto"/>
              </w:rPr>
            </w:pPr>
            <w:r>
              <w:rPr>
                <w:rFonts w:ascii="Arial" w:cs="Arial" w:eastAsia="Arial" w:hAnsi="Arial"/>
                <w:sz w:val="18"/>
                <w:szCs w:val="18"/>
                <w:color w:val="auto"/>
                <w:w w:val="88"/>
              </w:rPr>
              <w:t>None</w:t>
            </w:r>
          </w:p>
        </w:tc>
        <w:tc>
          <w:tcPr>
            <w:tcW w:w="3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71,250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Samuel L. Katz</w:t>
            </w:r>
          </w:p>
        </w:tc>
        <w:tc>
          <w:tcPr>
            <w:tcW w:w="1620" w:type="dxa"/>
            <w:vAlign w:val="bottom"/>
            <w:gridSpan w:val="2"/>
            <w:shd w:val="clear" w:color="auto" w:fill="CFF0FC"/>
          </w:tcPr>
          <w:p>
            <w:pPr>
              <w:ind w:left="152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135,000</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None</w:t>
            </w:r>
          </w:p>
        </w:tc>
        <w:tc>
          <w:tcPr>
            <w:tcW w:w="32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135,000</w:t>
            </w:r>
          </w:p>
        </w:tc>
        <w:tc>
          <w:tcPr>
            <w:tcW w:w="3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71,250</w:t>
            </w: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None</w:t>
            </w:r>
          </w:p>
        </w:tc>
        <w:tc>
          <w:tcPr>
            <w:tcW w:w="380" w:type="dxa"/>
            <w:vAlign w:val="bottom"/>
            <w:gridSpan w:val="2"/>
            <w:shd w:val="clear" w:color="auto" w:fill="CFF0FC"/>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71,250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Interested director</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Arthur H. Penn</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None</w:t>
            </w:r>
          </w:p>
        </w:tc>
        <w:tc>
          <w:tcPr>
            <w:tcW w:w="10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None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None</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200" w:type="dxa"/>
            <w:vAlign w:val="bottom"/>
            <w:gridSpan w:val="5"/>
          </w:tcPr>
          <w:p>
            <w:pPr>
              <w:spacing w:after="0" w:line="189" w:lineRule="exact"/>
              <w:rPr>
                <w:sz w:val="20"/>
                <w:szCs w:val="20"/>
                <w:color w:val="auto"/>
              </w:rPr>
            </w:pPr>
            <w:r>
              <w:rPr>
                <w:rFonts w:ascii="Arial" w:cs="Arial" w:eastAsia="Arial" w:hAnsi="Arial"/>
                <w:sz w:val="18"/>
                <w:szCs w:val="18"/>
                <w:b w:val="1"/>
                <w:bCs w:val="1"/>
                <w:color w:val="auto"/>
              </w:rPr>
              <w:t>Executive officer</w:t>
            </w: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3200" w:type="dxa"/>
            <w:vAlign w:val="bottom"/>
            <w:gridSpan w:val="5"/>
            <w:shd w:val="clear" w:color="auto" w:fill="CFF0FC"/>
          </w:tcPr>
          <w:p>
            <w:pPr>
              <w:spacing w:after="0"/>
              <w:rPr>
                <w:sz w:val="20"/>
                <w:szCs w:val="20"/>
                <w:color w:val="auto"/>
              </w:rPr>
            </w:pPr>
            <w:r>
              <w:rPr>
                <w:rFonts w:ascii="Arial" w:cs="Arial" w:eastAsia="Arial" w:hAnsi="Arial"/>
                <w:sz w:val="18"/>
                <w:szCs w:val="18"/>
                <w:color w:val="auto"/>
              </w:rPr>
              <w:t>Aviv Efrat</w:t>
            </w:r>
            <w:r>
              <w:rPr>
                <w:rFonts w:ascii="Arial" w:cs="Arial" w:eastAsia="Arial" w:hAnsi="Arial"/>
                <w:sz w:val="15"/>
                <w:szCs w:val="15"/>
                <w:color w:val="auto"/>
              </w:rPr>
              <w:t>(2)</w:t>
            </w:r>
          </w:p>
        </w:tc>
        <w:tc>
          <w:tcPr>
            <w:tcW w:w="1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None</w:t>
            </w:r>
          </w:p>
        </w:tc>
        <w:tc>
          <w:tcPr>
            <w:tcW w:w="1020" w:type="dxa"/>
            <w:vAlign w:val="bottom"/>
            <w:shd w:val="clear" w:color="auto" w:fill="CFF0FC"/>
          </w:tcPr>
          <w:p>
            <w:pPr>
              <w:ind w:left="620"/>
              <w:spacing w:after="0"/>
              <w:rPr>
                <w:sz w:val="20"/>
                <w:szCs w:val="20"/>
                <w:color w:val="auto"/>
              </w:rPr>
            </w:pPr>
            <w:r>
              <w:rPr>
                <w:rFonts w:ascii="Arial" w:cs="Arial" w:eastAsia="Arial" w:hAnsi="Arial"/>
                <w:sz w:val="18"/>
                <w:szCs w:val="18"/>
                <w:color w:val="auto"/>
                <w:w w:val="88"/>
              </w:rPr>
              <w:t>None</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None</w:t>
            </w:r>
          </w:p>
        </w:tc>
        <w:tc>
          <w:tcPr>
            <w:tcW w:w="1000" w:type="dxa"/>
            <w:vAlign w:val="bottom"/>
            <w:shd w:val="clear" w:color="auto" w:fill="CFF0FC"/>
          </w:tcPr>
          <w:p>
            <w:pPr>
              <w:ind w:left="600"/>
              <w:spacing w:after="0"/>
              <w:rPr>
                <w:sz w:val="20"/>
                <w:szCs w:val="20"/>
                <w:color w:val="auto"/>
              </w:rPr>
            </w:pPr>
            <w:r>
              <w:rPr>
                <w:rFonts w:ascii="Arial" w:cs="Arial" w:eastAsia="Arial" w:hAnsi="Arial"/>
                <w:sz w:val="18"/>
                <w:szCs w:val="18"/>
                <w:color w:val="auto"/>
                <w:w w:val="88"/>
              </w:rPr>
              <w:t>None</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23" w:lineRule="exact"/>
        <w:rPr>
          <w:rFonts w:ascii="Arial" w:cs="Arial" w:eastAsia="Arial" w:hAnsi="Arial"/>
          <w:sz w:val="18"/>
          <w:szCs w:val="18"/>
          <w:color w:val="auto"/>
        </w:rPr>
      </w:pPr>
    </w:p>
    <w:p>
      <w:pPr>
        <w:ind w:left="600" w:hanging="592"/>
        <w:spacing w:after="0"/>
        <w:tabs>
          <w:tab w:leader="none" w:pos="6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Efrat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i w:val="1"/>
          <w:iCs w:val="1"/>
          <w:color w:val="auto"/>
        </w:rPr>
        <w:t>Certain Relationships and Related Party Transactions</w:t>
      </w:r>
    </w:p>
    <w:p>
      <w:pPr>
        <w:spacing w:after="0" w:line="225" w:lineRule="exact"/>
        <w:rPr>
          <w:sz w:val="20"/>
          <w:szCs w:val="20"/>
          <w:color w:val="auto"/>
        </w:rPr>
      </w:pPr>
    </w:p>
    <w:p>
      <w:pPr>
        <w:ind w:right="140" w:firstLine="598"/>
        <w:spacing w:after="0" w:line="254" w:lineRule="auto"/>
        <w:rPr>
          <w:sz w:val="20"/>
          <w:szCs w:val="20"/>
          <w:color w:val="auto"/>
        </w:rPr>
      </w:pPr>
      <w:r>
        <w:rPr>
          <w:rFonts w:ascii="Arial" w:cs="Arial" w:eastAsia="Arial" w:hAnsi="Arial"/>
          <w:sz w:val="18"/>
          <w:szCs w:val="18"/>
          <w:color w:val="auto"/>
        </w:rPr>
        <w:t>Each Company’s investment activities are managed by the Adviser and supervised by its Board, of which 80% of the members are Independent Directors. Each Company’s Investment Management Agreement with the Adviser was re-approved by its Board, including a majority of the Independent Directors, in February 2017. Under each Company’s Investment Management Agreement, the Adviser, subject to the overall supervision of the Board, manages the day-to-day operations of and provides investment advisory services to the Company. For providing these services, the Adviser receives a fee from each Company, consisting of two components: a base management fee and an incentive fee. For the fiscal year ended September 30, 2017, the Adviser earned a base management fee of $20.3 million (after a waiver of $3.9 million) and an incentive fee of $9.3 million (after a waiver of $1.8 million) from PNNT and a base management fee of $6.9 million and an incentive fee of $4.9 million (before $1.2 million on net unrealized gains accrued but not payable) from PFLT.</w:t>
      </w:r>
    </w:p>
    <w:p>
      <w:pPr>
        <w:spacing w:after="0" w:line="192" w:lineRule="exact"/>
        <w:rPr>
          <w:sz w:val="20"/>
          <w:szCs w:val="20"/>
          <w:color w:val="auto"/>
        </w:rPr>
      </w:pPr>
    </w:p>
    <w:p>
      <w:pPr>
        <w:ind w:right="40" w:firstLine="598"/>
        <w:spacing w:after="0" w:line="293" w:lineRule="auto"/>
        <w:rPr>
          <w:sz w:val="20"/>
          <w:szCs w:val="20"/>
          <w:color w:val="auto"/>
        </w:rPr>
      </w:pPr>
      <w:r>
        <w:rPr>
          <w:rFonts w:ascii="Arial" w:cs="Arial" w:eastAsia="Arial" w:hAnsi="Arial"/>
          <w:sz w:val="16"/>
          <w:szCs w:val="16"/>
          <w:color w:val="auto"/>
        </w:rPr>
        <w:t>Each Company’s Administration Agreement with the Administrator was re-approved by its Board, including a majority of the Independent Directors, in February 2017. Under each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Aviv Efrat, each Company’s Chief Financial Officer, is the Managing Director of the Administrator. For the fiscal year ended September 30, 2017, the Adviser and the Administrator, collectively, were reimbursed $2.5 million from PNNT and $1.7 million from PFLT for the services described above.</w:t>
      </w:r>
    </w:p>
    <w:p>
      <w:pPr>
        <w:spacing w:after="0" w:line="165"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Adviser has granted a non-exclusive, royalty-free license to each Company to use the name “PennantPark.”</w:t>
      </w:r>
    </w:p>
    <w:p>
      <w:pPr>
        <w:spacing w:after="0" w:line="225" w:lineRule="exact"/>
        <w:rPr>
          <w:sz w:val="20"/>
          <w:szCs w:val="20"/>
          <w:color w:val="auto"/>
        </w:rPr>
      </w:pPr>
    </w:p>
    <w:p>
      <w:pPr>
        <w:ind w:right="640" w:firstLine="598"/>
        <w:spacing w:after="0" w:line="342" w:lineRule="auto"/>
        <w:rPr>
          <w:sz w:val="20"/>
          <w:szCs w:val="20"/>
          <w:color w:val="auto"/>
        </w:rPr>
      </w:pPr>
      <w:r>
        <w:rPr>
          <w:rFonts w:ascii="Arial" w:cs="Arial" w:eastAsia="Arial" w:hAnsi="Arial"/>
          <w:sz w:val="16"/>
          <w:szCs w:val="16"/>
          <w:color w:val="auto"/>
        </w:rPr>
        <w:t>In addition, pursuant to the terms of each Administration Agreement, the Administrator provides the Companies with the office facilities and administrative services necessary to conduct their day-to-day operations. The Adviser is the sole member of, and controls, the Administrator.</w:t>
      </w:r>
    </w:p>
    <w:p>
      <w:pPr>
        <w:spacing w:after="0" w:line="124" w:lineRule="exact"/>
        <w:rPr>
          <w:sz w:val="20"/>
          <w:szCs w:val="20"/>
          <w:color w:val="auto"/>
        </w:rPr>
      </w:pPr>
    </w:p>
    <w:p>
      <w:pPr>
        <w:ind w:firstLine="598"/>
        <w:spacing w:after="0" w:line="259" w:lineRule="auto"/>
        <w:rPr>
          <w:sz w:val="20"/>
          <w:szCs w:val="20"/>
          <w:color w:val="auto"/>
        </w:rPr>
      </w:pPr>
      <w:r>
        <w:rPr>
          <w:rFonts w:ascii="Arial" w:cs="Arial" w:eastAsia="Arial" w:hAnsi="Arial"/>
          <w:sz w:val="18"/>
          <w:szCs w:val="18"/>
          <w:color w:val="auto"/>
        </w:rPr>
        <w:t>The Audit Committee of each Company, in consultation with the Companies’ Chief Executive Officer, CCO and legal counsel, has established a written policy to govern the review of potential related party transactions. The Audit Committee of each Company conducts quarterly reviews of any potential related party transactions and, during these reviews, it also considers any conflicts of interest brought to its attention pursuant to the Company’s Joint Code of Conduct or Joint Code of Ethics.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i w:val="1"/>
          <w:iCs w:val="1"/>
          <w:color w:val="auto"/>
        </w:rPr>
        <w:t>PROPOSAL 2: RATIFICATION OF SELECTION OF INDEPENDENT REGISTERED PUBLIC ACCOUNTING FIRM</w:t>
      </w:r>
    </w:p>
    <w:p>
      <w:pPr>
        <w:spacing w:after="0" w:line="225" w:lineRule="exact"/>
        <w:rPr>
          <w:sz w:val="20"/>
          <w:szCs w:val="20"/>
          <w:color w:val="auto"/>
        </w:rPr>
      </w:pPr>
    </w:p>
    <w:p>
      <w:pPr>
        <w:ind w:right="40" w:firstLine="598"/>
        <w:spacing w:after="0" w:line="255" w:lineRule="auto"/>
        <w:rPr>
          <w:sz w:val="20"/>
          <w:szCs w:val="20"/>
          <w:color w:val="auto"/>
        </w:rPr>
      </w:pPr>
      <w:r>
        <w:rPr>
          <w:rFonts w:ascii="Arial" w:cs="Arial" w:eastAsia="Arial" w:hAnsi="Arial"/>
          <w:sz w:val="18"/>
          <w:szCs w:val="18"/>
          <w:color w:val="auto"/>
        </w:rPr>
        <w:t>RSM US LLP (“RSM”), has been selected as the independent registered public accounting firm to audit the consolidated financial statements of each Company and its subsidiaries on and during the Company’s fiscal year ending September 30, 2018. RSM was selected by each Audit Committee, and that selection was ratified by a majority of each Company’s Board, including all of the Independent Directors, by a vote cast in person. This selection is subject to ratification or rejection by the stockholders of the Companies. The Companies do not know of any direct or indirect financial interest of RSM in the Companies. Representative(s) of RSM will attend the Meeting and will have the opportunity to make a statement if they desire to do so and will be available to answer questions.</w:t>
      </w: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Principal Accountant Fees and Services</w:t>
      </w:r>
    </w:p>
    <w:p>
      <w:pPr>
        <w:spacing w:after="0" w:line="225"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The following aggregate fees by RSM were billed to the Companies for work attributed to audit, tax and other services provided to the Companies for the fiscal years ended September 30, 2017 and 2016.</w:t>
      </w:r>
    </w:p>
    <w:p>
      <w:pPr>
        <w:spacing w:after="0" w:line="176" w:lineRule="exact"/>
        <w:rPr>
          <w:sz w:val="20"/>
          <w:szCs w:val="20"/>
          <w:color w:val="auto"/>
        </w:rPr>
      </w:pPr>
    </w:p>
    <w:tbl>
      <w:tblPr>
        <w:tblLayout w:type="fixed"/>
        <w:tblInd w:w="480" w:type="dxa"/>
        <w:tblCellMar>
          <w:top w:w="0" w:type="dxa"/>
          <w:left w:w="0" w:type="dxa"/>
          <w:bottom w:w="0" w:type="dxa"/>
          <w:right w:w="0" w:type="dxa"/>
        </w:tblCellMar>
      </w:tblPr>
      <w:tr>
        <w:trPr>
          <w:trHeight w:val="171"/>
        </w:trPr>
        <w:tc>
          <w:tcPr>
            <w:tcW w:w="19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85"/>
              <w:spacing w:after="0"/>
              <w:rPr>
                <w:sz w:val="20"/>
                <w:szCs w:val="20"/>
                <w:color w:val="auto"/>
              </w:rPr>
            </w:pPr>
            <w:r>
              <w:rPr>
                <w:rFonts w:ascii="Arial" w:cs="Arial" w:eastAsia="Arial" w:hAnsi="Arial"/>
                <w:sz w:val="14"/>
                <w:szCs w:val="14"/>
                <w:b w:val="1"/>
                <w:bCs w:val="1"/>
                <w:color w:val="auto"/>
              </w:rPr>
              <w:t>PNNT</w:t>
            </w:r>
          </w:p>
        </w:tc>
        <w:tc>
          <w:tcPr>
            <w:tcW w:w="1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w w:val="97"/>
              </w:rPr>
              <w:t>PFLT</w:t>
            </w:r>
          </w:p>
        </w:tc>
        <w:tc>
          <w:tcPr>
            <w:tcW w:w="1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1980" w:type="dxa"/>
            <w:vAlign w:val="bottom"/>
            <w:tcBorders>
              <w:bottom w:val="single" w:sz="8" w:color="CFF0FC"/>
            </w:tcBorders>
          </w:tcPr>
          <w:p>
            <w:pPr>
              <w:spacing w:after="0"/>
              <w:rPr>
                <w:sz w:val="13"/>
                <w:szCs w:val="13"/>
                <w:color w:val="auto"/>
              </w:rPr>
            </w:pPr>
          </w:p>
        </w:tc>
        <w:tc>
          <w:tcPr>
            <w:tcW w:w="6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jc w:val="right"/>
              <w:ind w:right="275"/>
              <w:spacing w:after="0" w:line="155" w:lineRule="exact"/>
              <w:rPr>
                <w:sz w:val="20"/>
                <w:szCs w:val="20"/>
                <w:color w:val="auto"/>
              </w:rPr>
            </w:pPr>
            <w:r>
              <w:rPr>
                <w:rFonts w:ascii="Arial" w:cs="Arial" w:eastAsia="Arial" w:hAnsi="Arial"/>
                <w:sz w:val="14"/>
                <w:szCs w:val="14"/>
                <w:b w:val="1"/>
                <w:bCs w:val="1"/>
                <w:color w:val="auto"/>
                <w:w w:val="99"/>
              </w:rPr>
              <w:t>September 30, 2016</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w w:val="97"/>
              </w:rPr>
              <w:t>September 30, 2017</w:t>
            </w:r>
          </w:p>
        </w:tc>
        <w:tc>
          <w:tcPr>
            <w:tcW w:w="240" w:type="dxa"/>
            <w:vAlign w:val="bottom"/>
            <w:tcBorders>
              <w:bottom w:val="single" w:sz="8" w:color="CFF0FC"/>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153"/>
              <w:spacing w:after="0" w:line="155" w:lineRule="exact"/>
              <w:rPr>
                <w:sz w:val="20"/>
                <w:szCs w:val="20"/>
                <w:color w:val="auto"/>
              </w:rPr>
            </w:pPr>
            <w:r>
              <w:rPr>
                <w:rFonts w:ascii="Arial" w:cs="Arial" w:eastAsia="Arial" w:hAnsi="Arial"/>
                <w:sz w:val="14"/>
                <w:szCs w:val="14"/>
                <w:b w:val="1"/>
                <w:bCs w:val="1"/>
                <w:color w:val="auto"/>
                <w:w w:val="94"/>
              </w:rPr>
              <w:t>September 30, 2016</w:t>
            </w: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w w:val="96"/>
              </w:rPr>
              <w:t>September 30, 2017</w:t>
            </w:r>
          </w:p>
        </w:tc>
        <w:tc>
          <w:tcPr>
            <w:tcW w:w="80" w:type="dxa"/>
            <w:vAlign w:val="bottom"/>
            <w:tcBorders>
              <w:bottom w:val="single" w:sz="8" w:color="CFF0FC"/>
            </w:tcBorders>
          </w:tcPr>
          <w:p>
            <w:pPr>
              <w:spacing w:after="0"/>
              <w:rPr>
                <w:sz w:val="13"/>
                <w:szCs w:val="13"/>
                <w:color w:val="auto"/>
              </w:rPr>
            </w:pPr>
          </w:p>
        </w:tc>
      </w:tr>
      <w:tr>
        <w:trPr>
          <w:trHeight w:val="223"/>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Audit Fees</w:t>
            </w:r>
          </w:p>
        </w:tc>
        <w:tc>
          <w:tcPr>
            <w:tcW w:w="6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208,715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425,641</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187,900</w:t>
            </w: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440,052</w:t>
            </w:r>
          </w:p>
        </w:tc>
        <w:tc>
          <w:tcPr>
            <w:tcW w:w="80" w:type="dxa"/>
            <w:vAlign w:val="bottom"/>
            <w:shd w:val="clear" w:color="auto" w:fill="CFF0FC"/>
          </w:tcPr>
          <w:p>
            <w:pPr>
              <w:spacing w:after="0"/>
              <w:rPr>
                <w:sz w:val="19"/>
                <w:szCs w:val="19"/>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Audit Related Fees</w:t>
            </w:r>
          </w:p>
        </w:tc>
        <w:tc>
          <w:tcPr>
            <w:tcW w:w="8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57,600</w:t>
            </w:r>
          </w:p>
        </w:tc>
        <w:tc>
          <w:tcPr>
            <w:tcW w:w="4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shd w:val="clear" w:color="auto" w:fill="CFF0FC"/>
          </w:tcPr>
          <w:p>
            <w:pPr>
              <w:spacing w:after="0"/>
              <w:rPr>
                <w:sz w:val="20"/>
                <w:szCs w:val="20"/>
                <w:color w:val="auto"/>
              </w:rPr>
            </w:pPr>
            <w:r>
              <w:rPr>
                <w:rFonts w:ascii="Arial" w:cs="Arial" w:eastAsia="Arial" w:hAnsi="Arial"/>
                <w:sz w:val="18"/>
                <w:szCs w:val="18"/>
                <w:color w:val="auto"/>
              </w:rPr>
              <w:t>Tax Fees</w:t>
            </w:r>
          </w:p>
        </w:tc>
        <w:tc>
          <w:tcPr>
            <w:tcW w:w="820" w:type="dxa"/>
            <w:vAlign w:val="bottom"/>
            <w:gridSpan w:val="2"/>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27,210</w:t>
            </w:r>
          </w:p>
        </w:tc>
        <w:tc>
          <w:tcPr>
            <w:tcW w:w="400" w:type="dxa"/>
            <w:vAlign w:val="bottom"/>
            <w:gridSpan w:val="2"/>
            <w:shd w:val="clear" w:color="auto" w:fill="CFF0FC"/>
          </w:tcPr>
          <w:p>
            <w:pPr>
              <w:jc w:val="right"/>
              <w:ind w:right="25"/>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17,855</w:t>
            </w:r>
          </w:p>
        </w:tc>
        <w:tc>
          <w:tcPr>
            <w:tcW w:w="400" w:type="dxa"/>
            <w:vAlign w:val="bottom"/>
            <w:gridSpan w:val="2"/>
            <w:shd w:val="clear" w:color="auto" w:fill="CFF0FC"/>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13,710</w:t>
            </w:r>
          </w:p>
        </w:tc>
        <w:tc>
          <w:tcPr>
            <w:tcW w:w="440" w:type="dxa"/>
            <w:vAlign w:val="bottom"/>
            <w:gridSpan w:val="3"/>
            <w:shd w:val="clear" w:color="auto" w:fill="CFF0FC"/>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17,855</w:t>
            </w:r>
          </w:p>
        </w:tc>
        <w:tc>
          <w:tcPr>
            <w:tcW w:w="80" w:type="dxa"/>
            <w:vAlign w:val="bottom"/>
            <w:shd w:val="clear" w:color="auto" w:fill="CFF0FC"/>
          </w:tcPr>
          <w:p>
            <w:pPr>
              <w:spacing w:after="0"/>
              <w:rPr>
                <w:sz w:val="19"/>
                <w:szCs w:val="19"/>
                <w:color w:val="auto"/>
              </w:rPr>
            </w:pP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All Other Fees</w:t>
            </w:r>
          </w:p>
        </w:tc>
        <w:tc>
          <w:tcPr>
            <w:tcW w:w="8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608</w:t>
            </w:r>
          </w:p>
        </w:tc>
        <w:tc>
          <w:tcPr>
            <w:tcW w:w="4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440" w:type="dxa"/>
            <w:vAlign w:val="bottom"/>
            <w:gridSpan w:val="3"/>
          </w:tcPr>
          <w:p>
            <w:pPr>
              <w:jc w:val="right"/>
              <w:ind w:right="45"/>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760</w:t>
            </w:r>
          </w:p>
        </w:tc>
        <w:tc>
          <w:tcPr>
            <w:tcW w:w="80" w:type="dxa"/>
            <w:vAlign w:val="bottom"/>
          </w:tcPr>
          <w:p>
            <w:pPr>
              <w:spacing w:after="0"/>
              <w:rPr>
                <w:sz w:val="19"/>
                <w:szCs w:val="19"/>
                <w:color w:val="auto"/>
              </w:rPr>
            </w:pPr>
          </w:p>
        </w:tc>
      </w:tr>
      <w:tr>
        <w:trPr>
          <w:trHeight w:val="223"/>
        </w:trPr>
        <w:tc>
          <w:tcPr>
            <w:tcW w:w="1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6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235,925</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5"/>
              <w:spacing w:after="0"/>
              <w:rPr>
                <w:sz w:val="20"/>
                <w:szCs w:val="20"/>
                <w:color w:val="auto"/>
              </w:rPr>
            </w:pPr>
            <w:r>
              <w:rPr>
                <w:rFonts w:ascii="Arial" w:cs="Arial" w:eastAsia="Arial" w:hAnsi="Arial"/>
                <w:sz w:val="15"/>
                <w:szCs w:val="15"/>
                <w:color w:val="auto"/>
                <w:w w:val="71"/>
              </w:rPr>
              <w:t>$</w:t>
            </w:r>
          </w:p>
        </w:tc>
        <w:tc>
          <w:tcPr>
            <w:tcW w:w="1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444,104</w:t>
            </w:r>
          </w:p>
        </w:tc>
        <w:tc>
          <w:tcPr>
            <w:tcW w:w="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5"/>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274,210</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5"/>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458,666</w:t>
            </w:r>
          </w:p>
        </w:tc>
        <w:tc>
          <w:tcPr>
            <w:tcW w:w="80" w:type="dxa"/>
            <w:vAlign w:val="bottom"/>
            <w:tcBorders>
              <w:top w:val="single" w:sz="8" w:color="CFF0FC"/>
            </w:tcBorders>
            <w:shd w:val="clear" w:color="auto" w:fill="CFF0FC"/>
          </w:tcPr>
          <w:p>
            <w:pPr>
              <w:spacing w:after="0"/>
              <w:rPr>
                <w:sz w:val="19"/>
                <w:szCs w:val="19"/>
                <w:color w:val="auto"/>
              </w:rPr>
            </w:pPr>
          </w:p>
        </w:tc>
      </w:tr>
    </w:tbl>
    <w:p>
      <w:pPr>
        <w:spacing w:after="0" w:line="202" w:lineRule="exact"/>
        <w:rPr>
          <w:sz w:val="20"/>
          <w:szCs w:val="20"/>
          <w:color w:val="auto"/>
        </w:rPr>
      </w:pPr>
    </w:p>
    <w:p>
      <w:pPr>
        <w:ind w:right="360" w:firstLine="598"/>
        <w:spacing w:after="0" w:line="27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professional services rendered for the audit of our year-end financial statements and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were normally provided in connection with statutory and regulatory filings.</w:t>
      </w:r>
    </w:p>
    <w:p>
      <w:pPr>
        <w:spacing w:after="0" w:line="170"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consist of fees billed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81" w:lineRule="exact"/>
        <w:rPr>
          <w:sz w:val="20"/>
          <w:szCs w:val="20"/>
          <w:color w:val="auto"/>
        </w:rPr>
      </w:pPr>
    </w:p>
    <w:p>
      <w:pPr>
        <w:ind w:right="240" w:firstLine="598"/>
        <w:spacing w:after="0" w:line="277" w:lineRule="auto"/>
        <w:rPr>
          <w:sz w:val="20"/>
          <w:szCs w:val="20"/>
          <w:color w:val="auto"/>
        </w:rPr>
      </w:pPr>
      <w:r>
        <w:rPr>
          <w:rFonts w:ascii="Arial" w:cs="Arial" w:eastAsia="Arial" w:hAnsi="Arial"/>
          <w:sz w:val="18"/>
          <w:szCs w:val="18"/>
          <w:i w:val="1"/>
          <w:iCs w:val="1"/>
          <w:color w:val="auto"/>
        </w:rPr>
        <w:t xml:space="preserve">Tax Fees: </w:t>
      </w:r>
      <w:r>
        <w:rPr>
          <w:rFonts w:ascii="Arial" w:cs="Arial" w:eastAsia="Arial" w:hAnsi="Arial"/>
          <w:sz w:val="18"/>
          <w:szCs w:val="18"/>
          <w:color w:val="auto"/>
        </w:rPr>
        <w:t>Tax fees consist of fees billed for professional services for tax compliance. These services include assistance regarding federal, state and</w:t>
      </w:r>
      <w:r>
        <w:rPr>
          <w:rFonts w:ascii="Arial" w:cs="Arial" w:eastAsia="Arial" w:hAnsi="Arial"/>
          <w:sz w:val="18"/>
          <w:szCs w:val="18"/>
          <w:i w:val="1"/>
          <w:iCs w:val="1"/>
          <w:color w:val="auto"/>
        </w:rPr>
        <w:t xml:space="preserve"> </w:t>
      </w:r>
      <w:r>
        <w:rPr>
          <w:rFonts w:ascii="Arial" w:cs="Arial" w:eastAsia="Arial" w:hAnsi="Arial"/>
          <w:sz w:val="18"/>
          <w:szCs w:val="18"/>
          <w:color w:val="auto"/>
        </w:rPr>
        <w:t>local tax compliance.</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Other fees would include fees billed for products and services other than the services reported above.</w:t>
      </w:r>
    </w:p>
    <w:p>
      <w:pPr>
        <w:spacing w:after="0" w:line="225" w:lineRule="exact"/>
        <w:rPr>
          <w:sz w:val="20"/>
          <w:szCs w:val="20"/>
          <w:color w:val="auto"/>
        </w:rPr>
      </w:pPr>
    </w:p>
    <w:p>
      <w:pPr>
        <w:ind w:firstLine="598"/>
        <w:spacing w:after="0" w:line="276" w:lineRule="auto"/>
        <w:rPr>
          <w:sz w:val="20"/>
          <w:szCs w:val="20"/>
          <w:color w:val="auto"/>
        </w:rPr>
      </w:pPr>
      <w:r>
        <w:rPr>
          <w:rFonts w:ascii="Arial" w:cs="Arial" w:eastAsia="Arial" w:hAnsi="Arial"/>
          <w:sz w:val="17"/>
          <w:szCs w:val="17"/>
          <w:color w:val="auto"/>
        </w:rPr>
        <w:t>Each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Companies during the fiscal year ended September 30, 2017 were approved by the Audit Committees in accordance with such policy.</w:t>
      </w:r>
    </w:p>
    <w:p>
      <w:pPr>
        <w:spacing w:after="0" w:line="173" w:lineRule="exact"/>
        <w:rPr>
          <w:sz w:val="20"/>
          <w:szCs w:val="20"/>
          <w:color w:val="auto"/>
        </w:rPr>
      </w:pPr>
    </w:p>
    <w:p>
      <w:pPr>
        <w:ind w:right="60" w:firstLine="598"/>
        <w:spacing w:after="0" w:line="255" w:lineRule="auto"/>
        <w:rPr>
          <w:sz w:val="20"/>
          <w:szCs w:val="20"/>
          <w:color w:val="auto"/>
        </w:rPr>
      </w:pPr>
      <w:r>
        <w:rPr>
          <w:rFonts w:ascii="Arial" w:cs="Arial" w:eastAsia="Arial" w:hAnsi="Arial"/>
          <w:sz w:val="18"/>
          <w:szCs w:val="18"/>
          <w:color w:val="auto"/>
        </w:rPr>
        <w:t>Any requests for audit, audit-related, tax and other services that have not received general pre-approval must be submitted to the Audit Committee of the relevant Company for specific pre-approval and cannot commence until such approval has been granted. Normally, pre-approval is provided at regularly scheduled meetings of the Audit Committees. However, each Audit Committee may delegate pre-approval authority to one or more of its members. The member or members to whom such authority is delegated shall report any pre-approval decisions to the Audit Committee at its next scheduled meeting. The Audit Committees do not delegate their responsibilities to pre-approve services performed by the independent registered public accounting firm to Company management.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0" w:name="page21"/>
    <w:bookmarkEnd w:id="20"/>
    <w:p>
      <w:pPr>
        <w:ind w:right="60"/>
        <w:spacing w:after="0" w:line="266" w:lineRule="auto"/>
        <w:rPr>
          <w:sz w:val="20"/>
          <w:szCs w:val="20"/>
          <w:color w:val="auto"/>
        </w:rPr>
      </w:pPr>
      <w:r>
        <w:rPr>
          <w:rFonts w:ascii="Arial" w:cs="Arial" w:eastAsia="Arial" w:hAnsi="Arial"/>
          <w:sz w:val="18"/>
          <w:szCs w:val="18"/>
          <w:b w:val="1"/>
          <w:bCs w:val="1"/>
          <w:color w:val="auto"/>
        </w:rPr>
        <w:t>EACH BOARD, INCLUDING ITS INDEPENDENT DIRECTORS, UNANIMOUSLY RECOMMENDS THAT YOU VOTE FOR RATIFICATION OF RSM AS INDEPENDENT REGISTERED PUBLIC ACCOUNTING FIRM TO YOUR COMPANY FOR THE FISCAL YEAR ENDING SEPTEMBER 30,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Audit Committee Report </w:t>
      </w:r>
      <w:r>
        <w:rPr>
          <w:rFonts w:ascii="Arial" w:cs="Arial" w:eastAsia="Arial" w:hAnsi="Arial"/>
          <w:sz w:val="22"/>
          <w:szCs w:val="22"/>
          <w:b w:val="1"/>
          <w:bCs w:val="1"/>
          <w:i w:val="1"/>
          <w:iCs w:val="1"/>
          <w:color w:val="auto"/>
          <w:vertAlign w:val="superscript"/>
        </w:rPr>
        <w:t>(1)</w:t>
      </w:r>
    </w:p>
    <w:p>
      <w:pPr>
        <w:spacing w:after="0" w:line="71" w:lineRule="exact"/>
        <w:rPr>
          <w:sz w:val="20"/>
          <w:szCs w:val="20"/>
          <w:color w:val="auto"/>
        </w:rPr>
      </w:pPr>
    </w:p>
    <w:p>
      <w:pPr>
        <w:ind w:right="480" w:firstLine="598"/>
        <w:spacing w:after="0" w:line="277" w:lineRule="auto"/>
        <w:rPr>
          <w:sz w:val="20"/>
          <w:szCs w:val="20"/>
          <w:color w:val="auto"/>
        </w:rPr>
      </w:pPr>
      <w:r>
        <w:rPr>
          <w:rFonts w:ascii="Arial" w:cs="Arial" w:eastAsia="Arial" w:hAnsi="Arial"/>
          <w:sz w:val="18"/>
          <w:szCs w:val="18"/>
          <w:color w:val="auto"/>
        </w:rPr>
        <w:t>The following is the joint report of the Audit Committees with respect to each Company’s audited financial statements for the fiscal year ended September 30, 2017.</w:t>
      </w:r>
    </w:p>
    <w:p>
      <w:pPr>
        <w:spacing w:after="0" w:line="170" w:lineRule="exact"/>
        <w:rPr>
          <w:sz w:val="20"/>
          <w:szCs w:val="20"/>
          <w:color w:val="auto"/>
        </w:rPr>
      </w:pPr>
    </w:p>
    <w:p>
      <w:pPr>
        <w:ind w:right="100" w:firstLine="598"/>
        <w:spacing w:after="0" w:line="293" w:lineRule="auto"/>
        <w:rPr>
          <w:sz w:val="20"/>
          <w:szCs w:val="20"/>
          <w:color w:val="auto"/>
        </w:rPr>
      </w:pPr>
      <w:r>
        <w:rPr>
          <w:rFonts w:ascii="Arial" w:cs="Arial" w:eastAsia="Arial" w:hAnsi="Arial"/>
          <w:sz w:val="16"/>
          <w:szCs w:val="16"/>
          <w:color w:val="auto"/>
        </w:rPr>
        <w:t>Each Audit Committee has reviewed and discussed the Company’s audited financial statements with management and RSM, the Companies’ independent registered public accounting firm, with and without management present. Each Audit Committee included in its review results of RSM’s audits, the Company’s internal controls and the quality of the Company’s financial reporting. Each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Committees are satisfied that the Companies’ internal control systems are adequate and that the Companies employ appropriate accounting procedures.</w:t>
      </w:r>
    </w:p>
    <w:p>
      <w:pPr>
        <w:spacing w:after="0" w:line="165" w:lineRule="exact"/>
        <w:rPr>
          <w:sz w:val="20"/>
          <w:szCs w:val="20"/>
          <w:color w:val="auto"/>
        </w:rPr>
      </w:pPr>
    </w:p>
    <w:p>
      <w:pPr>
        <w:ind w:firstLine="598"/>
        <w:spacing w:after="0" w:line="289" w:lineRule="auto"/>
        <w:rPr>
          <w:sz w:val="20"/>
          <w:szCs w:val="20"/>
          <w:color w:val="auto"/>
        </w:rPr>
      </w:pPr>
      <w:r>
        <w:rPr>
          <w:rFonts w:ascii="Arial" w:cs="Arial" w:eastAsia="Arial" w:hAnsi="Arial"/>
          <w:sz w:val="16"/>
          <w:szCs w:val="16"/>
          <w:color w:val="auto"/>
        </w:rPr>
        <w:t>Each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each Audit Committee has discussed with RSM its independence from management and the Company, as well as the matters in the written disclosures received from RSM and required by Public Company Accounting Oversight Board Rule 3520 (Auditor Independence). Each Audit Committee received a report from RSM confirming its independence and discussed the report with RSM. Each Audit Committee discussed and reviewed with RSM the Company’s critical accounting policies and practices, internal controls, other material written communications to management and the scope of RSM’s audits and all fees paid to RSM during the fiscal year. Each Audit Committee adopted guidelines requiring review and pre-approval by the Audit Committee of audit and non-audit services performed by RSM for the Company. Each Audit Committee has reviewed and considered the compatibility of RSM’s performance of non-audit services with the maintenance of RSM’s independence as the Company’s independent registered public accounting firm.</w:t>
      </w:r>
    </w:p>
    <w:p>
      <w:pPr>
        <w:spacing w:after="0" w:line="167" w:lineRule="exact"/>
        <w:rPr>
          <w:sz w:val="20"/>
          <w:szCs w:val="20"/>
          <w:color w:val="auto"/>
        </w:rPr>
      </w:pPr>
    </w:p>
    <w:p>
      <w:pPr>
        <w:ind w:right="180" w:firstLine="598"/>
        <w:spacing w:after="0" w:line="264" w:lineRule="auto"/>
        <w:rPr>
          <w:sz w:val="20"/>
          <w:szCs w:val="20"/>
          <w:color w:val="auto"/>
        </w:rPr>
      </w:pPr>
      <w:r>
        <w:rPr>
          <w:rFonts w:ascii="Arial" w:cs="Arial" w:eastAsia="Arial" w:hAnsi="Arial"/>
          <w:sz w:val="18"/>
          <w:szCs w:val="18"/>
          <w:color w:val="auto"/>
        </w:rPr>
        <w:t>Based on each Audit Committee’s review and discussions referred to above, each Audit Committee recommended to its Board (and the Board has approved) that the Company’s audited financial statements be included in the Company’s Annual Report on Form 10-K for the fiscal year ended September 30, 2017 for filing with the SEC.</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Audit Committees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Jeffrey Flug,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Samuel L. Katz, </w:t>
      </w:r>
      <w:r>
        <w:rPr>
          <w:rFonts w:ascii="Arial" w:cs="Arial" w:eastAsia="Arial" w:hAnsi="Arial"/>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Marshall Brozost</w:t>
      </w:r>
    </w:p>
    <w:p>
      <w:pPr>
        <w:spacing w:after="0" w:line="238" w:lineRule="exact"/>
        <w:rPr>
          <w:sz w:val="20"/>
          <w:szCs w:val="20"/>
          <w:color w:val="auto"/>
        </w:rPr>
      </w:pPr>
    </w:p>
    <w:p>
      <w:pPr>
        <w:ind w:left="600" w:right="40" w:hanging="592"/>
        <w:spacing w:after="0" w:line="264" w:lineRule="auto"/>
        <w:tabs>
          <w:tab w:leader="none" w:pos="6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to be incorporated by reference into any filing of the Companies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8407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3" w:right="25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i w:val="1"/>
          <w:iCs w:val="1"/>
          <w:color w:val="auto"/>
        </w:rPr>
        <w:t>OTHER BUSINESS</w:t>
      </w:r>
    </w:p>
    <w:p>
      <w:pPr>
        <w:spacing w:after="0" w:line="225" w:lineRule="exact"/>
        <w:rPr>
          <w:sz w:val="20"/>
          <w:szCs w:val="20"/>
          <w:color w:val="auto"/>
        </w:rPr>
      </w:pPr>
    </w:p>
    <w:p>
      <w:pPr>
        <w:ind w:right="720" w:firstLine="598"/>
        <w:spacing w:after="0" w:line="277" w:lineRule="auto"/>
        <w:rPr>
          <w:sz w:val="20"/>
          <w:szCs w:val="20"/>
          <w:color w:val="auto"/>
        </w:rPr>
      </w:pPr>
      <w:r>
        <w:rPr>
          <w:rFonts w:ascii="Arial" w:cs="Arial" w:eastAsia="Arial" w:hAnsi="Arial"/>
          <w:sz w:val="18"/>
          <w:szCs w:val="18"/>
          <w:color w:val="auto"/>
        </w:rPr>
        <w:t>The Boards know of no other matter that is likely to come before the Meeting or that may properly come before the Meeting, apart from the consideration of an adjournment or postponement.</w:t>
      </w:r>
    </w:p>
    <w:p>
      <w:pPr>
        <w:spacing w:after="0" w:line="170" w:lineRule="exact"/>
        <w:rPr>
          <w:sz w:val="20"/>
          <w:szCs w:val="20"/>
          <w:color w:val="auto"/>
        </w:rPr>
      </w:pPr>
    </w:p>
    <w:p>
      <w:pPr>
        <w:ind w:firstLine="598"/>
        <w:spacing w:after="0" w:line="277" w:lineRule="auto"/>
        <w:rPr>
          <w:sz w:val="20"/>
          <w:szCs w:val="20"/>
          <w:color w:val="auto"/>
        </w:rPr>
      </w:pPr>
      <w:r>
        <w:rPr>
          <w:rFonts w:ascii="Arial" w:cs="Arial" w:eastAsia="Arial" w:hAnsi="Arial"/>
          <w:sz w:val="18"/>
          <w:szCs w:val="18"/>
          <w:color w:val="auto"/>
        </w:rPr>
        <w:t>If there appears not to be enough votes for a quorum of a Company or to approve a proposal at the Meeting, the chairman of the Meeting may adjourn the Meeting with respect to that Company to permit the further solicitation of proxies.</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ANNUAL AND QUARTERLY REPORTS</w:t>
      </w:r>
    </w:p>
    <w:p>
      <w:pPr>
        <w:spacing w:after="0" w:line="225" w:lineRule="exact"/>
        <w:rPr>
          <w:sz w:val="20"/>
          <w:szCs w:val="20"/>
          <w:color w:val="auto"/>
        </w:rPr>
      </w:pPr>
    </w:p>
    <w:p>
      <w:pPr>
        <w:ind w:firstLine="598"/>
        <w:spacing w:after="0" w:line="323" w:lineRule="auto"/>
        <w:rPr>
          <w:sz w:val="20"/>
          <w:szCs w:val="20"/>
          <w:color w:val="auto"/>
        </w:rPr>
      </w:pPr>
      <w:r>
        <w:rPr>
          <w:rFonts w:ascii="Arial" w:cs="Arial" w:eastAsia="Arial" w:hAnsi="Arial"/>
          <w:sz w:val="16"/>
          <w:szCs w:val="16"/>
          <w:color w:val="auto"/>
        </w:rPr>
        <w:t>Copies of the Companies’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 Copies of such reports are also posted via EDGAR on the SEC’s website (http://www.sec.gov).</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SUBMISSION OF STOCKHOLDER PROPOSALS</w:t>
      </w:r>
    </w:p>
    <w:p>
      <w:pPr>
        <w:spacing w:after="0" w:line="225" w:lineRule="exact"/>
        <w:rPr>
          <w:sz w:val="20"/>
          <w:szCs w:val="20"/>
          <w:color w:val="auto"/>
        </w:rPr>
      </w:pPr>
    </w:p>
    <w:p>
      <w:pPr>
        <w:ind w:right="100" w:firstLine="598"/>
        <w:spacing w:after="0" w:line="280" w:lineRule="auto"/>
        <w:rPr>
          <w:sz w:val="20"/>
          <w:szCs w:val="20"/>
          <w:color w:val="auto"/>
        </w:rPr>
      </w:pPr>
      <w:r>
        <w:rPr>
          <w:rFonts w:ascii="Arial" w:cs="Arial" w:eastAsia="Arial" w:hAnsi="Arial"/>
          <w:sz w:val="16"/>
          <w:szCs w:val="16"/>
          <w:color w:val="auto"/>
        </w:rPr>
        <w:t>The Companies expect to hold their 2019 Joint Annual Meeting of Stockholders in February 2019, but the exact date, time and location of such meeting have yet to be determined. A Stockholder of either Company who intends to present a proposal at that meeting, including nomination of a director, must submit the proposal in writing addressed to Thomas J. Friedmann, Secretary, c/o PennantPark, 590 Madison Avenue,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Floor, New York, New York 10022. Notices of intention to present proposals, including nomination of a director, at the 2019 Joint Annual Meeting of Stockholders must be received by the relevant Company between July 11, 2018 and August 10, 2018. The submission of a proposal does not guarantee its inclusion in the Companies’ joint proxy statement or presentation at the meeting unless certain securities law requirements are met. The Companies reserve the right to reject, rule out of order or to take other appropriate action with respect to any proposal that does not comply with these and other applicable requirements.</w:t>
      </w:r>
    </w:p>
    <w:p>
      <w:pPr>
        <w:spacing w:after="0" w:line="172" w:lineRule="exact"/>
        <w:rPr>
          <w:sz w:val="20"/>
          <w:szCs w:val="20"/>
          <w:color w:val="auto"/>
        </w:rPr>
      </w:pPr>
    </w:p>
    <w:p>
      <w:pPr>
        <w:ind w:right="220" w:firstLine="598"/>
        <w:spacing w:after="0" w:line="302" w:lineRule="auto"/>
        <w:rPr>
          <w:sz w:val="20"/>
          <w:szCs w:val="20"/>
          <w:color w:val="auto"/>
        </w:rPr>
      </w:pPr>
      <w:r>
        <w:rPr>
          <w:rFonts w:ascii="Arial" w:cs="Arial" w:eastAsia="Arial" w:hAnsi="Arial"/>
          <w:sz w:val="16"/>
          <w:szCs w:val="16"/>
          <w:color w:val="auto"/>
        </w:rPr>
        <w:t>The Audit Committee of each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CCO may be contacted at: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Mr. Guy F. Talarico</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Chief Compliance Officer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Audit Committees’ Co-Chairs may be contacted at:</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Messrs. Jeffrey Flug and/or Samuel L. Katz</w:t>
      </w:r>
    </w:p>
    <w:p>
      <w:pPr>
        <w:spacing w:after="0" w:line="2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PennantPark</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Audit Committee Co-Chair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New York, New York 10022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You are cordially invited to attend our Joint Annual Meeting of Stockholders in person. Whether or not you plan to attend the Meeting, you are requested to vote in accordance with the voting instructions in the Notice of Internet Availability of Proxy Materials, or by requesting hard copy proxy materials from us and returning a proxy card(s).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1311910" cy="4032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1191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Thomas J. Friedmann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8, 2017</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20"/>
          </w:cols>
          <w:pgMar w:left="240" w:top="557" w:right="43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4835525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226060</wp:posOffset>
            </wp:positionV>
            <wp:extent cx="6612255" cy="41338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6612255" cy="4133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4886960</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226060</wp:posOffset>
            </wp:positionV>
            <wp:extent cx="6595110" cy="4176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659511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4930140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406400</wp:posOffset>
            </wp:positionH>
            <wp:positionV relativeFrom="page">
              <wp:posOffset>226060</wp:posOffset>
            </wp:positionV>
            <wp:extent cx="6757670" cy="4227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6757670"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5067300</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483235</wp:posOffset>
            </wp:positionH>
            <wp:positionV relativeFrom="page">
              <wp:posOffset>226060</wp:posOffset>
            </wp:positionV>
            <wp:extent cx="6595110" cy="4227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6595110" cy="42278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362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73621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4396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7439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4810125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226060</wp:posOffset>
            </wp:positionV>
            <wp:extent cx="6620510" cy="41078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6620510" cy="4107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4878705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226060</wp:posOffset>
            </wp:positionV>
            <wp:extent cx="6586220" cy="41681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586220" cy="4168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4912995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414655</wp:posOffset>
            </wp:positionH>
            <wp:positionV relativeFrom="page">
              <wp:posOffset>226060</wp:posOffset>
            </wp:positionV>
            <wp:extent cx="6740525" cy="4210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740525" cy="4210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5084445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drawing>
          <wp:anchor simplePos="0" relativeHeight="251657728" behindDoc="1" locked="0" layoutInCell="0" allowOverlap="1">
            <wp:simplePos x="0" y="0"/>
            <wp:positionH relativeFrom="page">
              <wp:posOffset>500380</wp:posOffset>
            </wp:positionH>
            <wp:positionV relativeFrom="page">
              <wp:posOffset>226060</wp:posOffset>
            </wp:positionV>
            <wp:extent cx="6569075" cy="42449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6569075" cy="4244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226060</wp:posOffset>
            </wp:positionV>
            <wp:extent cx="7289165" cy="73964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7396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1109345</wp:posOffset>
            </wp:positionH>
            <wp:positionV relativeFrom="page">
              <wp:posOffset>252095</wp:posOffset>
            </wp:positionV>
            <wp:extent cx="5351145" cy="70580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5351145" cy="70580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1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jpe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2019-12-07T05:05:53Z</dcterms:created>
  <dcterms:modified xsi:type="dcterms:W3CDTF">2019-12-07T05:05:53Z</dcterms:modified>
</cp:coreProperties>
</file>