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580" w:type="dxa"/>
            <w:vAlign w:val="bottom"/>
          </w:tcPr>
          <w:p>
            <w:pPr>
              <w:ind w:left="3280"/>
              <w:spacing w:after="0"/>
              <w:rPr>
                <w:sz w:val="20"/>
                <w:szCs w:val="20"/>
                <w:color w:val="auto"/>
              </w:rPr>
            </w:pPr>
            <w:r>
              <w:rPr>
                <w:rFonts w:ascii="Arial" w:cs="Arial" w:eastAsia="Arial" w:hAnsi="Arial"/>
                <w:sz w:val="18"/>
                <w:szCs w:val="18"/>
                <w:b w:val="1"/>
                <w:bCs w:val="1"/>
                <w:color w:val="auto"/>
              </w:rPr>
              <w:t>FOR THE TRANSITION PERIOD FROM</w:t>
            </w:r>
          </w:p>
        </w:tc>
        <w:tc>
          <w:tcPr>
            <w:tcW w:w="5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3640" w:type="dxa"/>
            <w:vAlign w:val="bottom"/>
          </w:tcPr>
          <w:p>
            <w:pPr>
              <w:spacing w:after="0"/>
              <w:rPr>
                <w:sz w:val="17"/>
                <w:szCs w:val="17"/>
                <w:color w:val="auto"/>
              </w:rPr>
            </w:pPr>
          </w:p>
        </w:tc>
      </w:tr>
      <w:tr>
        <w:trPr>
          <w:trHeight w:val="396"/>
        </w:trPr>
        <w:tc>
          <w:tcPr>
            <w:tcW w:w="7600" w:type="dxa"/>
            <w:vAlign w:val="bottom"/>
            <w:gridSpan w:val="4"/>
          </w:tcPr>
          <w:p>
            <w:pPr>
              <w:jc w:val="center"/>
              <w:ind w:left="3563"/>
              <w:spacing w:after="0"/>
              <w:rPr>
                <w:sz w:val="20"/>
                <w:szCs w:val="20"/>
                <w:color w:val="auto"/>
              </w:rPr>
            </w:pPr>
            <w:r>
              <w:rPr>
                <w:rFonts w:ascii="Arial" w:cs="Arial" w:eastAsia="Arial" w:hAnsi="Arial"/>
                <w:sz w:val="18"/>
                <w:szCs w:val="18"/>
                <w:b w:val="1"/>
                <w:bCs w:val="1"/>
                <w:color w:val="auto"/>
                <w:w w:val="96"/>
              </w:rPr>
              <w:t>COMMISSION FILE NUMBER: 814-00891</w:t>
            </w:r>
          </w:p>
        </w:tc>
        <w:tc>
          <w:tcPr>
            <w:tcW w:w="3640" w:type="dxa"/>
            <w:vAlign w:val="bottom"/>
          </w:tcPr>
          <w:p>
            <w:pPr>
              <w:spacing w:after="0"/>
              <w:rPr>
                <w:sz w:val="24"/>
                <w:szCs w:val="24"/>
                <w:color w:val="auto"/>
              </w:rPr>
            </w:pPr>
          </w:p>
        </w:tc>
      </w:tr>
      <w:tr>
        <w:trPr>
          <w:trHeight w:val="245"/>
        </w:trPr>
        <w:tc>
          <w:tcPr>
            <w:tcW w:w="65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gridSpan w:val="3"/>
          </w:tcPr>
          <w:p>
            <w:pPr>
              <w:spacing w:after="0"/>
              <w:rPr>
                <w:sz w:val="21"/>
                <w:szCs w:val="21"/>
                <w:color w:val="auto"/>
              </w:rPr>
            </w:pPr>
          </w:p>
        </w:tc>
      </w:tr>
      <w:tr>
        <w:trPr>
          <w:trHeight w:val="426"/>
        </w:trPr>
        <w:tc>
          <w:tcPr>
            <w:tcW w:w="11240" w:type="dxa"/>
            <w:vAlign w:val="bottom"/>
            <w:gridSpan w:val="5"/>
          </w:tcPr>
          <w:p>
            <w:pPr>
              <w:jc w:val="center"/>
              <w:spacing w:after="0"/>
              <w:rPr>
                <w:sz w:val="20"/>
                <w:szCs w:val="20"/>
                <w:color w:val="auto"/>
              </w:rPr>
            </w:pPr>
            <w:r>
              <w:rPr>
                <w:rFonts w:ascii="Arial" w:cs="Arial" w:eastAsia="Arial" w:hAnsi="Arial"/>
                <w:sz w:val="32"/>
                <w:szCs w:val="32"/>
                <w:b w:val="1"/>
                <w:bCs w:val="1"/>
                <w:color w:val="auto"/>
              </w:rPr>
              <w:t>PENNANTPARK FLOATING RATE CAPITAL LTD.</w:t>
            </w:r>
          </w:p>
        </w:tc>
      </w:tr>
      <w:tr>
        <w:trPr>
          <w:trHeight w:val="174"/>
        </w:trPr>
        <w:tc>
          <w:tcPr>
            <w:tcW w:w="7120" w:type="dxa"/>
            <w:vAlign w:val="bottom"/>
            <w:gridSpan w:val="3"/>
          </w:tcPr>
          <w:p>
            <w:pPr>
              <w:jc w:val="center"/>
              <w:ind w:left="4063"/>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c>
          <w:tcPr>
            <w:tcW w:w="4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17"/>
        </w:trPr>
        <w:tc>
          <w:tcPr>
            <w:tcW w:w="6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237"/>
        </w:trPr>
        <w:tc>
          <w:tcPr>
            <w:tcW w:w="712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rPr>
              <w:t>MARYLAND</w:t>
            </w:r>
          </w:p>
        </w:tc>
        <w:tc>
          <w:tcPr>
            <w:tcW w:w="480" w:type="dxa"/>
            <w:vAlign w:val="bottom"/>
          </w:tcPr>
          <w:p>
            <w:pPr>
              <w:spacing w:after="0"/>
              <w:rPr>
                <w:sz w:val="20"/>
                <w:szCs w:val="20"/>
                <w:color w:val="auto"/>
              </w:rPr>
            </w:pPr>
          </w:p>
        </w:tc>
        <w:tc>
          <w:tcPr>
            <w:tcW w:w="3640" w:type="dxa"/>
            <w:vAlign w:val="bottom"/>
          </w:tcPr>
          <w:p>
            <w:pPr>
              <w:jc w:val="right"/>
              <w:ind w:right="2333"/>
              <w:spacing w:after="0"/>
              <w:rPr>
                <w:sz w:val="20"/>
                <w:szCs w:val="20"/>
                <w:color w:val="auto"/>
              </w:rPr>
            </w:pPr>
            <w:r>
              <w:rPr>
                <w:rFonts w:ascii="Arial" w:cs="Arial" w:eastAsia="Arial" w:hAnsi="Arial"/>
                <w:sz w:val="13"/>
                <w:szCs w:val="13"/>
                <w:b w:val="1"/>
                <w:bCs w:val="1"/>
                <w:color w:val="auto"/>
              </w:rPr>
              <w:t>27-3794690</w:t>
            </w:r>
          </w:p>
        </w:tc>
      </w:tr>
      <w:tr>
        <w:trPr>
          <w:trHeight w:val="149"/>
        </w:trPr>
        <w:tc>
          <w:tcPr>
            <w:tcW w:w="712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w w:val="94"/>
              </w:rPr>
              <w:t>(State or other jurisdiction of</w:t>
            </w:r>
          </w:p>
        </w:tc>
        <w:tc>
          <w:tcPr>
            <w:tcW w:w="480" w:type="dxa"/>
            <w:vAlign w:val="bottom"/>
          </w:tcPr>
          <w:p>
            <w:pPr>
              <w:spacing w:after="0"/>
              <w:rPr>
                <w:sz w:val="12"/>
                <w:szCs w:val="12"/>
                <w:color w:val="auto"/>
              </w:rPr>
            </w:pPr>
          </w:p>
        </w:tc>
        <w:tc>
          <w:tcPr>
            <w:tcW w:w="3640" w:type="dxa"/>
            <w:vAlign w:val="bottom"/>
          </w:tcPr>
          <w:p>
            <w:pPr>
              <w:jc w:val="center"/>
              <w:ind w:right="1753"/>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712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w w:val="94"/>
              </w:rPr>
              <w:t>incorporation or organization)</w:t>
            </w:r>
          </w:p>
        </w:tc>
        <w:tc>
          <w:tcPr>
            <w:tcW w:w="480" w:type="dxa"/>
            <w:vAlign w:val="bottom"/>
          </w:tcPr>
          <w:p>
            <w:pPr>
              <w:spacing w:after="0"/>
              <w:rPr>
                <w:sz w:val="15"/>
                <w:szCs w:val="15"/>
                <w:color w:val="auto"/>
              </w:rPr>
            </w:pPr>
          </w:p>
        </w:tc>
        <w:tc>
          <w:tcPr>
            <w:tcW w:w="3640" w:type="dxa"/>
            <w:vAlign w:val="bottom"/>
          </w:tcPr>
          <w:p>
            <w:pPr>
              <w:jc w:val="center"/>
              <w:ind w:right="1753"/>
              <w:spacing w:after="0"/>
              <w:rPr>
                <w:sz w:val="20"/>
                <w:szCs w:val="20"/>
                <w:color w:val="auto"/>
              </w:rPr>
            </w:pPr>
            <w:r>
              <w:rPr>
                <w:rFonts w:ascii="Arial" w:cs="Arial" w:eastAsia="Arial" w:hAnsi="Arial"/>
                <w:sz w:val="13"/>
                <w:szCs w:val="13"/>
                <w:b w:val="1"/>
                <w:bCs w:val="1"/>
                <w:color w:val="auto"/>
                <w:w w:val="96"/>
              </w:rPr>
              <w:t>Identification No.)</w:t>
            </w:r>
          </w:p>
        </w:tc>
      </w:tr>
      <w:tr>
        <w:trPr>
          <w:trHeight w:val="338"/>
        </w:trPr>
        <w:tc>
          <w:tcPr>
            <w:tcW w:w="712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w w:val="93"/>
              </w:rPr>
              <w:t>590 Madison Avenue,</w:t>
            </w:r>
          </w:p>
        </w:tc>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76"/>
        </w:trPr>
        <w:tc>
          <w:tcPr>
            <w:tcW w:w="7120" w:type="dxa"/>
            <w:vAlign w:val="bottom"/>
            <w:gridSpan w:val="3"/>
          </w:tcPr>
          <w:p>
            <w:pPr>
              <w:jc w:val="center"/>
              <w:ind w:right="1440"/>
              <w:spacing w:after="0" w:line="176" w:lineRule="exact"/>
              <w:rPr>
                <w:sz w:val="20"/>
                <w:szCs w:val="20"/>
                <w:color w:val="auto"/>
              </w:rPr>
            </w:pPr>
            <w:r>
              <w:rPr>
                <w:rFonts w:ascii="Arial" w:cs="Arial" w:eastAsia="Arial" w:hAnsi="Arial"/>
                <w:sz w:val="12"/>
                <w:szCs w:val="12"/>
                <w:b w:val="1"/>
                <w:bCs w:val="1"/>
                <w:color w:val="auto"/>
              </w:rPr>
              <w:t>15</w:t>
            </w:r>
            <w:r>
              <w:rPr>
                <w:rFonts w:ascii="Arial" w:cs="Arial" w:eastAsia="Arial" w:hAnsi="Arial"/>
                <w:sz w:val="20"/>
                <w:szCs w:val="20"/>
                <w:b w:val="1"/>
                <w:bCs w:val="1"/>
                <w:color w:val="auto"/>
                <w:vertAlign w:val="superscript"/>
              </w:rPr>
              <w:t>th</w:t>
            </w:r>
            <w:r>
              <w:rPr>
                <w:rFonts w:ascii="Arial" w:cs="Arial" w:eastAsia="Arial" w:hAnsi="Arial"/>
                <w:sz w:val="12"/>
                <w:szCs w:val="12"/>
                <w:b w:val="1"/>
                <w:bCs w:val="1"/>
                <w:color w:val="auto"/>
              </w:rPr>
              <w:t xml:space="preserve"> Floor, New York, N.Y.</w:t>
            </w:r>
          </w:p>
        </w:tc>
        <w:tc>
          <w:tcPr>
            <w:tcW w:w="480" w:type="dxa"/>
            <w:vAlign w:val="bottom"/>
          </w:tcPr>
          <w:p>
            <w:pPr>
              <w:spacing w:after="0"/>
              <w:rPr>
                <w:sz w:val="15"/>
                <w:szCs w:val="15"/>
                <w:color w:val="auto"/>
              </w:rPr>
            </w:pPr>
          </w:p>
        </w:tc>
        <w:tc>
          <w:tcPr>
            <w:tcW w:w="3640" w:type="dxa"/>
            <w:vAlign w:val="bottom"/>
          </w:tcPr>
          <w:p>
            <w:pPr>
              <w:jc w:val="right"/>
              <w:ind w:right="2493"/>
              <w:spacing w:after="0"/>
              <w:rPr>
                <w:sz w:val="20"/>
                <w:szCs w:val="20"/>
                <w:color w:val="auto"/>
              </w:rPr>
            </w:pPr>
            <w:r>
              <w:rPr>
                <w:rFonts w:ascii="Arial" w:cs="Arial" w:eastAsia="Arial" w:hAnsi="Arial"/>
                <w:sz w:val="13"/>
                <w:szCs w:val="13"/>
                <w:b w:val="1"/>
                <w:bCs w:val="1"/>
                <w:color w:val="auto"/>
              </w:rPr>
              <w:t>10022</w:t>
            </w:r>
          </w:p>
        </w:tc>
      </w:tr>
      <w:tr>
        <w:trPr>
          <w:trHeight w:val="174"/>
        </w:trPr>
        <w:tc>
          <w:tcPr>
            <w:tcW w:w="712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480" w:type="dxa"/>
            <w:vAlign w:val="bottom"/>
          </w:tcPr>
          <w:p>
            <w:pPr>
              <w:spacing w:after="0"/>
              <w:rPr>
                <w:sz w:val="15"/>
                <w:szCs w:val="15"/>
                <w:color w:val="auto"/>
              </w:rPr>
            </w:pPr>
          </w:p>
        </w:tc>
        <w:tc>
          <w:tcPr>
            <w:tcW w:w="3640" w:type="dxa"/>
            <w:vAlign w:val="bottom"/>
          </w:tcPr>
          <w:p>
            <w:pPr>
              <w:jc w:val="center"/>
              <w:ind w:right="1753"/>
              <w:spacing w:after="0"/>
              <w:rPr>
                <w:sz w:val="20"/>
                <w:szCs w:val="20"/>
                <w:color w:val="auto"/>
              </w:rPr>
            </w:pPr>
            <w:r>
              <w:rPr>
                <w:rFonts w:ascii="Arial" w:cs="Arial" w:eastAsia="Arial" w:hAnsi="Arial"/>
                <w:sz w:val="13"/>
                <w:szCs w:val="13"/>
                <w:b w:val="1"/>
                <w:bCs w:val="1"/>
                <w:color w:val="auto"/>
                <w:w w:val="96"/>
              </w:rPr>
              <w:t>(Zip Code)</w:t>
            </w:r>
          </w:p>
        </w:tc>
      </w:tr>
      <w:tr>
        <w:trPr>
          <w:trHeight w:val="285"/>
        </w:trPr>
        <w:tc>
          <w:tcPr>
            <w:tcW w:w="6580" w:type="dxa"/>
            <w:vAlign w:val="bottom"/>
          </w:tcPr>
          <w:p>
            <w:pPr>
              <w:jc w:val="center"/>
              <w:ind w:left="4603"/>
              <w:spacing w:after="0"/>
              <w:rPr>
                <w:sz w:val="20"/>
                <w:szCs w:val="20"/>
                <w:color w:val="auto"/>
              </w:rPr>
            </w:pPr>
            <w:r>
              <w:rPr>
                <w:rFonts w:ascii="Arial" w:cs="Arial" w:eastAsia="Arial" w:hAnsi="Arial"/>
                <w:sz w:val="13"/>
                <w:szCs w:val="13"/>
                <w:b w:val="1"/>
                <w:bCs w:val="1"/>
                <w:color w:val="auto"/>
                <w:w w:val="95"/>
              </w:rPr>
              <w:t>(212)-905-1000</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74"/>
        </w:trPr>
        <w:tc>
          <w:tcPr>
            <w:tcW w:w="7600" w:type="dxa"/>
            <w:vAlign w:val="bottom"/>
            <w:gridSpan w:val="4"/>
          </w:tcPr>
          <w:p>
            <w:pPr>
              <w:jc w:val="center"/>
              <w:ind w:left="3583"/>
              <w:spacing w:after="0"/>
              <w:rPr>
                <w:sz w:val="20"/>
                <w:szCs w:val="20"/>
                <w:color w:val="auto"/>
              </w:rPr>
            </w:pPr>
            <w:r>
              <w:rPr>
                <w:rFonts w:ascii="Arial" w:cs="Arial" w:eastAsia="Arial" w:hAnsi="Arial"/>
                <w:sz w:val="13"/>
                <w:szCs w:val="13"/>
                <w:b w:val="1"/>
                <w:bCs w:val="1"/>
                <w:color w:val="auto"/>
                <w:w w:val="93"/>
              </w:rPr>
              <w:t>(Registrant’s Telephone Number, Including Area Code)</w:t>
            </w:r>
          </w:p>
        </w:tc>
        <w:tc>
          <w:tcPr>
            <w:tcW w:w="3640" w:type="dxa"/>
            <w:vAlign w:val="bottom"/>
          </w:tcPr>
          <w:p>
            <w:pPr>
              <w:spacing w:after="0"/>
              <w:rPr>
                <w:sz w:val="15"/>
                <w:szCs w:val="15"/>
                <w:color w:val="auto"/>
              </w:rPr>
            </w:pPr>
          </w:p>
        </w:tc>
      </w:tr>
      <w:tr>
        <w:trPr>
          <w:trHeight w:val="230"/>
        </w:trPr>
        <w:tc>
          <w:tcPr>
            <w:tcW w:w="6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3"/>
          </w:tcPr>
          <w:p>
            <w:pPr>
              <w:spacing w:after="0"/>
              <w:rPr>
                <w:sz w:val="20"/>
                <w:szCs w:val="20"/>
                <w:color w:val="auto"/>
              </w:rPr>
            </w:pPr>
          </w:p>
        </w:tc>
      </w:tr>
      <w:tr>
        <w:trPr>
          <w:trHeight w:val="196"/>
        </w:trPr>
        <w:tc>
          <w:tcPr>
            <w:tcW w:w="11240" w:type="dxa"/>
            <w:vAlign w:val="bottom"/>
            <w:gridSpan w:val="5"/>
          </w:tcPr>
          <w:p>
            <w:pPr>
              <w:ind w:left="340"/>
              <w:spacing w:after="0"/>
              <w:rPr>
                <w:sz w:val="20"/>
                <w:szCs w:val="20"/>
                <w:color w:val="auto"/>
              </w:rPr>
            </w:pPr>
            <w:r>
              <w:rPr>
                <w:rFonts w:ascii="Arial" w:cs="Arial" w:eastAsia="Arial" w:hAnsi="Arial"/>
                <w:sz w:val="13"/>
                <w:szCs w:val="13"/>
                <w:color w:val="auto"/>
                <w:w w:val="97"/>
              </w:rPr>
              <w:t>Indicate by check mark whether the registrant (1) has filed all reports required to be filed by Section 13 or 15(d) of the Securities Exchange Act of 1934 during the preceding 12 months (or for such</w:t>
            </w:r>
          </w:p>
        </w:tc>
      </w:tr>
      <w:tr>
        <w:trPr>
          <w:trHeight w:val="211"/>
        </w:trPr>
        <w:tc>
          <w:tcPr>
            <w:tcW w:w="7600" w:type="dxa"/>
            <w:vAlign w:val="bottom"/>
            <w:gridSpan w:val="4"/>
          </w:tcPr>
          <w:p>
            <w:pPr>
              <w:spacing w:after="0"/>
              <w:rPr>
                <w:sz w:val="20"/>
                <w:szCs w:val="20"/>
                <w:color w:val="auto"/>
              </w:rPr>
            </w:pPr>
            <w:r>
              <w:rPr>
                <w:rFonts w:ascii="Arial" w:cs="Arial" w:eastAsia="Arial" w:hAnsi="Arial"/>
                <w:sz w:val="13"/>
                <w:szCs w:val="13"/>
                <w:color w:val="auto"/>
                <w:w w:val="94"/>
              </w:rPr>
              <w:t>shorter period that the registrant was required to file such reports), and (2) has been subject to such filing requirements for the past 90 days.</w:t>
            </w:r>
          </w:p>
        </w:tc>
        <w:tc>
          <w:tcPr>
            <w:tcW w:w="3640" w:type="dxa"/>
            <w:vAlign w:val="bottom"/>
          </w:tcPr>
          <w:p>
            <w:pPr>
              <w:ind w:left="6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tc>
      </w:tr>
    </w:tbl>
    <w:p>
      <w:pPr>
        <w:spacing w:after="0" w:line="115" w:lineRule="exact"/>
        <w:rPr>
          <w:sz w:val="24"/>
          <w:szCs w:val="24"/>
          <w:color w:val="auto"/>
        </w:rPr>
      </w:pPr>
    </w:p>
    <w:p>
      <w:pPr>
        <w:ind w:right="120" w:firstLine="337"/>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24" w:lineRule="exact"/>
        <w:rPr>
          <w:sz w:val="24"/>
          <w:szCs w:val="24"/>
          <w:color w:val="auto"/>
        </w:rPr>
      </w:pPr>
    </w:p>
    <w:p>
      <w:pPr>
        <w:ind w:left="34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or a non-accelerated filer. See definition of “accelerated filer” and “large accelerated filer” in Rule 12b-2 of</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1400" w:type="dxa"/>
            <w:vAlign w:val="bottom"/>
          </w:tcPr>
          <w:p>
            <w:pPr>
              <w:spacing w:after="0"/>
              <w:rPr>
                <w:sz w:val="20"/>
                <w:szCs w:val="20"/>
                <w:color w:val="auto"/>
              </w:rPr>
            </w:pPr>
            <w:r>
              <w:rPr>
                <w:rFonts w:ascii="Arial" w:cs="Arial" w:eastAsia="Arial" w:hAnsi="Arial"/>
                <w:sz w:val="13"/>
                <w:szCs w:val="13"/>
                <w:color w:val="auto"/>
              </w:rPr>
              <w:t>the Exchange Act.</w:t>
            </w:r>
          </w:p>
        </w:tc>
        <w:tc>
          <w:tcPr>
            <w:tcW w:w="56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53"/>
        </w:trPr>
        <w:tc>
          <w:tcPr>
            <w:tcW w:w="14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566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840" w:type="dxa"/>
            <w:vAlign w:val="bottom"/>
          </w:tcPr>
          <w:p>
            <w:pPr>
              <w:ind w:left="2160"/>
              <w:spacing w:after="0"/>
              <w:rPr>
                <w:sz w:val="20"/>
                <w:szCs w:val="20"/>
                <w:color w:val="auto"/>
              </w:rPr>
            </w:pPr>
            <w:r>
              <w:rPr>
                <w:rFonts w:ascii="Arial" w:cs="Arial" w:eastAsia="Arial" w:hAnsi="Arial"/>
                <w:sz w:val="13"/>
                <w:szCs w:val="13"/>
                <w:color w:val="auto"/>
              </w:rPr>
              <w:t>Accelerated filer</w:t>
            </w:r>
          </w:p>
        </w:tc>
        <w:tc>
          <w:tcPr>
            <w:tcW w:w="3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7"/>
        </w:trPr>
        <w:tc>
          <w:tcPr>
            <w:tcW w:w="1400" w:type="dxa"/>
            <w:vAlign w:val="bottom"/>
          </w:tcPr>
          <w:p>
            <w:pPr>
              <w:spacing w:after="0"/>
              <w:rPr>
                <w:sz w:val="20"/>
                <w:szCs w:val="20"/>
                <w:color w:val="auto"/>
              </w:rPr>
            </w:pPr>
            <w:r>
              <w:rPr>
                <w:rFonts w:ascii="Arial" w:cs="Arial" w:eastAsia="Arial" w:hAnsi="Arial"/>
                <w:sz w:val="13"/>
                <w:szCs w:val="13"/>
                <w:color w:val="auto"/>
              </w:rPr>
              <w:t>Non-accelerated filer</w:t>
            </w:r>
          </w:p>
        </w:tc>
        <w:tc>
          <w:tcPr>
            <w:tcW w:w="5660" w:type="dxa"/>
            <w:vAlign w:val="bottom"/>
          </w:tcPr>
          <w:p>
            <w:pPr>
              <w:ind w:left="18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tc>
        <w:tc>
          <w:tcPr>
            <w:tcW w:w="3840" w:type="dxa"/>
            <w:vAlign w:val="bottom"/>
          </w:tcPr>
          <w:p>
            <w:pPr>
              <w:ind w:left="2160"/>
              <w:spacing w:after="0"/>
              <w:rPr>
                <w:sz w:val="20"/>
                <w:szCs w:val="20"/>
                <w:color w:val="auto"/>
              </w:rPr>
            </w:pPr>
            <w:r>
              <w:rPr>
                <w:rFonts w:ascii="Arial" w:cs="Arial" w:eastAsia="Arial" w:hAnsi="Arial"/>
                <w:sz w:val="13"/>
                <w:szCs w:val="13"/>
                <w:color w:val="auto"/>
              </w:rPr>
              <w:t>Smaller reporting company</w:t>
            </w:r>
          </w:p>
        </w:tc>
        <w:tc>
          <w:tcPr>
            <w:tcW w:w="3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10"/>
        </w:trPr>
        <w:tc>
          <w:tcPr>
            <w:tcW w:w="7060" w:type="dxa"/>
            <w:vAlign w:val="bottom"/>
            <w:gridSpan w:val="2"/>
          </w:tcPr>
          <w:p>
            <w:pPr>
              <w:ind w:left="340"/>
              <w:spacing w:after="0" w:line="150" w:lineRule="exact"/>
              <w:rPr>
                <w:sz w:val="20"/>
                <w:szCs w:val="20"/>
                <w:color w:val="auto"/>
              </w:rPr>
            </w:pPr>
            <w:r>
              <w:rPr>
                <w:rFonts w:ascii="Arial" w:cs="Arial" w:eastAsia="Arial" w:hAnsi="Arial"/>
                <w:sz w:val="13"/>
                <w:szCs w:val="13"/>
                <w:color w:val="auto"/>
                <w:w w:val="96"/>
              </w:rPr>
              <w:t xml:space="preserve">Indicate by check mark whether the registrant is a shell company (as defined in Rule 12b-2 of the Exchange Act).  Yes </w:t>
            </w:r>
            <w:r>
              <w:rPr>
                <w:rFonts w:ascii="MS PGothic" w:cs="MS PGothic" w:eastAsia="MS PGothic" w:hAnsi="MS PGothic"/>
                <w:sz w:val="13"/>
                <w:szCs w:val="13"/>
                <w:color w:val="auto"/>
                <w:w w:val="96"/>
              </w:rPr>
              <w:t>☐</w:t>
            </w:r>
          </w:p>
        </w:tc>
        <w:tc>
          <w:tcPr>
            <w:tcW w:w="3840" w:type="dxa"/>
            <w:vAlign w:val="bottom"/>
          </w:tcPr>
          <w:p>
            <w:pPr>
              <w:ind w:left="6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tc>
        <w:tc>
          <w:tcPr>
            <w:tcW w:w="340" w:type="dxa"/>
            <w:vAlign w:val="bottom"/>
          </w:tcPr>
          <w:p>
            <w:pPr>
              <w:spacing w:after="0"/>
              <w:rPr>
                <w:sz w:val="24"/>
                <w:szCs w:val="24"/>
                <w:color w:val="auto"/>
              </w:rPr>
            </w:pPr>
          </w:p>
        </w:tc>
      </w:tr>
      <w:tr>
        <w:trPr>
          <w:trHeight w:val="296"/>
        </w:trPr>
        <w:tc>
          <w:tcPr>
            <w:tcW w:w="7060" w:type="dxa"/>
            <w:vAlign w:val="bottom"/>
            <w:gridSpan w:val="2"/>
          </w:tcPr>
          <w:p>
            <w:pPr>
              <w:ind w:left="340"/>
              <w:spacing w:after="0"/>
              <w:rPr>
                <w:sz w:val="20"/>
                <w:szCs w:val="20"/>
                <w:color w:val="auto"/>
              </w:rPr>
            </w:pPr>
            <w:r>
              <w:rPr>
                <w:rFonts w:ascii="Arial" w:cs="Arial" w:eastAsia="Arial" w:hAnsi="Arial"/>
                <w:sz w:val="13"/>
                <w:szCs w:val="13"/>
                <w:color w:val="auto"/>
                <w:w w:val="95"/>
              </w:rPr>
              <w:t>The number of shares of the issuer’s common stock, $0.001 par value, outstanding as of August 6, 2014 was 14,898,056.</w:t>
            </w:r>
          </w:p>
        </w:tc>
        <w:tc>
          <w:tcPr>
            <w:tcW w:w="38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49"/>
        </w:trPr>
        <w:tc>
          <w:tcPr>
            <w:tcW w:w="1400" w:type="dxa"/>
            <w:vAlign w:val="bottom"/>
            <w:tcBorders>
              <w:bottom w:val="single" w:sz="8" w:color="auto"/>
            </w:tcBorders>
          </w:tcPr>
          <w:p>
            <w:pPr>
              <w:spacing w:after="0"/>
              <w:rPr>
                <w:sz w:val="12"/>
                <w:szCs w:val="12"/>
                <w:color w:val="auto"/>
              </w:rPr>
            </w:pPr>
          </w:p>
        </w:tc>
        <w:tc>
          <w:tcPr>
            <w:tcW w:w="566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r>
    </w:tbl>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PENNANTPARK FLOATING RATE CAPITAL LTD.</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FORM 10-Q</w:t>
      </w:r>
    </w:p>
    <w:p>
      <w:pPr>
        <w:jc w:val="center"/>
        <w:ind w:right="-59"/>
        <w:spacing w:after="0"/>
        <w:rPr>
          <w:sz w:val="20"/>
          <w:szCs w:val="20"/>
          <w:color w:val="auto"/>
        </w:rPr>
      </w:pPr>
      <w:r>
        <w:rPr>
          <w:rFonts w:ascii="Arial" w:cs="Arial" w:eastAsia="Arial" w:hAnsi="Arial"/>
          <w:sz w:val="13"/>
          <w:szCs w:val="13"/>
          <w:b w:val="1"/>
          <w:bCs w:val="1"/>
          <w:color w:val="auto"/>
        </w:rPr>
        <w:t>FOR THE QUARTER ENDED JUNE 30, 2014</w:t>
      </w:r>
    </w:p>
    <w:p>
      <w:pPr>
        <w:jc w:val="center"/>
        <w:ind w:right="-59"/>
        <w:spacing w:after="0"/>
        <w:rPr>
          <w:sz w:val="20"/>
          <w:szCs w:val="20"/>
          <w:color w:val="auto"/>
        </w:rPr>
      </w:pPr>
      <w:r>
        <w:rPr>
          <w:rFonts w:ascii="Arial" w:cs="Arial" w:eastAsia="Arial" w:hAnsi="Arial"/>
          <w:sz w:val="13"/>
          <w:szCs w:val="13"/>
          <w:b w:val="1"/>
          <w:bCs w:val="1"/>
          <w:color w:val="auto"/>
        </w:rPr>
        <w:t>TABLE OF CONTENTS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80" w:type="dxa"/>
            <w:vAlign w:val="bottom"/>
          </w:tcPr>
          <w:p>
            <w:pPr>
              <w:ind w:left="36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PART I. CONSOLIDATED FINANCIAL INFORMATION</w:t>
              </w:r>
            </w:hyperlink>
          </w:p>
        </w:tc>
        <w:tc>
          <w:tcPr>
            <w:tcW w:w="2100" w:type="dxa"/>
            <w:vAlign w:val="bottom"/>
          </w:tcPr>
          <w:p>
            <w:pPr>
              <w:spacing w:after="0"/>
              <w:rPr>
                <w:sz w:val="15"/>
                <w:szCs w:val="15"/>
                <w:color w:val="auto"/>
              </w:rPr>
            </w:pP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Item 1. Consolidated Financial Statements</w:t>
              </w:r>
            </w:hyperlink>
          </w:p>
        </w:tc>
        <w:tc>
          <w:tcPr>
            <w:tcW w:w="2100" w:type="dxa"/>
            <w:vAlign w:val="bottom"/>
          </w:tcPr>
          <w:p>
            <w:pPr>
              <w:spacing w:after="0"/>
              <w:rPr>
                <w:sz w:val="22"/>
                <w:szCs w:val="22"/>
                <w:color w:val="auto"/>
              </w:rPr>
            </w:pPr>
          </w:p>
        </w:tc>
      </w:tr>
      <w:tr>
        <w:trPr>
          <w:trHeight w:val="257"/>
        </w:trPr>
        <w:tc>
          <w:tcPr>
            <w:tcW w:w="9080" w:type="dxa"/>
            <w:vAlign w:val="bottom"/>
          </w:tcPr>
          <w:p>
            <w:pPr>
              <w:ind w:left="44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Consolidated Statements of Assets and Liabilities as of June 30, 2014 (unaudited) and September 30, 2013</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257"/>
        </w:trPr>
        <w:tc>
          <w:tcPr>
            <w:tcW w:w="9080" w:type="dxa"/>
            <w:vAlign w:val="bottom"/>
          </w:tcPr>
          <w:p>
            <w:pPr>
              <w:ind w:left="440"/>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Consolidated Statements of Operations for the three and nine months ended June 30, 2014 and 2013 (unaudited)</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57"/>
        </w:trPr>
        <w:tc>
          <w:tcPr>
            <w:tcW w:w="9080" w:type="dxa"/>
            <w:vAlign w:val="bottom"/>
          </w:tcPr>
          <w:p>
            <w:pPr>
              <w:ind w:left="440"/>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Consolidated Statements of Changes in Net Assets for the nine months ended June 30, 2014 and 2013 (unaudited)</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56"/>
        </w:trPr>
        <w:tc>
          <w:tcPr>
            <w:tcW w:w="9080" w:type="dxa"/>
            <w:vAlign w:val="bottom"/>
          </w:tcPr>
          <w:p>
            <w:pPr>
              <w:ind w:left="440"/>
              <w:spacing w:after="0"/>
              <w:rPr>
                <w:rFonts w:ascii="Arial" w:cs="Arial" w:eastAsia="Arial" w:hAnsi="Arial"/>
                <w:sz w:val="13"/>
                <w:szCs w:val="13"/>
                <w:u w:val="single" w:color="auto"/>
                <w:color w:val="0000EE"/>
              </w:rPr>
            </w:pPr>
            <w:hyperlink w:anchor="page7">
              <w:r>
                <w:rPr>
                  <w:rFonts w:ascii="Arial" w:cs="Arial" w:eastAsia="Arial" w:hAnsi="Arial"/>
                  <w:sz w:val="13"/>
                  <w:szCs w:val="13"/>
                  <w:u w:val="single" w:color="auto"/>
                  <w:color w:val="0000EE"/>
                </w:rPr>
                <w:t>Consolidated Statements of Cash Flows for the nine months ended June 30, 2014 and 2013 (unaudited)</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257"/>
        </w:trPr>
        <w:tc>
          <w:tcPr>
            <w:tcW w:w="9080" w:type="dxa"/>
            <w:vAlign w:val="bottom"/>
          </w:tcPr>
          <w:p>
            <w:pPr>
              <w:ind w:left="440"/>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Consolidated Schedules of Investments as of June 30, 2014 (unaudited) and September 30, 2013</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57"/>
        </w:trPr>
        <w:tc>
          <w:tcPr>
            <w:tcW w:w="9080" w:type="dxa"/>
            <w:vAlign w:val="bottom"/>
          </w:tcPr>
          <w:p>
            <w:pPr>
              <w:ind w:left="440"/>
              <w:spacing w:after="0"/>
              <w:rPr>
                <w:rFonts w:ascii="Arial" w:cs="Arial" w:eastAsia="Arial" w:hAnsi="Arial"/>
                <w:sz w:val="13"/>
                <w:szCs w:val="13"/>
                <w:u w:val="single" w:color="auto"/>
                <w:color w:val="0000EE"/>
              </w:rPr>
            </w:pPr>
            <w:hyperlink w:anchor="page14">
              <w:r>
                <w:rPr>
                  <w:rFonts w:ascii="Arial" w:cs="Arial" w:eastAsia="Arial" w:hAnsi="Arial"/>
                  <w:sz w:val="13"/>
                  <w:szCs w:val="13"/>
                  <w:u w:val="single" w:color="auto"/>
                  <w:color w:val="0000EE"/>
                </w:rPr>
                <w:t>Notes to Consolidated Financial Statements (unaudited)</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257"/>
        </w:trPr>
        <w:tc>
          <w:tcPr>
            <w:tcW w:w="9080" w:type="dxa"/>
            <w:vAlign w:val="bottom"/>
          </w:tcPr>
          <w:p>
            <w:pPr>
              <w:ind w:left="440"/>
              <w:spacing w:after="0"/>
              <w:rPr>
                <w:rFonts w:ascii="Arial" w:cs="Arial" w:eastAsia="Arial" w:hAnsi="Arial"/>
                <w:sz w:val="13"/>
                <w:szCs w:val="13"/>
                <w:u w:val="single" w:color="auto"/>
                <w:color w:val="0000EE"/>
              </w:rPr>
            </w:pPr>
            <w:hyperlink w:anchor="page24">
              <w:r>
                <w:rPr>
                  <w:rFonts w:ascii="Arial" w:cs="Arial" w:eastAsia="Arial" w:hAnsi="Arial"/>
                  <w:sz w:val="13"/>
                  <w:szCs w:val="13"/>
                  <w:u w:val="single" w:color="auto"/>
                  <w:color w:val="0000EE"/>
                </w:rPr>
                <w:t>Report of Independent Registered Public Accounting Firm</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256"/>
        </w:trPr>
        <w:tc>
          <w:tcPr>
            <w:tcW w:w="9080" w:type="dxa"/>
            <w:vAlign w:val="bottom"/>
          </w:tcPr>
          <w:p>
            <w:pPr>
              <w:spacing w:after="0"/>
              <w:rPr>
                <w:rFonts w:ascii="Arial" w:cs="Arial" w:eastAsia="Arial" w:hAnsi="Arial"/>
                <w:sz w:val="13"/>
                <w:szCs w:val="13"/>
                <w:b w:val="1"/>
                <w:bCs w:val="1"/>
                <w:u w:val="single" w:color="auto"/>
                <w:color w:val="0000EE"/>
              </w:rPr>
            </w:pPr>
            <w:hyperlink w:anchor="page25">
              <w:r>
                <w:rPr>
                  <w:rFonts w:ascii="Arial" w:cs="Arial" w:eastAsia="Arial" w:hAnsi="Arial"/>
                  <w:sz w:val="13"/>
                  <w:szCs w:val="13"/>
                  <w:b w:val="1"/>
                  <w:bCs w:val="1"/>
                  <w:u w:val="single" w:color="auto"/>
                  <w:color w:val="0000EE"/>
                </w:rPr>
                <w:t>Item 2. Management’s Discussion and Analysis of Financial Condition and Results of Operations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2">
              <w:r>
                <w:rPr>
                  <w:rFonts w:ascii="Arial" w:cs="Arial" w:eastAsia="Arial" w:hAnsi="Arial"/>
                  <w:sz w:val="13"/>
                  <w:szCs w:val="13"/>
                  <w:b w:val="1"/>
                  <w:bCs w:val="1"/>
                  <w:u w:val="single" w:color="auto"/>
                  <w:color w:val="0000EE"/>
                </w:rPr>
                <w:t>Item 3. Quantitative And Qualitative Disclosures About Market Risk</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2">
              <w:r>
                <w:rPr>
                  <w:rFonts w:ascii="Arial" w:cs="Arial" w:eastAsia="Arial" w:hAnsi="Arial"/>
                  <w:sz w:val="13"/>
                  <w:szCs w:val="13"/>
                  <w:b w:val="1"/>
                  <w:bCs w:val="1"/>
                  <w:u w:val="single" w:color="auto"/>
                  <w:color w:val="0000EE"/>
                </w:rPr>
                <w:t>Item 4. Controls and Procedures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257"/>
        </w:trPr>
        <w:tc>
          <w:tcPr>
            <w:tcW w:w="9080" w:type="dxa"/>
            <w:vAlign w:val="bottom"/>
          </w:tcPr>
          <w:p>
            <w:pPr>
              <w:ind w:left="4360"/>
              <w:spacing w:after="0"/>
              <w:rPr>
                <w:rFonts w:ascii="Arial" w:cs="Arial" w:eastAsia="Arial" w:hAnsi="Arial"/>
                <w:sz w:val="13"/>
                <w:szCs w:val="13"/>
                <w:b w:val="1"/>
                <w:bCs w:val="1"/>
                <w:u w:val="single" w:color="auto"/>
                <w:color w:val="0000EE"/>
              </w:rPr>
            </w:pPr>
            <w:hyperlink w:anchor="page33">
              <w:r>
                <w:rPr>
                  <w:rFonts w:ascii="Arial" w:cs="Arial" w:eastAsia="Arial" w:hAnsi="Arial"/>
                  <w:sz w:val="13"/>
                  <w:szCs w:val="13"/>
                  <w:b w:val="1"/>
                  <w:bCs w:val="1"/>
                  <w:u w:val="single" w:color="auto"/>
                  <w:color w:val="0000EE"/>
                </w:rPr>
                <w:t>PART II. OTHER INFORMATION</w:t>
              </w:r>
            </w:hyperlink>
          </w:p>
        </w:tc>
        <w:tc>
          <w:tcPr>
            <w:tcW w:w="2100" w:type="dxa"/>
            <w:vAlign w:val="bottom"/>
          </w:tcPr>
          <w:p>
            <w:pPr>
              <w:spacing w:after="0"/>
              <w:rPr>
                <w:sz w:val="22"/>
                <w:szCs w:val="22"/>
                <w:color w:val="auto"/>
              </w:rPr>
            </w:pP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3">
              <w:r>
                <w:rPr>
                  <w:rFonts w:ascii="Arial" w:cs="Arial" w:eastAsia="Arial" w:hAnsi="Arial"/>
                  <w:sz w:val="13"/>
                  <w:szCs w:val="13"/>
                  <w:b w:val="1"/>
                  <w:bCs w:val="1"/>
                  <w:u w:val="single" w:color="auto"/>
                  <w:color w:val="0000EE"/>
                </w:rPr>
                <w:t>Item 1. Legal Proceedings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256"/>
        </w:trPr>
        <w:tc>
          <w:tcPr>
            <w:tcW w:w="9080" w:type="dxa"/>
            <w:vAlign w:val="bottom"/>
          </w:tcPr>
          <w:p>
            <w:pPr>
              <w:spacing w:after="0"/>
              <w:rPr>
                <w:rFonts w:ascii="Arial" w:cs="Arial" w:eastAsia="Arial" w:hAnsi="Arial"/>
                <w:sz w:val="13"/>
                <w:szCs w:val="13"/>
                <w:b w:val="1"/>
                <w:bCs w:val="1"/>
                <w:u w:val="single" w:color="auto"/>
                <w:color w:val="0000EE"/>
              </w:rPr>
            </w:pPr>
            <w:hyperlink w:anchor="page33">
              <w:r>
                <w:rPr>
                  <w:rFonts w:ascii="Arial" w:cs="Arial" w:eastAsia="Arial" w:hAnsi="Arial"/>
                  <w:sz w:val="13"/>
                  <w:szCs w:val="13"/>
                  <w:b w:val="1"/>
                  <w:bCs w:val="1"/>
                  <w:u w:val="single" w:color="auto"/>
                  <w:color w:val="0000EE"/>
                </w:rPr>
                <w:t>Item 1A. Risk Factors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3">
              <w:r>
                <w:rPr>
                  <w:rFonts w:ascii="Arial" w:cs="Arial" w:eastAsia="Arial" w:hAnsi="Arial"/>
                  <w:sz w:val="13"/>
                  <w:szCs w:val="13"/>
                  <w:b w:val="1"/>
                  <w:bCs w:val="1"/>
                  <w:u w:val="single" w:color="auto"/>
                  <w:color w:val="0000EE"/>
                </w:rPr>
                <w:t>Item 2. Unregistered Sales of Equity Securities and Use of Proceeds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3">
              <w:r>
                <w:rPr>
                  <w:rFonts w:ascii="Arial" w:cs="Arial" w:eastAsia="Arial" w:hAnsi="Arial"/>
                  <w:sz w:val="13"/>
                  <w:szCs w:val="13"/>
                  <w:b w:val="1"/>
                  <w:bCs w:val="1"/>
                  <w:u w:val="single" w:color="auto"/>
                  <w:color w:val="0000EE"/>
                </w:rPr>
                <w:t>Item 3. Defaults Upon Senior Securities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3">
              <w:r>
                <w:rPr>
                  <w:rFonts w:ascii="Arial" w:cs="Arial" w:eastAsia="Arial" w:hAnsi="Arial"/>
                  <w:sz w:val="13"/>
                  <w:szCs w:val="13"/>
                  <w:b w:val="1"/>
                  <w:bCs w:val="1"/>
                  <w:u w:val="single" w:color="auto"/>
                  <w:color w:val="0000EE"/>
                </w:rPr>
                <w:t>Item 4. Mine Safety Disclosures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256"/>
        </w:trPr>
        <w:tc>
          <w:tcPr>
            <w:tcW w:w="9080" w:type="dxa"/>
            <w:vAlign w:val="bottom"/>
          </w:tcPr>
          <w:p>
            <w:pPr>
              <w:spacing w:after="0"/>
              <w:rPr>
                <w:rFonts w:ascii="Arial" w:cs="Arial" w:eastAsia="Arial" w:hAnsi="Arial"/>
                <w:sz w:val="13"/>
                <w:szCs w:val="13"/>
                <w:b w:val="1"/>
                <w:bCs w:val="1"/>
                <w:u w:val="single" w:color="auto"/>
                <w:color w:val="0000EE"/>
              </w:rPr>
            </w:pPr>
            <w:hyperlink w:anchor="page33">
              <w:r>
                <w:rPr>
                  <w:rFonts w:ascii="Arial" w:cs="Arial" w:eastAsia="Arial" w:hAnsi="Arial"/>
                  <w:sz w:val="13"/>
                  <w:szCs w:val="13"/>
                  <w:b w:val="1"/>
                  <w:bCs w:val="1"/>
                  <w:u w:val="single" w:color="auto"/>
                  <w:color w:val="0000EE"/>
                </w:rPr>
                <w:t>Item 5. Other Information</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4">
              <w:r>
                <w:rPr>
                  <w:rFonts w:ascii="Arial" w:cs="Arial" w:eastAsia="Arial" w:hAnsi="Arial"/>
                  <w:sz w:val="13"/>
                  <w:szCs w:val="13"/>
                  <w:b w:val="1"/>
                  <w:bCs w:val="1"/>
                  <w:u w:val="single" w:color="auto"/>
                  <w:color w:val="0000EE"/>
                </w:rPr>
                <w:t>Item 6. Exhibits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5">
              <w:r>
                <w:rPr>
                  <w:rFonts w:ascii="Arial" w:cs="Arial" w:eastAsia="Arial" w:hAnsi="Arial"/>
                  <w:sz w:val="13"/>
                  <w:szCs w:val="13"/>
                  <w:b w:val="1"/>
                  <w:bCs w:val="1"/>
                  <w:u w:val="single" w:color="auto"/>
                  <w:color w:val="0000EE"/>
                </w:rPr>
                <w:t>SIGNATURES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297"/>
        </w:trPr>
        <w:tc>
          <w:tcPr>
            <w:tcW w:w="9080" w:type="dxa"/>
            <w:vAlign w:val="bottom"/>
          </w:tcPr>
          <w:p>
            <w:pPr>
              <w:ind w:left="5600"/>
              <w:spacing w:after="0"/>
              <w:rPr>
                <w:sz w:val="20"/>
                <w:szCs w:val="20"/>
                <w:color w:val="auto"/>
              </w:rPr>
            </w:pPr>
            <w:r>
              <w:rPr>
                <w:rFonts w:ascii="Arial" w:cs="Arial" w:eastAsia="Arial" w:hAnsi="Arial"/>
                <w:sz w:val="13"/>
                <w:szCs w:val="13"/>
                <w:color w:val="auto"/>
              </w:rPr>
              <w:t>2</w:t>
            </w:r>
          </w:p>
        </w:tc>
        <w:tc>
          <w:tcPr>
            <w:tcW w:w="2100" w:type="dxa"/>
            <w:vAlign w:val="bottom"/>
          </w:tcPr>
          <w:p>
            <w:pPr>
              <w:spacing w:after="0"/>
              <w:rPr>
                <w:sz w:val="24"/>
                <w:szCs w:val="24"/>
                <w:color w:val="auto"/>
              </w:rPr>
            </w:pPr>
          </w:p>
        </w:tc>
      </w:tr>
    </w:tbl>
    <w:p>
      <w:pPr>
        <w:sectPr>
          <w:pgSz w:w="11900" w:h="16838" w:orient="portrait"/>
          <w:cols w:equalWidth="0" w:num="1">
            <w:col w:w="11180"/>
          </w:cols>
          <w:pgMar w:left="320" w:top="459" w:right="3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PART I—CONSOLIDATED FINANCIAL INFORMATION</w:t>
      </w:r>
    </w:p>
    <w:p>
      <w:pPr>
        <w:spacing w:after="0" w:line="163"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We are filing this Form 10-Q, or the Report, in compliance with Rule 13a-13 promulgated by the Securities and Exchange Commission, or the SEC. In this Report, except where the context suggests otherwise, the terms “Company,” “we,” “our” or “us” refer to PennantPark Floating Rate Capital Ltd. and its consolidated subsidiary;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senior secured revolving credit facility, as amended, or the Credit Facility, and our business include investments we make through our wholly owned consolidated subsidiary, PennantPark Floating Rate Funding I, LLC, or Funding I.</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7940" w:type="dxa"/>
            <w:vAlign w:val="bottom"/>
          </w:tcPr>
          <w:p>
            <w:pPr>
              <w:ind w:left="120"/>
              <w:spacing w:after="0"/>
              <w:rPr>
                <w:sz w:val="20"/>
                <w:szCs w:val="20"/>
                <w:color w:val="auto"/>
              </w:rPr>
            </w:pPr>
            <w:r>
              <w:rPr>
                <w:rFonts w:ascii="Arial" w:cs="Arial" w:eastAsia="Arial" w:hAnsi="Arial"/>
                <w:sz w:val="13"/>
                <w:szCs w:val="13"/>
                <w:b w:val="1"/>
                <w:bCs w:val="1"/>
                <w:color w:val="auto"/>
              </w:rPr>
              <w:t>Consolidated Financial Statements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85"/>
        </w:trPr>
        <w:tc>
          <w:tcPr>
            <w:tcW w:w="680" w:type="dxa"/>
            <w:vAlign w:val="bottom"/>
          </w:tcPr>
          <w:p>
            <w:pPr>
              <w:spacing w:after="0"/>
              <w:rPr>
                <w:sz w:val="24"/>
                <w:szCs w:val="24"/>
                <w:color w:val="auto"/>
              </w:rPr>
            </w:pPr>
          </w:p>
        </w:tc>
        <w:tc>
          <w:tcPr>
            <w:tcW w:w="7940" w:type="dxa"/>
            <w:vAlign w:val="bottom"/>
          </w:tcPr>
          <w:p>
            <w:pPr>
              <w:ind w:left="2780"/>
              <w:spacing w:after="0"/>
              <w:rPr>
                <w:sz w:val="20"/>
                <w:szCs w:val="20"/>
                <w:color w:val="auto"/>
              </w:rPr>
            </w:pPr>
            <w:r>
              <w:rPr>
                <w:rFonts w:ascii="Arial" w:cs="Arial" w:eastAsia="Arial" w:hAnsi="Arial"/>
                <w:sz w:val="13"/>
                <w:szCs w:val="13"/>
                <w:b w:val="1"/>
                <w:bCs w:val="1"/>
                <w:color w:val="auto"/>
              </w:rPr>
              <w:t>PENNANTPARK FLOATING RATE CAPITAL LTD. AND SUBSIDIARY</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4"/>
        </w:trPr>
        <w:tc>
          <w:tcPr>
            <w:tcW w:w="680" w:type="dxa"/>
            <w:vAlign w:val="bottom"/>
          </w:tcPr>
          <w:p>
            <w:pPr>
              <w:spacing w:after="0"/>
              <w:rPr>
                <w:sz w:val="15"/>
                <w:szCs w:val="15"/>
                <w:color w:val="auto"/>
              </w:rPr>
            </w:pPr>
          </w:p>
        </w:tc>
        <w:tc>
          <w:tcPr>
            <w:tcW w:w="7940" w:type="dxa"/>
            <w:vAlign w:val="bottom"/>
          </w:tcPr>
          <w:p>
            <w:pPr>
              <w:ind w:left="2960"/>
              <w:spacing w:after="0"/>
              <w:rPr>
                <w:sz w:val="20"/>
                <w:szCs w:val="20"/>
                <w:color w:val="auto"/>
              </w:rPr>
            </w:pPr>
            <w:r>
              <w:rPr>
                <w:rFonts w:ascii="Arial" w:cs="Arial" w:eastAsia="Arial" w:hAnsi="Arial"/>
                <w:sz w:val="13"/>
                <w:szCs w:val="13"/>
                <w:b w:val="1"/>
                <w:bCs w:val="1"/>
                <w:color w:val="auto"/>
              </w:rPr>
              <w:t>CONSOLIDATED STATEMENTS OF ASSETS AND LIABILITIES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25"/>
        </w:trPr>
        <w:tc>
          <w:tcPr>
            <w:tcW w:w="6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2"/>
              </w:rPr>
              <w:t>June 30, 2014</w:t>
            </w:r>
          </w:p>
        </w:tc>
        <w:tc>
          <w:tcPr>
            <w:tcW w:w="1220" w:type="dxa"/>
            <w:vAlign w:val="bottom"/>
            <w:gridSpan w:val="3"/>
          </w:tcPr>
          <w:p>
            <w:pPr>
              <w:spacing w:after="0"/>
              <w:rPr>
                <w:sz w:val="20"/>
                <w:szCs w:val="20"/>
                <w:color w:val="auto"/>
              </w:rPr>
            </w:pPr>
            <w:r>
              <w:rPr>
                <w:rFonts w:ascii="Arial" w:cs="Arial" w:eastAsia="Arial" w:hAnsi="Arial"/>
                <w:sz w:val="13"/>
                <w:szCs w:val="13"/>
                <w:b w:val="1"/>
                <w:bCs w:val="1"/>
                <w:color w:val="auto"/>
                <w:w w:val="98"/>
              </w:rPr>
              <w:t>September 30, 2013</w:t>
            </w:r>
          </w:p>
        </w:tc>
      </w:tr>
      <w:tr>
        <w:trPr>
          <w:trHeight w:val="161"/>
        </w:trPr>
        <w:tc>
          <w:tcPr>
            <w:tcW w:w="68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(unaudited)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8"/>
        </w:trPr>
        <w:tc>
          <w:tcPr>
            <w:tcW w:w="6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Assets</w:t>
            </w:r>
          </w:p>
        </w:tc>
        <w:tc>
          <w:tcPr>
            <w:tcW w:w="79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9"/>
        </w:trPr>
        <w:tc>
          <w:tcPr>
            <w:tcW w:w="8620" w:type="dxa"/>
            <w:vAlign w:val="bottom"/>
            <w:gridSpan w:val="2"/>
          </w:tcPr>
          <w:p>
            <w:pPr>
              <w:spacing w:after="0"/>
              <w:rPr>
                <w:sz w:val="20"/>
                <w:szCs w:val="20"/>
                <w:color w:val="auto"/>
              </w:rPr>
            </w:pPr>
            <w:r>
              <w:rPr>
                <w:rFonts w:ascii="Arial" w:cs="Arial" w:eastAsia="Arial" w:hAnsi="Arial"/>
                <w:sz w:val="13"/>
                <w:szCs w:val="13"/>
                <w:color w:val="auto"/>
              </w:rPr>
              <w:t>Investments at fair value</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8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Non-controlled, non-affiliated investments (cost—$362,225,391 and $319,283,468,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365,891,603</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317,803,894</w:t>
            </w:r>
          </w:p>
        </w:tc>
      </w:tr>
      <w:tr>
        <w:trPr>
          <w:trHeight w:val="148"/>
        </w:trPr>
        <w:tc>
          <w:tcPr>
            <w:tcW w:w="8620" w:type="dxa"/>
            <w:vAlign w:val="bottom"/>
            <w:gridSpan w:val="2"/>
          </w:tcPr>
          <w:p>
            <w:pPr>
              <w:spacing w:after="0"/>
              <w:rPr>
                <w:sz w:val="20"/>
                <w:szCs w:val="20"/>
                <w:color w:val="auto"/>
              </w:rPr>
            </w:pPr>
            <w:r>
              <w:rPr>
                <w:rFonts w:ascii="Arial" w:cs="Arial" w:eastAsia="Arial" w:hAnsi="Arial"/>
                <w:sz w:val="13"/>
                <w:szCs w:val="13"/>
                <w:color w:val="auto"/>
              </w:rPr>
              <w:t>Cash equivalents (See Note 7)</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9,940,930</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4,578,249</w:t>
            </w:r>
          </w:p>
        </w:tc>
      </w:tr>
      <w:tr>
        <w:trPr>
          <w:trHeight w:val="148"/>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receivable</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1,914,432</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2,140,802</w:t>
            </w:r>
          </w:p>
        </w:tc>
      </w:tr>
      <w:tr>
        <w:trPr>
          <w:trHeight w:val="148"/>
        </w:trPr>
        <w:tc>
          <w:tcPr>
            <w:tcW w:w="8620" w:type="dxa"/>
            <w:vAlign w:val="bottom"/>
            <w:gridSpan w:val="2"/>
          </w:tcPr>
          <w:p>
            <w:pPr>
              <w:spacing w:after="0"/>
              <w:rPr>
                <w:sz w:val="20"/>
                <w:szCs w:val="20"/>
                <w:color w:val="auto"/>
              </w:rPr>
            </w:pPr>
            <w:r>
              <w:rPr>
                <w:rFonts w:ascii="Arial" w:cs="Arial" w:eastAsia="Arial" w:hAnsi="Arial"/>
                <w:sz w:val="13"/>
                <w:szCs w:val="13"/>
                <w:color w:val="auto"/>
              </w:rPr>
              <w:t>Receivable for investments sold</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3,284,879</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3,659,185</w:t>
            </w:r>
          </w:p>
        </w:tc>
      </w:tr>
      <w:tr>
        <w:trPr>
          <w:trHeight w:val="149"/>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expenses and other assets</w:t>
            </w: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575,972</w:t>
            </w:r>
          </w:p>
        </w:tc>
        <w:tc>
          <w:tcPr>
            <w:tcW w:w="3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619,737</w:t>
            </w:r>
          </w:p>
        </w:tc>
        <w:tc>
          <w:tcPr>
            <w:tcW w:w="80" w:type="dxa"/>
            <w:vAlign w:val="bottom"/>
            <w:shd w:val="clear" w:color="auto" w:fill="CCEEFF"/>
          </w:tcPr>
          <w:p>
            <w:pPr>
              <w:spacing w:after="0"/>
              <w:rPr>
                <w:sz w:val="12"/>
                <w:szCs w:val="12"/>
                <w:color w:val="auto"/>
              </w:rPr>
            </w:pPr>
          </w:p>
        </w:tc>
      </w:tr>
      <w:tr>
        <w:trPr>
          <w:trHeight w:val="162"/>
        </w:trPr>
        <w:tc>
          <w:tcPr>
            <w:tcW w:w="680" w:type="dxa"/>
            <w:vAlign w:val="bottom"/>
          </w:tcPr>
          <w:p>
            <w:pPr>
              <w:spacing w:after="0"/>
              <w:rPr>
                <w:sz w:val="14"/>
                <w:szCs w:val="14"/>
                <w:color w:val="auto"/>
              </w:rPr>
            </w:pPr>
          </w:p>
        </w:tc>
        <w:tc>
          <w:tcPr>
            <w:tcW w:w="7940" w:type="dxa"/>
            <w:vAlign w:val="bottom"/>
          </w:tcPr>
          <w:p>
            <w:pPr>
              <w:ind w:left="200"/>
              <w:spacing w:after="0"/>
              <w:rPr>
                <w:sz w:val="20"/>
                <w:szCs w:val="20"/>
                <w:color w:val="auto"/>
              </w:rPr>
            </w:pPr>
            <w:r>
              <w:rPr>
                <w:rFonts w:ascii="Arial" w:cs="Arial" w:eastAsia="Arial" w:hAnsi="Arial"/>
                <w:sz w:val="13"/>
                <w:szCs w:val="13"/>
                <w:b w:val="1"/>
                <w:bCs w:val="1"/>
                <w:color w:val="auto"/>
              </w:rPr>
              <w:t>Total assets</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381,607,816</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328,801,867</w:t>
            </w:r>
          </w:p>
        </w:tc>
      </w:tr>
      <w:tr>
        <w:trPr>
          <w:trHeight w:val="149"/>
        </w:trPr>
        <w:tc>
          <w:tcPr>
            <w:tcW w:w="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79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8"/>
        </w:trPr>
        <w:tc>
          <w:tcPr>
            <w:tcW w:w="8620" w:type="dxa"/>
            <w:vAlign w:val="bottom"/>
            <w:gridSpan w:val="2"/>
          </w:tcPr>
          <w:p>
            <w:pPr>
              <w:spacing w:after="0"/>
              <w:rPr>
                <w:sz w:val="20"/>
                <w:szCs w:val="20"/>
                <w:color w:val="auto"/>
              </w:rPr>
            </w:pPr>
            <w:r>
              <w:rPr>
                <w:rFonts w:ascii="Arial" w:cs="Arial" w:eastAsia="Arial" w:hAnsi="Arial"/>
                <w:sz w:val="13"/>
                <w:szCs w:val="13"/>
                <w:color w:val="auto"/>
              </w:rPr>
              <w:t>Distributions payable</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1,340,825</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1,303,580</w:t>
            </w:r>
          </w:p>
        </w:tc>
      </w:tr>
      <w:tr>
        <w:trPr>
          <w:trHeight w:val="148"/>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Payable for investments purchased</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2,194,497</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14,021,588</w:t>
            </w:r>
          </w:p>
        </w:tc>
      </w:tr>
      <w:tr>
        <w:trPr>
          <w:trHeight w:val="148"/>
        </w:trPr>
        <w:tc>
          <w:tcPr>
            <w:tcW w:w="8620" w:type="dxa"/>
            <w:vAlign w:val="bottom"/>
            <w:gridSpan w:val="2"/>
          </w:tcPr>
          <w:p>
            <w:pPr>
              <w:spacing w:after="0"/>
              <w:rPr>
                <w:sz w:val="20"/>
                <w:szCs w:val="20"/>
                <w:color w:val="auto"/>
              </w:rPr>
            </w:pPr>
            <w:r>
              <w:rPr>
                <w:rFonts w:ascii="Arial" w:cs="Arial" w:eastAsia="Arial" w:hAnsi="Arial"/>
                <w:sz w:val="13"/>
                <w:szCs w:val="13"/>
                <w:color w:val="auto"/>
              </w:rPr>
              <w:t>Unfunded investments</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2,705,882</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934,555</w:t>
            </w:r>
          </w:p>
        </w:tc>
      </w:tr>
      <w:tr>
        <w:trPr>
          <w:trHeight w:val="148"/>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Facility payable (cost—$154,900,000 and $99,600,000, respectively) (See Notes 5 and 9)</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154,900,000</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99,600,000</w:t>
            </w:r>
          </w:p>
        </w:tc>
      </w:tr>
      <w:tr>
        <w:trPr>
          <w:trHeight w:val="149"/>
        </w:trPr>
        <w:tc>
          <w:tcPr>
            <w:tcW w:w="8620" w:type="dxa"/>
            <w:vAlign w:val="bottom"/>
            <w:gridSpan w:val="2"/>
          </w:tcPr>
          <w:p>
            <w:pPr>
              <w:spacing w:after="0"/>
              <w:rPr>
                <w:sz w:val="20"/>
                <w:szCs w:val="20"/>
                <w:color w:val="auto"/>
              </w:rPr>
            </w:pPr>
            <w:r>
              <w:rPr>
                <w:rFonts w:ascii="Arial" w:cs="Arial" w:eastAsia="Arial" w:hAnsi="Arial"/>
                <w:sz w:val="13"/>
                <w:szCs w:val="13"/>
                <w:color w:val="auto"/>
              </w:rPr>
              <w:t>Interest payable on Credit Facility</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282,449</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189,934</w:t>
            </w:r>
          </w:p>
        </w:tc>
      </w:tr>
      <w:tr>
        <w:trPr>
          <w:trHeight w:val="148"/>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Management fee payable (See Note 3)</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953,096</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731,635</w:t>
            </w:r>
          </w:p>
        </w:tc>
      </w:tr>
      <w:tr>
        <w:trPr>
          <w:trHeight w:val="148"/>
        </w:trPr>
        <w:tc>
          <w:tcPr>
            <w:tcW w:w="8620" w:type="dxa"/>
            <w:vAlign w:val="bottom"/>
            <w:gridSpan w:val="2"/>
          </w:tcPr>
          <w:p>
            <w:pPr>
              <w:spacing w:after="0"/>
              <w:rPr>
                <w:sz w:val="20"/>
                <w:szCs w:val="20"/>
                <w:color w:val="auto"/>
              </w:rPr>
            </w:pPr>
            <w:r>
              <w:rPr>
                <w:rFonts w:ascii="Arial" w:cs="Arial" w:eastAsia="Arial" w:hAnsi="Arial"/>
                <w:sz w:val="13"/>
                <w:szCs w:val="13"/>
                <w:color w:val="auto"/>
              </w:rPr>
              <w:t>Performance-based incentive fee payable (See Note 3)</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2,352,551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1,164,090</w:t>
            </w:r>
          </w:p>
        </w:tc>
      </w:tr>
      <w:tr>
        <w:trPr>
          <w:trHeight w:val="148"/>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other expenses</w:t>
            </w: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606,450</w:t>
            </w:r>
          </w:p>
        </w:tc>
        <w:tc>
          <w:tcPr>
            <w:tcW w:w="3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790,091</w:t>
            </w:r>
          </w:p>
        </w:tc>
        <w:tc>
          <w:tcPr>
            <w:tcW w:w="80" w:type="dxa"/>
            <w:vAlign w:val="bottom"/>
            <w:shd w:val="clear" w:color="auto" w:fill="CCEEFF"/>
          </w:tcPr>
          <w:p>
            <w:pPr>
              <w:spacing w:after="0"/>
              <w:rPr>
                <w:sz w:val="12"/>
                <w:szCs w:val="12"/>
                <w:color w:val="auto"/>
              </w:rPr>
            </w:pPr>
          </w:p>
        </w:tc>
      </w:tr>
      <w:tr>
        <w:trPr>
          <w:trHeight w:val="163"/>
        </w:trPr>
        <w:tc>
          <w:tcPr>
            <w:tcW w:w="680" w:type="dxa"/>
            <w:vAlign w:val="bottom"/>
          </w:tcPr>
          <w:p>
            <w:pPr>
              <w:spacing w:after="0"/>
              <w:rPr>
                <w:sz w:val="14"/>
                <w:szCs w:val="14"/>
                <w:color w:val="auto"/>
              </w:rPr>
            </w:pPr>
          </w:p>
        </w:tc>
        <w:tc>
          <w:tcPr>
            <w:tcW w:w="7940" w:type="dxa"/>
            <w:vAlign w:val="bottom"/>
          </w:tcPr>
          <w:p>
            <w:pPr>
              <w:ind w:left="200"/>
              <w:spacing w:after="0"/>
              <w:rPr>
                <w:sz w:val="20"/>
                <w:szCs w:val="20"/>
                <w:color w:val="auto"/>
              </w:rPr>
            </w:pPr>
            <w:r>
              <w:rPr>
                <w:rFonts w:ascii="Arial" w:cs="Arial" w:eastAsia="Arial" w:hAnsi="Arial"/>
                <w:sz w:val="13"/>
                <w:szCs w:val="13"/>
                <w:b w:val="1"/>
                <w:bCs w:val="1"/>
                <w:color w:val="auto"/>
              </w:rPr>
              <w:t>Total liabilities</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165,335,750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118,735,473</w:t>
            </w:r>
          </w:p>
        </w:tc>
      </w:tr>
      <w:tr>
        <w:trPr>
          <w:trHeight w:val="148"/>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Commitments and contingencies (See Note 10)</w:t>
            </w: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680" w:type="dxa"/>
            <w:vAlign w:val="bottom"/>
          </w:tcPr>
          <w:p>
            <w:pPr>
              <w:spacing w:after="0"/>
              <w:rPr>
                <w:sz w:val="20"/>
                <w:szCs w:val="20"/>
                <w:color w:val="auto"/>
              </w:rPr>
            </w:pPr>
            <w:r>
              <w:rPr>
                <w:rFonts w:ascii="Arial" w:cs="Arial" w:eastAsia="Arial" w:hAnsi="Arial"/>
                <w:sz w:val="13"/>
                <w:szCs w:val="13"/>
                <w:b w:val="1"/>
                <w:bCs w:val="1"/>
                <w:color w:val="auto"/>
              </w:rPr>
              <w:t>Net assets</w:t>
            </w:r>
          </w:p>
        </w:tc>
        <w:tc>
          <w:tcPr>
            <w:tcW w:w="7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86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Common stock, 14,898,056 shares issued and outstanding.</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8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Par value $0.001 per share and 100,000,000 shares authorized.</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14,898</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14,898</w:t>
            </w:r>
          </w:p>
        </w:tc>
      </w:tr>
      <w:tr>
        <w:trPr>
          <w:trHeight w:val="148"/>
        </w:trPr>
        <w:tc>
          <w:tcPr>
            <w:tcW w:w="8620" w:type="dxa"/>
            <w:vAlign w:val="bottom"/>
            <w:gridSpan w:val="2"/>
          </w:tcPr>
          <w:p>
            <w:pPr>
              <w:spacing w:after="0"/>
              <w:rPr>
                <w:sz w:val="20"/>
                <w:szCs w:val="20"/>
                <w:color w:val="auto"/>
              </w:rPr>
            </w:pPr>
            <w:r>
              <w:rPr>
                <w:rFonts w:ascii="Arial" w:cs="Arial" w:eastAsia="Arial" w:hAnsi="Arial"/>
                <w:sz w:val="13"/>
                <w:szCs w:val="13"/>
                <w:color w:val="auto"/>
              </w:rPr>
              <w:t>Paid-in capital in excess of par value</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207,481,368</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207,481,368</w:t>
            </w:r>
          </w:p>
        </w:tc>
      </w:tr>
      <w:tr>
        <w:trPr>
          <w:trHeight w:val="148"/>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(Distributions in excess of) Undistributed net investment income</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(240,033)</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474,766</w:t>
            </w:r>
          </w:p>
        </w:tc>
      </w:tr>
      <w:tr>
        <w:trPr>
          <w:trHeight w:val="148"/>
        </w:trPr>
        <w:tc>
          <w:tcPr>
            <w:tcW w:w="8620" w:type="dxa"/>
            <w:vAlign w:val="bottom"/>
            <w:gridSpan w:val="2"/>
          </w:tcPr>
          <w:p>
            <w:pPr>
              <w:spacing w:after="0"/>
              <w:rPr>
                <w:sz w:val="20"/>
                <w:szCs w:val="20"/>
                <w:color w:val="auto"/>
              </w:rPr>
            </w:pPr>
            <w:r>
              <w:rPr>
                <w:rFonts w:ascii="Arial" w:cs="Arial" w:eastAsia="Arial" w:hAnsi="Arial"/>
                <w:sz w:val="13"/>
                <w:szCs w:val="13"/>
                <w:color w:val="auto"/>
              </w:rPr>
              <w:t>Accumulated net realized gain on investments</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5,349,621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3,574,936</w:t>
            </w:r>
          </w:p>
        </w:tc>
      </w:tr>
      <w:tr>
        <w:trPr>
          <w:trHeight w:val="149"/>
        </w:trPr>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unrealized appreciation (depreciation) on investments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3,666,212</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(1,479,574)</w:t>
            </w:r>
          </w:p>
        </w:tc>
      </w:tr>
      <w:tr>
        <w:trPr>
          <w:trHeight w:val="163"/>
        </w:trPr>
        <w:tc>
          <w:tcPr>
            <w:tcW w:w="680" w:type="dxa"/>
            <w:vAlign w:val="bottom"/>
          </w:tcPr>
          <w:p>
            <w:pPr>
              <w:spacing w:after="0"/>
              <w:rPr>
                <w:sz w:val="14"/>
                <w:szCs w:val="14"/>
                <w:color w:val="auto"/>
              </w:rPr>
            </w:pPr>
          </w:p>
        </w:tc>
        <w:tc>
          <w:tcPr>
            <w:tcW w:w="7940" w:type="dxa"/>
            <w:vAlign w:val="bottom"/>
          </w:tcPr>
          <w:p>
            <w:pPr>
              <w:ind w:left="200"/>
              <w:spacing w:after="0"/>
              <w:rPr>
                <w:sz w:val="20"/>
                <w:szCs w:val="20"/>
                <w:color w:val="auto"/>
              </w:rPr>
            </w:pPr>
            <w:r>
              <w:rPr>
                <w:rFonts w:ascii="Arial" w:cs="Arial" w:eastAsia="Arial" w:hAnsi="Arial"/>
                <w:sz w:val="13"/>
                <w:szCs w:val="13"/>
                <w:b w:val="1"/>
                <w:bCs w:val="1"/>
                <w:color w:val="auto"/>
              </w:rPr>
              <w:t>Total net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216,272,066</w:t>
            </w:r>
          </w:p>
        </w:tc>
        <w:tc>
          <w:tcPr>
            <w:tcW w:w="3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210,066,394</w:t>
            </w:r>
          </w:p>
        </w:tc>
        <w:tc>
          <w:tcPr>
            <w:tcW w:w="80" w:type="dxa"/>
            <w:vAlign w:val="bottom"/>
          </w:tcPr>
          <w:p>
            <w:pPr>
              <w:spacing w:after="0"/>
              <w:rPr>
                <w:sz w:val="14"/>
                <w:szCs w:val="14"/>
                <w:color w:val="auto"/>
              </w:rPr>
            </w:pPr>
          </w:p>
        </w:tc>
      </w:tr>
      <w:tr>
        <w:trPr>
          <w:trHeight w:val="148"/>
        </w:trPr>
        <w:tc>
          <w:tcPr>
            <w:tcW w:w="680" w:type="dxa"/>
            <w:vAlign w:val="bottom"/>
            <w:shd w:val="clear" w:color="auto" w:fill="CCEEFF"/>
          </w:tcPr>
          <w:p>
            <w:pPr>
              <w:spacing w:after="0"/>
              <w:rPr>
                <w:sz w:val="12"/>
                <w:szCs w:val="12"/>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381,607,816</w:t>
            </w:r>
          </w:p>
        </w:tc>
        <w:tc>
          <w:tcPr>
            <w:tcW w:w="3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328,801,867</w:t>
            </w:r>
          </w:p>
        </w:tc>
        <w:tc>
          <w:tcPr>
            <w:tcW w:w="80" w:type="dxa"/>
            <w:vAlign w:val="bottom"/>
            <w:shd w:val="clear" w:color="auto" w:fill="CCEEFF"/>
          </w:tcPr>
          <w:p>
            <w:pPr>
              <w:spacing w:after="0"/>
              <w:rPr>
                <w:sz w:val="12"/>
                <w:szCs w:val="12"/>
                <w:color w:val="auto"/>
              </w:rPr>
            </w:pPr>
          </w:p>
        </w:tc>
      </w:tr>
      <w:tr>
        <w:trPr>
          <w:trHeight w:val="155"/>
        </w:trPr>
        <w:tc>
          <w:tcPr>
            <w:tcW w:w="8620" w:type="dxa"/>
            <w:vAlign w:val="bottom"/>
            <w:gridSpan w:val="2"/>
          </w:tcPr>
          <w:p>
            <w:pPr>
              <w:spacing w:after="0"/>
              <w:rPr>
                <w:sz w:val="20"/>
                <w:szCs w:val="20"/>
                <w:color w:val="auto"/>
              </w:rPr>
            </w:pPr>
            <w:r>
              <w:rPr>
                <w:rFonts w:ascii="Arial" w:cs="Arial" w:eastAsia="Arial" w:hAnsi="Arial"/>
                <w:sz w:val="13"/>
                <w:szCs w:val="13"/>
                <w:b w:val="1"/>
                <w:bCs w:val="1"/>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14.52</w:t>
            </w:r>
          </w:p>
        </w:tc>
        <w:tc>
          <w:tcPr>
            <w:tcW w:w="38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14.10</w:t>
            </w:r>
          </w:p>
        </w:tc>
      </w:tr>
      <w:tr>
        <w:trPr>
          <w:trHeight w:val="20"/>
        </w:trPr>
        <w:tc>
          <w:tcPr>
            <w:tcW w:w="6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94"/>
              </w:rPr>
              <w:t>Three Months Ended June 30,</w:t>
            </w:r>
          </w:p>
        </w:tc>
        <w:tc>
          <w:tcPr>
            <w:tcW w:w="80" w:type="dxa"/>
            <w:vAlign w:val="bottom"/>
          </w:tcPr>
          <w:p>
            <w:pPr>
              <w:spacing w:after="0"/>
              <w:rPr>
                <w:sz w:val="14"/>
                <w:szCs w:val="14"/>
                <w:color w:val="auto"/>
              </w:rPr>
            </w:pPr>
          </w:p>
        </w:tc>
        <w:tc>
          <w:tcPr>
            <w:tcW w:w="182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w w:val="92"/>
              </w:rPr>
              <w:t>Nine Months Ended June 30,</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2013</w:t>
            </w:r>
          </w:p>
        </w:tc>
        <w:tc>
          <w:tcPr>
            <w:tcW w:w="2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1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Investment income from:</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160" w:type="dxa"/>
            <w:vAlign w:val="bottom"/>
          </w:tcPr>
          <w:p>
            <w:pPr>
              <w:spacing w:after="0"/>
              <w:rPr>
                <w:sz w:val="20"/>
                <w:szCs w:val="20"/>
                <w:color w:val="auto"/>
              </w:rPr>
            </w:pPr>
            <w:r>
              <w:rPr>
                <w:rFonts w:ascii="Arial" w:cs="Arial" w:eastAsia="Arial" w:hAnsi="Arial"/>
                <w:sz w:val="13"/>
                <w:szCs w:val="13"/>
                <w:color w:val="auto"/>
              </w:rPr>
              <w:t>Non-controlled, non-affiliated investments: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7,524,629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4,192,816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21,808,074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11,807,059</w:t>
            </w:r>
          </w:p>
        </w:tc>
        <w:tc>
          <w:tcPr>
            <w:tcW w:w="0" w:type="dxa"/>
            <w:vAlign w:val="bottom"/>
          </w:tcPr>
          <w:p>
            <w:pPr>
              <w:spacing w:after="0"/>
              <w:rPr>
                <w:sz w:val="1"/>
                <w:szCs w:val="1"/>
                <w:color w:val="auto"/>
              </w:rPr>
            </w:pPr>
          </w:p>
        </w:tc>
      </w:tr>
      <w:tr>
        <w:trPr>
          <w:trHeight w:val="148"/>
        </w:trPr>
        <w:tc>
          <w:tcPr>
            <w:tcW w:w="7160" w:type="dxa"/>
            <w:vAlign w:val="bottom"/>
          </w:tcPr>
          <w:p>
            <w:pPr>
              <w:ind w:left="440"/>
              <w:spacing w:after="0"/>
              <w:rPr>
                <w:sz w:val="20"/>
                <w:szCs w:val="20"/>
                <w:color w:val="auto"/>
              </w:rPr>
            </w:pPr>
            <w:r>
              <w:rPr>
                <w:rFonts w:ascii="Arial" w:cs="Arial" w:eastAsia="Arial" w:hAnsi="Arial"/>
                <w:sz w:val="13"/>
                <w:szCs w:val="13"/>
                <w:color w:val="auto"/>
              </w:rPr>
              <w:t>Other income</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143,904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477,487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327,828</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965,794</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16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Total investment income</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7,668,533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4,670,303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22,135,902</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12,772,853</w:t>
            </w:r>
          </w:p>
        </w:tc>
        <w:tc>
          <w:tcPr>
            <w:tcW w:w="0" w:type="dxa"/>
            <w:vAlign w:val="bottom"/>
          </w:tcPr>
          <w:p>
            <w:pPr>
              <w:spacing w:after="0"/>
              <w:rPr>
                <w:sz w:val="1"/>
                <w:szCs w:val="1"/>
                <w:color w:val="auto"/>
              </w:rPr>
            </w:pPr>
          </w:p>
        </w:tc>
      </w:tr>
      <w:tr>
        <w:trPr>
          <w:trHeight w:val="156"/>
        </w:trPr>
        <w:tc>
          <w:tcPr>
            <w:tcW w:w="716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Base management fee (See Note 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953,096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548,779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2,787,848</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1,464,403</w:t>
            </w:r>
          </w:p>
        </w:tc>
        <w:tc>
          <w:tcPr>
            <w:tcW w:w="0" w:type="dxa"/>
            <w:vAlign w:val="bottom"/>
          </w:tcPr>
          <w:p>
            <w:pPr>
              <w:spacing w:after="0"/>
              <w:rPr>
                <w:sz w:val="1"/>
                <w:szCs w:val="1"/>
                <w:color w:val="auto"/>
              </w:rPr>
            </w:pPr>
          </w:p>
        </w:tc>
      </w:tr>
      <w:tr>
        <w:trPr>
          <w:trHeight w:val="148"/>
        </w:trPr>
        <w:tc>
          <w:tcPr>
            <w:tcW w:w="7160" w:type="dxa"/>
            <w:vAlign w:val="bottom"/>
          </w:tcPr>
          <w:p>
            <w:pPr>
              <w:ind w:left="440"/>
              <w:spacing w:after="0"/>
              <w:rPr>
                <w:sz w:val="20"/>
                <w:szCs w:val="20"/>
                <w:color w:val="auto"/>
              </w:rPr>
            </w:pPr>
            <w:r>
              <w:rPr>
                <w:rFonts w:ascii="Arial" w:cs="Arial" w:eastAsia="Arial" w:hAnsi="Arial"/>
                <w:sz w:val="13"/>
                <w:szCs w:val="13"/>
                <w:color w:val="auto"/>
              </w:rPr>
              <w:t>Performance-based incentive fee (See Note 3)</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825,796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37,709</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2,926,261</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1,017,929</w:t>
            </w: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Interest and expenses on the Credit Facility (See Note 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888,718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375,640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2,588,843</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1,342,103</w:t>
            </w:r>
          </w:p>
        </w:tc>
        <w:tc>
          <w:tcPr>
            <w:tcW w:w="0" w:type="dxa"/>
            <w:vAlign w:val="bottom"/>
          </w:tcPr>
          <w:p>
            <w:pPr>
              <w:spacing w:after="0"/>
              <w:rPr>
                <w:sz w:val="1"/>
                <w:szCs w:val="1"/>
                <w:color w:val="auto"/>
              </w:rPr>
            </w:pPr>
          </w:p>
        </w:tc>
      </w:tr>
      <w:tr>
        <w:trPr>
          <w:trHeight w:val="148"/>
        </w:trPr>
        <w:tc>
          <w:tcPr>
            <w:tcW w:w="7160" w:type="dxa"/>
            <w:vAlign w:val="bottom"/>
          </w:tcPr>
          <w:p>
            <w:pPr>
              <w:ind w:left="440"/>
              <w:spacing w:after="0"/>
              <w:rPr>
                <w:sz w:val="20"/>
                <w:szCs w:val="20"/>
                <w:color w:val="auto"/>
              </w:rPr>
            </w:pPr>
            <w:r>
              <w:rPr>
                <w:rFonts w:ascii="Arial" w:cs="Arial" w:eastAsia="Arial" w:hAnsi="Arial"/>
                <w:sz w:val="13"/>
                <w:szCs w:val="13"/>
                <w:color w:val="auto"/>
              </w:rPr>
              <w:t>Administrative services expenses (See Note 3)</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276,000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144,052</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678,000</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452,876</w:t>
            </w:r>
          </w:p>
        </w:tc>
        <w:tc>
          <w:tcPr>
            <w:tcW w:w="0" w:type="dxa"/>
            <w:vAlign w:val="bottom"/>
          </w:tcPr>
          <w:p>
            <w:pPr>
              <w:spacing w:after="0"/>
              <w:rPr>
                <w:sz w:val="1"/>
                <w:szCs w:val="1"/>
                <w:color w:val="auto"/>
              </w:rPr>
            </w:pPr>
          </w:p>
        </w:tc>
      </w:tr>
      <w:tr>
        <w:trPr>
          <w:trHeight w:val="148"/>
        </w:trPr>
        <w:tc>
          <w:tcPr>
            <w:tcW w:w="7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Other general and administrative expenses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241,985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317,192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766,639</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956,400</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Expenses before excise tax and amendment costs</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3,185,595</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1,423,372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9,747,591</w:t>
            </w:r>
          </w:p>
        </w:tc>
        <w:tc>
          <w:tcPr>
            <w:tcW w:w="1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5,233,711</w:t>
            </w: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Excise tax</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120,000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29,355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360,000</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96,768</w:t>
            </w:r>
          </w:p>
        </w:tc>
        <w:tc>
          <w:tcPr>
            <w:tcW w:w="0" w:type="dxa"/>
            <w:vAlign w:val="bottom"/>
          </w:tcPr>
          <w:p>
            <w:pPr>
              <w:spacing w:after="0"/>
              <w:rPr>
                <w:sz w:val="1"/>
                <w:szCs w:val="1"/>
                <w:color w:val="auto"/>
              </w:rPr>
            </w:pPr>
          </w:p>
        </w:tc>
      </w:tr>
      <w:tr>
        <w:trPr>
          <w:trHeight w:val="148"/>
        </w:trPr>
        <w:tc>
          <w:tcPr>
            <w:tcW w:w="7160" w:type="dxa"/>
            <w:vAlign w:val="bottom"/>
          </w:tcPr>
          <w:p>
            <w:pPr>
              <w:ind w:left="440"/>
              <w:spacing w:after="0"/>
              <w:rPr>
                <w:sz w:val="20"/>
                <w:szCs w:val="20"/>
                <w:color w:val="auto"/>
              </w:rPr>
            </w:pPr>
            <w:r>
              <w:rPr>
                <w:rFonts w:ascii="Arial" w:cs="Arial" w:eastAsia="Arial" w:hAnsi="Arial"/>
                <w:sz w:val="13"/>
                <w:szCs w:val="13"/>
                <w:color w:val="auto"/>
              </w:rPr>
              <w:t>Credit Facility amendment costs (See Notes 5 and 9)</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712,930</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16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Total expenses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3,305,595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1,452,727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10,820,521</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5,830,479</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Net investment income</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4,362,938</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3,217,576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11,315,381</w:t>
            </w: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6,942,374</w:t>
            </w: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Realized and unrealized gain (loss) on investments and Credit Facility:</w:t>
            </w: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60" w:type="dxa"/>
            <w:vAlign w:val="bottom"/>
          </w:tcPr>
          <w:p>
            <w:pPr>
              <w:spacing w:after="0"/>
              <w:rPr>
                <w:sz w:val="20"/>
                <w:szCs w:val="20"/>
                <w:color w:val="auto"/>
              </w:rPr>
            </w:pPr>
            <w:r>
              <w:rPr>
                <w:rFonts w:ascii="Arial" w:cs="Arial" w:eastAsia="Arial" w:hAnsi="Arial"/>
                <w:sz w:val="13"/>
                <w:szCs w:val="13"/>
                <w:color w:val="auto"/>
              </w:rPr>
              <w:t>Net realized gain on non-controlled, non-affiliated investments</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697,831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1,659,391</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1,774,685</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3,206,861</w:t>
            </w:r>
          </w:p>
        </w:tc>
        <w:tc>
          <w:tcPr>
            <w:tcW w:w="0" w:type="dxa"/>
            <w:vAlign w:val="bottom"/>
          </w:tcPr>
          <w:p>
            <w:pPr>
              <w:spacing w:after="0"/>
              <w:rPr>
                <w:sz w:val="1"/>
                <w:szCs w:val="1"/>
                <w:color w:val="auto"/>
              </w:rPr>
            </w:pPr>
          </w:p>
        </w:tc>
      </w:tr>
      <w:tr>
        <w:trPr>
          <w:trHeight w:val="148"/>
        </w:trPr>
        <w:tc>
          <w:tcPr>
            <w:tcW w:w="7160" w:type="dxa"/>
            <w:vAlign w:val="bottom"/>
            <w:shd w:val="clear" w:color="auto" w:fill="CCEEFF"/>
          </w:tcPr>
          <w:p>
            <w:pPr>
              <w:spacing w:after="0"/>
              <w:rPr>
                <w:sz w:val="20"/>
                <w:szCs w:val="20"/>
                <w:color w:val="auto"/>
              </w:rPr>
            </w:pPr>
            <w:r>
              <w:rPr>
                <w:rFonts w:ascii="Arial" w:cs="Arial" w:eastAsia="Arial" w:hAnsi="Arial"/>
                <w:sz w:val="13"/>
                <w:szCs w:val="13"/>
                <w:color w:val="auto"/>
              </w:rPr>
              <w:t>Net change in unrealized (depreciation) appreciation on:</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60" w:type="dxa"/>
            <w:vAlign w:val="bottom"/>
          </w:tcPr>
          <w:p>
            <w:pPr>
              <w:ind w:left="440"/>
              <w:spacing w:after="0"/>
              <w:rPr>
                <w:sz w:val="20"/>
                <w:szCs w:val="20"/>
                <w:color w:val="auto"/>
              </w:rPr>
            </w:pPr>
            <w:r>
              <w:rPr>
                <w:rFonts w:ascii="Arial" w:cs="Arial" w:eastAsia="Arial" w:hAnsi="Arial"/>
                <w:sz w:val="13"/>
                <w:szCs w:val="13"/>
                <w:color w:val="auto"/>
              </w:rPr>
              <w:t>Non-controlled, non-affiliated investments</w:t>
            </w:r>
          </w:p>
        </w:tc>
        <w:tc>
          <w:tcPr>
            <w:tcW w:w="8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(118,995)</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(3,309,840)</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5,145,786</w:t>
            </w:r>
          </w:p>
        </w:tc>
        <w:tc>
          <w:tcPr>
            <w:tcW w:w="12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(3,233,442)</w:t>
            </w:r>
          </w:p>
        </w:tc>
        <w:tc>
          <w:tcPr>
            <w:tcW w:w="0" w:type="dxa"/>
            <w:vAlign w:val="bottom"/>
          </w:tcPr>
          <w:p>
            <w:pPr>
              <w:spacing w:after="0"/>
              <w:rPr>
                <w:sz w:val="1"/>
                <w:szCs w:val="1"/>
                <w:color w:val="auto"/>
              </w:rPr>
            </w:pPr>
          </w:p>
        </w:tc>
      </w:tr>
      <w:tr>
        <w:trPr>
          <w:trHeight w:val="148"/>
        </w:trPr>
        <w:tc>
          <w:tcPr>
            <w:tcW w:w="71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Credit Facility appreciation (See Note 5)</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(377,500)</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Net change in unrealized (depreciation) appreciation on investments and Credit Facility</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(118,995)</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(3,309,840)</w:t>
            </w:r>
          </w:p>
        </w:tc>
        <w:tc>
          <w:tcPr>
            <w:tcW w:w="8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5,145,786</w:t>
            </w:r>
          </w:p>
        </w:tc>
        <w:tc>
          <w:tcPr>
            <w:tcW w:w="12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(3,610,942)</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160" w:type="dxa"/>
            <w:vAlign w:val="bottom"/>
            <w:shd w:val="clear" w:color="auto" w:fill="CCEEFF"/>
          </w:tcPr>
          <w:p>
            <w:pPr>
              <w:spacing w:after="0"/>
              <w:rPr>
                <w:sz w:val="20"/>
                <w:szCs w:val="20"/>
                <w:color w:val="auto"/>
              </w:rPr>
            </w:pPr>
            <w:r>
              <w:rPr>
                <w:rFonts w:ascii="Arial" w:cs="Arial" w:eastAsia="Arial" w:hAnsi="Arial"/>
                <w:sz w:val="13"/>
                <w:szCs w:val="13"/>
                <w:color w:val="auto"/>
              </w:rPr>
              <w:t>Net realized and unrealized gain (loss) from investments and Credit Facility</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578,836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(1,650,449)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6,920,471</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(404,081)</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3"/>
                <w:szCs w:val="13"/>
                <w:b w:val="1"/>
                <w:bCs w:val="1"/>
                <w:color w:val="auto"/>
              </w:rPr>
              <w:t>Net increase in net assets resulting from operations</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16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4,941,774</w:t>
            </w:r>
          </w:p>
        </w:tc>
        <w:tc>
          <w:tcPr>
            <w:tcW w:w="30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1,567,127</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18,235,852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6,538,293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Net increase in net assets resulting from operations per common share (See Note 6)</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0.33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0.15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3"/>
                <w:szCs w:val="13"/>
                <w:color w:val="auto"/>
              </w:rPr>
              <w:t>1.22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0.81</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3"/>
                <w:szCs w:val="13"/>
                <w:color w:val="auto"/>
              </w:rPr>
              <w:t>Net investment income per common share</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6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0.29</w:t>
            </w:r>
          </w:p>
        </w:tc>
        <w:tc>
          <w:tcPr>
            <w:tcW w:w="30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0.31</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0.76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0.86</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CHANGES IN NET ASSETS</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ind w:left="120"/>
              <w:spacing w:after="0"/>
              <w:rPr>
                <w:sz w:val="20"/>
                <w:szCs w:val="20"/>
                <w:color w:val="auto"/>
              </w:rPr>
            </w:pPr>
            <w:r>
              <w:rPr>
                <w:rFonts w:ascii="Arial" w:cs="Arial" w:eastAsia="Arial" w:hAnsi="Arial"/>
                <w:sz w:val="13"/>
                <w:szCs w:val="13"/>
                <w:b w:val="1"/>
                <w:bCs w:val="1"/>
                <w:color w:val="auto"/>
              </w:rPr>
              <w:t>Nine Months Ended June 30,</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3"/>
                <w:szCs w:val="13"/>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9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increase in net assets from operations:</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980" w:type="dxa"/>
            <w:vAlign w:val="bottom"/>
          </w:tcPr>
          <w:p>
            <w:pPr>
              <w:ind w:left="440"/>
              <w:spacing w:after="0"/>
              <w:rPr>
                <w:sz w:val="20"/>
                <w:szCs w:val="20"/>
                <w:color w:val="auto"/>
              </w:rPr>
            </w:pPr>
            <w:r>
              <w:rPr>
                <w:rFonts w:ascii="Arial" w:cs="Arial" w:eastAsia="Arial" w:hAnsi="Arial"/>
                <w:sz w:val="13"/>
                <w:szCs w:val="13"/>
                <w:color w:val="auto"/>
              </w:rPr>
              <w:t>Net investment income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11,315,381</w:t>
            </w: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6,942,374</w:t>
            </w:r>
          </w:p>
        </w:tc>
        <w:tc>
          <w:tcPr>
            <w:tcW w:w="0" w:type="dxa"/>
            <w:vAlign w:val="bottom"/>
          </w:tcPr>
          <w:p>
            <w:pPr>
              <w:spacing w:after="0"/>
              <w:rPr>
                <w:sz w:val="1"/>
                <w:szCs w:val="1"/>
                <w:color w:val="auto"/>
              </w:rPr>
            </w:pPr>
          </w:p>
        </w:tc>
      </w:tr>
      <w:tr>
        <w:trPr>
          <w:trHeight w:val="149"/>
        </w:trPr>
        <w:tc>
          <w:tcPr>
            <w:tcW w:w="89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realized gain on investments</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1,774,685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3,206,861</w:t>
            </w:r>
          </w:p>
        </w:tc>
        <w:tc>
          <w:tcPr>
            <w:tcW w:w="0" w:type="dxa"/>
            <w:vAlign w:val="bottom"/>
          </w:tcPr>
          <w:p>
            <w:pPr>
              <w:spacing w:after="0"/>
              <w:rPr>
                <w:sz w:val="1"/>
                <w:szCs w:val="1"/>
                <w:color w:val="auto"/>
              </w:rPr>
            </w:pPr>
          </w:p>
        </w:tc>
      </w:tr>
      <w:tr>
        <w:trPr>
          <w:trHeight w:val="148"/>
        </w:trPr>
        <w:tc>
          <w:tcPr>
            <w:tcW w:w="8980" w:type="dxa"/>
            <w:vAlign w:val="bottom"/>
          </w:tcPr>
          <w:p>
            <w:pPr>
              <w:ind w:left="440"/>
              <w:spacing w:after="0"/>
              <w:rPr>
                <w:sz w:val="20"/>
                <w:szCs w:val="20"/>
                <w:color w:val="auto"/>
              </w:rPr>
            </w:pPr>
            <w:r>
              <w:rPr>
                <w:rFonts w:ascii="Arial" w:cs="Arial" w:eastAsia="Arial" w:hAnsi="Arial"/>
                <w:sz w:val="13"/>
                <w:szCs w:val="13"/>
                <w:color w:val="auto"/>
              </w:rPr>
              <w:t>Net change in unrealized appreciation (depreciation) on investments</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5,145,786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(3,233,442)</w:t>
            </w:r>
          </w:p>
        </w:tc>
        <w:tc>
          <w:tcPr>
            <w:tcW w:w="0" w:type="dxa"/>
            <w:vAlign w:val="bottom"/>
          </w:tcPr>
          <w:p>
            <w:pPr>
              <w:spacing w:after="0"/>
              <w:rPr>
                <w:sz w:val="1"/>
                <w:szCs w:val="1"/>
                <w:color w:val="auto"/>
              </w:rPr>
            </w:pPr>
          </w:p>
        </w:tc>
      </w:tr>
      <w:tr>
        <w:trPr>
          <w:trHeight w:val="148"/>
        </w:trPr>
        <w:tc>
          <w:tcPr>
            <w:tcW w:w="89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change in unrealized appreciation on Credit Facility</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(377,500)</w:t>
            </w:r>
          </w:p>
        </w:tc>
        <w:tc>
          <w:tcPr>
            <w:tcW w:w="0" w:type="dxa"/>
            <w:vAlign w:val="bottom"/>
          </w:tcPr>
          <w:p>
            <w:pPr>
              <w:spacing w:after="0"/>
              <w:rPr>
                <w:sz w:val="1"/>
                <w:szCs w:val="1"/>
                <w:color w:val="auto"/>
              </w:rPr>
            </w:pPr>
          </w:p>
        </w:tc>
      </w:tr>
      <w:tr>
        <w:trPr>
          <w:trHeight w:val="20"/>
        </w:trPr>
        <w:tc>
          <w:tcPr>
            <w:tcW w:w="898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Net increase in net assets resulting from operations</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18,235,852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6,538,293</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Distributions to stockholders:</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(12,030,180)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(6,147,019)</w:t>
            </w:r>
          </w:p>
        </w:tc>
        <w:tc>
          <w:tcPr>
            <w:tcW w:w="0" w:type="dxa"/>
            <w:vAlign w:val="bottom"/>
          </w:tcPr>
          <w:p>
            <w:pPr>
              <w:spacing w:after="0"/>
              <w:rPr>
                <w:sz w:val="1"/>
                <w:szCs w:val="1"/>
                <w:color w:val="auto"/>
              </w:rPr>
            </w:pPr>
          </w:p>
        </w:tc>
      </w:tr>
      <w:tr>
        <w:trPr>
          <w:trHeight w:val="156"/>
        </w:trPr>
        <w:tc>
          <w:tcPr>
            <w:tcW w:w="8980" w:type="dxa"/>
            <w:vAlign w:val="bottom"/>
          </w:tcPr>
          <w:p>
            <w:pPr>
              <w:spacing w:after="0"/>
              <w:rPr>
                <w:sz w:val="20"/>
                <w:szCs w:val="20"/>
                <w:color w:val="auto"/>
              </w:rPr>
            </w:pPr>
            <w:r>
              <w:rPr>
                <w:rFonts w:ascii="Arial" w:cs="Arial" w:eastAsia="Arial" w:hAnsi="Arial"/>
                <w:sz w:val="13"/>
                <w:szCs w:val="13"/>
                <w:b w:val="1"/>
                <w:bCs w:val="1"/>
                <w:color w:val="auto"/>
              </w:rPr>
              <w:t>Capital transactions: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9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Public offering and distributions reinvested</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48,357,975</w:t>
            </w:r>
          </w:p>
        </w:tc>
        <w:tc>
          <w:tcPr>
            <w:tcW w:w="0" w:type="dxa"/>
            <w:vAlign w:val="bottom"/>
          </w:tcPr>
          <w:p>
            <w:pPr>
              <w:spacing w:after="0"/>
              <w:rPr>
                <w:sz w:val="1"/>
                <w:szCs w:val="1"/>
                <w:color w:val="auto"/>
              </w:rPr>
            </w:pPr>
          </w:p>
        </w:tc>
      </w:tr>
      <w:tr>
        <w:trPr>
          <w:trHeight w:val="156"/>
        </w:trPr>
        <w:tc>
          <w:tcPr>
            <w:tcW w:w="8980" w:type="dxa"/>
            <w:vAlign w:val="bottom"/>
          </w:tcPr>
          <w:p>
            <w:pPr>
              <w:ind w:left="440"/>
              <w:spacing w:after="0"/>
              <w:rPr>
                <w:sz w:val="20"/>
                <w:szCs w:val="20"/>
                <w:color w:val="auto"/>
              </w:rPr>
            </w:pPr>
            <w:r>
              <w:rPr>
                <w:rFonts w:ascii="Arial" w:cs="Arial" w:eastAsia="Arial" w:hAnsi="Arial"/>
                <w:sz w:val="13"/>
                <w:szCs w:val="13"/>
                <w:color w:val="auto"/>
              </w:rPr>
              <w:t>Offering costs</w:t>
            </w:r>
          </w:p>
        </w:tc>
        <w:tc>
          <w:tcPr>
            <w:tcW w:w="140" w:type="dxa"/>
            <w:vAlign w:val="bottom"/>
          </w:tcPr>
          <w:p>
            <w:pPr>
              <w:spacing w:after="0"/>
              <w:rPr>
                <w:sz w:val="13"/>
                <w:szCs w:val="13"/>
                <w:color w:val="auto"/>
              </w:rPr>
            </w:pPr>
          </w:p>
        </w:tc>
        <w:tc>
          <w:tcPr>
            <w:tcW w:w="760" w:type="dxa"/>
            <w:vAlign w:val="bottom"/>
          </w:tcPr>
          <w:p>
            <w:pPr>
              <w:ind w:left="5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48"/>
        </w:trPr>
        <w:tc>
          <w:tcPr>
            <w:tcW w:w="898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Net increase in net assets resulting from capital transactions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47,957,975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980" w:type="dxa"/>
            <w:vAlign w:val="bottom"/>
          </w:tcPr>
          <w:p>
            <w:pPr>
              <w:spacing w:after="0"/>
              <w:rPr>
                <w:sz w:val="20"/>
                <w:szCs w:val="20"/>
                <w:color w:val="auto"/>
              </w:rPr>
            </w:pPr>
            <w:r>
              <w:rPr>
                <w:rFonts w:ascii="Arial" w:cs="Arial" w:eastAsia="Arial" w:hAnsi="Arial"/>
                <w:sz w:val="13"/>
                <w:szCs w:val="13"/>
                <w:b w:val="1"/>
                <w:bCs w:val="1"/>
                <w:color w:val="auto"/>
              </w:rPr>
              <w:t>Net increase in net assets</w:t>
            </w: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6,205,672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48,349,249</w:t>
            </w:r>
          </w:p>
        </w:tc>
        <w:tc>
          <w:tcPr>
            <w:tcW w:w="0" w:type="dxa"/>
            <w:vAlign w:val="bottom"/>
          </w:tcPr>
          <w:p>
            <w:pPr>
              <w:spacing w:after="0"/>
              <w:rPr>
                <w:sz w:val="1"/>
                <w:szCs w:val="1"/>
                <w:color w:val="auto"/>
              </w:rPr>
            </w:pPr>
          </w:p>
        </w:tc>
      </w:tr>
      <w:tr>
        <w:trPr>
          <w:trHeight w:val="148"/>
        </w:trPr>
        <w:tc>
          <w:tcPr>
            <w:tcW w:w="8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assets:</w:t>
            </w: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80" w:type="dxa"/>
            <w:vAlign w:val="bottom"/>
          </w:tcPr>
          <w:p>
            <w:pPr>
              <w:ind w:left="440"/>
              <w:spacing w:after="0"/>
              <w:rPr>
                <w:sz w:val="20"/>
                <w:szCs w:val="20"/>
                <w:color w:val="auto"/>
              </w:rPr>
            </w:pPr>
            <w:r>
              <w:rPr>
                <w:rFonts w:ascii="Arial" w:cs="Arial" w:eastAsia="Arial" w:hAnsi="Arial"/>
                <w:sz w:val="13"/>
                <w:szCs w:val="13"/>
                <w:color w:val="auto"/>
              </w:rPr>
              <w:t>Beginning of period</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210,066,394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95,743,877</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9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End of period</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216,272,066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144,093,126</w:t>
            </w:r>
          </w:p>
        </w:tc>
        <w:tc>
          <w:tcPr>
            <w:tcW w:w="0" w:type="dxa"/>
            <w:vAlign w:val="bottom"/>
          </w:tcPr>
          <w:p>
            <w:pPr>
              <w:spacing w:after="0"/>
              <w:rPr>
                <w:sz w:val="1"/>
                <w:szCs w:val="1"/>
                <w:color w:val="auto"/>
              </w:rPr>
            </w:pPr>
          </w:p>
        </w:tc>
      </w:tr>
      <w:tr>
        <w:trPr>
          <w:trHeight w:val="20"/>
        </w:trPr>
        <w:tc>
          <w:tcPr>
            <w:tcW w:w="8980" w:type="dxa"/>
            <w:vAlign w:val="bottom"/>
            <w:vMerge w:val="restart"/>
          </w:tcPr>
          <w:p>
            <w:pPr>
              <w:ind w:left="440"/>
              <w:spacing w:after="0"/>
              <w:rPr>
                <w:sz w:val="20"/>
                <w:szCs w:val="20"/>
                <w:color w:val="auto"/>
              </w:rPr>
            </w:pPr>
            <w:r>
              <w:rPr>
                <w:rFonts w:ascii="Arial" w:cs="Arial" w:eastAsia="Arial" w:hAnsi="Arial"/>
                <w:sz w:val="13"/>
                <w:szCs w:val="13"/>
                <w:color w:val="auto"/>
              </w:rPr>
              <w:t>Distributions in excess of net investment income, end of period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980" w:type="dxa"/>
            <w:vAlign w:val="bottom"/>
            <w:vMerge w:val="continue"/>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(240,033)</w:t>
            </w:r>
          </w:p>
        </w:tc>
        <w:tc>
          <w:tcPr>
            <w:tcW w:w="32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(517,645)</w:t>
            </w:r>
          </w:p>
        </w:tc>
        <w:tc>
          <w:tcPr>
            <w:tcW w:w="0" w:type="dxa"/>
            <w:vAlign w:val="bottom"/>
          </w:tcPr>
          <w:p>
            <w:pPr>
              <w:spacing w:after="0"/>
              <w:rPr>
                <w:sz w:val="1"/>
                <w:szCs w:val="1"/>
                <w:color w:val="auto"/>
              </w:rPr>
            </w:pPr>
          </w:p>
        </w:tc>
      </w:tr>
      <w:tr>
        <w:trPr>
          <w:trHeight w:val="148"/>
        </w:trPr>
        <w:tc>
          <w:tcPr>
            <w:tcW w:w="8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Capital share activity:</w:t>
            </w: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980" w:type="dxa"/>
            <w:vAlign w:val="bottom"/>
          </w:tcPr>
          <w:p>
            <w:pPr>
              <w:ind w:left="440"/>
              <w:spacing w:after="0"/>
              <w:rPr>
                <w:sz w:val="20"/>
                <w:szCs w:val="20"/>
                <w:color w:val="auto"/>
              </w:rPr>
            </w:pPr>
            <w:r>
              <w:rPr>
                <w:rFonts w:ascii="Arial" w:cs="Arial" w:eastAsia="Arial" w:hAnsi="Arial"/>
                <w:sz w:val="13"/>
                <w:szCs w:val="13"/>
                <w:color w:val="auto"/>
              </w:rPr>
              <w:t>Shares issued from public offering</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9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Shares issued from reinvestment of distributions</w:t>
            </w: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w w:val="98"/>
              </w:rPr>
              <w:t>Nine Months Ended June 30,</w:t>
            </w:r>
          </w:p>
        </w:tc>
        <w:tc>
          <w:tcPr>
            <w:tcW w:w="0" w:type="dxa"/>
            <w:vAlign w:val="bottom"/>
          </w:tcPr>
          <w:p>
            <w:pPr>
              <w:spacing w:after="0"/>
              <w:rPr>
                <w:sz w:val="1"/>
                <w:szCs w:val="1"/>
                <w:color w:val="auto"/>
              </w:rPr>
            </w:pPr>
          </w:p>
        </w:tc>
      </w:tr>
      <w:tr>
        <w:trPr>
          <w:trHeight w:val="142"/>
        </w:trPr>
        <w:tc>
          <w:tcPr>
            <w:tcW w:w="796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9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operating activities:</w:t>
            </w:r>
          </w:p>
        </w:tc>
        <w:tc>
          <w:tcPr>
            <w:tcW w:w="12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960" w:type="dxa"/>
            <w:vAlign w:val="bottom"/>
          </w:tcPr>
          <w:p>
            <w:pPr>
              <w:ind w:left="440"/>
              <w:spacing w:after="0"/>
              <w:rPr>
                <w:sz w:val="20"/>
                <w:szCs w:val="20"/>
                <w:color w:val="auto"/>
              </w:rPr>
            </w:pPr>
            <w:r>
              <w:rPr>
                <w:rFonts w:ascii="Arial" w:cs="Arial" w:eastAsia="Arial" w:hAnsi="Arial"/>
                <w:sz w:val="13"/>
                <w:szCs w:val="13"/>
                <w:color w:val="auto"/>
              </w:rPr>
              <w:t>Net increase in net assets resulting from operations</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18,235,852</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6,538,293</w:t>
            </w:r>
          </w:p>
        </w:tc>
        <w:tc>
          <w:tcPr>
            <w:tcW w:w="0" w:type="dxa"/>
            <w:vAlign w:val="bottom"/>
          </w:tcPr>
          <w:p>
            <w:pPr>
              <w:spacing w:after="0"/>
              <w:rPr>
                <w:sz w:val="1"/>
                <w:szCs w:val="1"/>
                <w:color w:val="auto"/>
              </w:rPr>
            </w:pPr>
          </w:p>
        </w:tc>
      </w:tr>
      <w:tr>
        <w:trPr>
          <w:trHeight w:val="149"/>
        </w:trPr>
        <w:tc>
          <w:tcPr>
            <w:tcW w:w="79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Adjustments to reconcile net increase in net assets resulting from operations to net cash used for operating activities:</w:t>
            </w:r>
          </w:p>
        </w:tc>
        <w:tc>
          <w:tcPr>
            <w:tcW w:w="12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60" w:type="dxa"/>
            <w:vAlign w:val="bottom"/>
          </w:tcPr>
          <w:p>
            <w:pPr>
              <w:ind w:left="880"/>
              <w:spacing w:after="0"/>
              <w:rPr>
                <w:sz w:val="20"/>
                <w:szCs w:val="20"/>
                <w:color w:val="auto"/>
              </w:rPr>
            </w:pPr>
            <w:r>
              <w:rPr>
                <w:rFonts w:ascii="Arial" w:cs="Arial" w:eastAsia="Arial" w:hAnsi="Arial"/>
                <w:sz w:val="13"/>
                <w:szCs w:val="13"/>
                <w:color w:val="auto"/>
              </w:rPr>
              <w:t>Net change in unrealized (appreciation) depreciation on investments</w:t>
            </w:r>
          </w:p>
        </w:tc>
        <w:tc>
          <w:tcPr>
            <w:tcW w:w="12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(5,145,786)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3,233,442</w:t>
            </w:r>
          </w:p>
        </w:tc>
        <w:tc>
          <w:tcPr>
            <w:tcW w:w="0" w:type="dxa"/>
            <w:vAlign w:val="bottom"/>
          </w:tcPr>
          <w:p>
            <w:pPr>
              <w:spacing w:after="0"/>
              <w:rPr>
                <w:sz w:val="1"/>
                <w:szCs w:val="1"/>
                <w:color w:val="auto"/>
              </w:rPr>
            </w:pPr>
          </w:p>
        </w:tc>
      </w:tr>
      <w:tr>
        <w:trPr>
          <w:trHeight w:val="148"/>
        </w:trPr>
        <w:tc>
          <w:tcPr>
            <w:tcW w:w="7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Net change in unrealized appreciation on Credit Facility</w:t>
            </w:r>
          </w:p>
        </w:tc>
        <w:tc>
          <w:tcPr>
            <w:tcW w:w="12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377,500</w:t>
            </w:r>
          </w:p>
        </w:tc>
        <w:tc>
          <w:tcPr>
            <w:tcW w:w="0" w:type="dxa"/>
            <w:vAlign w:val="bottom"/>
          </w:tcPr>
          <w:p>
            <w:pPr>
              <w:spacing w:after="0"/>
              <w:rPr>
                <w:sz w:val="1"/>
                <w:szCs w:val="1"/>
                <w:color w:val="auto"/>
              </w:rPr>
            </w:pPr>
          </w:p>
        </w:tc>
      </w:tr>
      <w:tr>
        <w:trPr>
          <w:trHeight w:val="148"/>
        </w:trPr>
        <w:tc>
          <w:tcPr>
            <w:tcW w:w="7960" w:type="dxa"/>
            <w:vAlign w:val="bottom"/>
          </w:tcPr>
          <w:p>
            <w:pPr>
              <w:ind w:left="880"/>
              <w:spacing w:after="0"/>
              <w:rPr>
                <w:sz w:val="20"/>
                <w:szCs w:val="20"/>
                <w:color w:val="auto"/>
              </w:rPr>
            </w:pPr>
            <w:r>
              <w:rPr>
                <w:rFonts w:ascii="Arial" w:cs="Arial" w:eastAsia="Arial" w:hAnsi="Arial"/>
                <w:sz w:val="13"/>
                <w:szCs w:val="13"/>
                <w:color w:val="auto"/>
              </w:rPr>
              <w:t>Net realized gain on investments</w:t>
            </w:r>
          </w:p>
        </w:tc>
        <w:tc>
          <w:tcPr>
            <w:tcW w:w="12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(1,774,685)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(3,206,861)</w:t>
            </w:r>
          </w:p>
        </w:tc>
        <w:tc>
          <w:tcPr>
            <w:tcW w:w="0" w:type="dxa"/>
            <w:vAlign w:val="bottom"/>
          </w:tcPr>
          <w:p>
            <w:pPr>
              <w:spacing w:after="0"/>
              <w:rPr>
                <w:sz w:val="1"/>
                <w:szCs w:val="1"/>
                <w:color w:val="auto"/>
              </w:rPr>
            </w:pPr>
          </w:p>
        </w:tc>
      </w:tr>
      <w:tr>
        <w:trPr>
          <w:trHeight w:val="148"/>
        </w:trPr>
        <w:tc>
          <w:tcPr>
            <w:tcW w:w="7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Net accretion of discount and amortization of premium</w:t>
            </w:r>
          </w:p>
        </w:tc>
        <w:tc>
          <w:tcPr>
            <w:tcW w:w="12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(958,309)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(853,119)</w:t>
            </w:r>
          </w:p>
        </w:tc>
        <w:tc>
          <w:tcPr>
            <w:tcW w:w="0" w:type="dxa"/>
            <w:vAlign w:val="bottom"/>
          </w:tcPr>
          <w:p>
            <w:pPr>
              <w:spacing w:after="0"/>
              <w:rPr>
                <w:sz w:val="1"/>
                <w:szCs w:val="1"/>
                <w:color w:val="auto"/>
              </w:rPr>
            </w:pPr>
          </w:p>
        </w:tc>
      </w:tr>
      <w:tr>
        <w:trPr>
          <w:trHeight w:val="149"/>
        </w:trPr>
        <w:tc>
          <w:tcPr>
            <w:tcW w:w="7960" w:type="dxa"/>
            <w:vAlign w:val="bottom"/>
          </w:tcPr>
          <w:p>
            <w:pPr>
              <w:ind w:left="880"/>
              <w:spacing w:after="0"/>
              <w:rPr>
                <w:sz w:val="20"/>
                <w:szCs w:val="20"/>
                <w:color w:val="auto"/>
              </w:rPr>
            </w:pPr>
            <w:r>
              <w:rPr>
                <w:rFonts w:ascii="Arial" w:cs="Arial" w:eastAsia="Arial" w:hAnsi="Arial"/>
                <w:sz w:val="13"/>
                <w:szCs w:val="13"/>
                <w:color w:val="auto"/>
              </w:rPr>
              <w:t>Purchases of investments</w:t>
            </w:r>
          </w:p>
        </w:tc>
        <w:tc>
          <w:tcPr>
            <w:tcW w:w="12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w w:val="93"/>
              </w:rPr>
              <w:t>(184,986,373)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w w:val="91"/>
              </w:rPr>
              <w:t>(198,297,678)</w:t>
            </w:r>
          </w:p>
        </w:tc>
        <w:tc>
          <w:tcPr>
            <w:tcW w:w="0" w:type="dxa"/>
            <w:vAlign w:val="bottom"/>
          </w:tcPr>
          <w:p>
            <w:pPr>
              <w:spacing w:after="0"/>
              <w:rPr>
                <w:sz w:val="1"/>
                <w:szCs w:val="1"/>
                <w:color w:val="auto"/>
              </w:rPr>
            </w:pPr>
          </w:p>
        </w:tc>
      </w:tr>
      <w:tr>
        <w:trPr>
          <w:trHeight w:val="148"/>
        </w:trPr>
        <w:tc>
          <w:tcPr>
            <w:tcW w:w="7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Payment-in-kind income</w:t>
            </w:r>
          </w:p>
        </w:tc>
        <w:tc>
          <w:tcPr>
            <w:tcW w:w="12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(220,392)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(211,887)</w:t>
            </w:r>
          </w:p>
        </w:tc>
        <w:tc>
          <w:tcPr>
            <w:tcW w:w="0" w:type="dxa"/>
            <w:vAlign w:val="bottom"/>
          </w:tcPr>
          <w:p>
            <w:pPr>
              <w:spacing w:after="0"/>
              <w:rPr>
                <w:sz w:val="1"/>
                <w:szCs w:val="1"/>
                <w:color w:val="auto"/>
              </w:rPr>
            </w:pPr>
          </w:p>
        </w:tc>
      </w:tr>
      <w:tr>
        <w:trPr>
          <w:trHeight w:val="148"/>
        </w:trPr>
        <w:tc>
          <w:tcPr>
            <w:tcW w:w="7960" w:type="dxa"/>
            <w:vAlign w:val="bottom"/>
          </w:tcPr>
          <w:p>
            <w:pPr>
              <w:ind w:left="880"/>
              <w:spacing w:after="0"/>
              <w:rPr>
                <w:sz w:val="20"/>
                <w:szCs w:val="20"/>
                <w:color w:val="auto"/>
              </w:rPr>
            </w:pPr>
            <w:r>
              <w:rPr>
                <w:rFonts w:ascii="Arial" w:cs="Arial" w:eastAsia="Arial" w:hAnsi="Arial"/>
                <w:sz w:val="13"/>
                <w:szCs w:val="13"/>
                <w:color w:val="auto"/>
              </w:rPr>
              <w:t>Proceeds from dispositions of investments</w:t>
            </w:r>
          </w:p>
        </w:tc>
        <w:tc>
          <w:tcPr>
            <w:tcW w:w="12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w w:val="99"/>
              </w:rPr>
              <w:t>146,769,163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120,656,091</w:t>
            </w:r>
          </w:p>
        </w:tc>
        <w:tc>
          <w:tcPr>
            <w:tcW w:w="0" w:type="dxa"/>
            <w:vAlign w:val="bottom"/>
          </w:tcPr>
          <w:p>
            <w:pPr>
              <w:spacing w:after="0"/>
              <w:rPr>
                <w:sz w:val="1"/>
                <w:szCs w:val="1"/>
                <w:color w:val="auto"/>
              </w:rPr>
            </w:pPr>
          </w:p>
        </w:tc>
      </w:tr>
      <w:tr>
        <w:trPr>
          <w:trHeight w:val="148"/>
        </w:trPr>
        <w:tc>
          <w:tcPr>
            <w:tcW w:w="7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Decrease in interest receivable</w:t>
            </w:r>
          </w:p>
        </w:tc>
        <w:tc>
          <w:tcPr>
            <w:tcW w:w="12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226,370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221,786</w:t>
            </w:r>
          </w:p>
        </w:tc>
        <w:tc>
          <w:tcPr>
            <w:tcW w:w="0" w:type="dxa"/>
            <w:vAlign w:val="bottom"/>
          </w:tcPr>
          <w:p>
            <w:pPr>
              <w:spacing w:after="0"/>
              <w:rPr>
                <w:sz w:val="1"/>
                <w:szCs w:val="1"/>
                <w:color w:val="auto"/>
              </w:rPr>
            </w:pPr>
          </w:p>
        </w:tc>
      </w:tr>
      <w:tr>
        <w:trPr>
          <w:trHeight w:val="148"/>
        </w:trPr>
        <w:tc>
          <w:tcPr>
            <w:tcW w:w="7960" w:type="dxa"/>
            <w:vAlign w:val="bottom"/>
          </w:tcPr>
          <w:p>
            <w:pPr>
              <w:ind w:left="880"/>
              <w:spacing w:after="0"/>
              <w:rPr>
                <w:sz w:val="20"/>
                <w:szCs w:val="20"/>
                <w:color w:val="auto"/>
              </w:rPr>
            </w:pPr>
            <w:r>
              <w:rPr>
                <w:rFonts w:ascii="Arial" w:cs="Arial" w:eastAsia="Arial" w:hAnsi="Arial"/>
                <w:sz w:val="13"/>
                <w:szCs w:val="13"/>
                <w:color w:val="auto"/>
              </w:rPr>
              <w:t>Decrease (increase) in receivable for investments sold</w:t>
            </w:r>
          </w:p>
        </w:tc>
        <w:tc>
          <w:tcPr>
            <w:tcW w:w="12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374,306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(3,247,899)</w:t>
            </w:r>
          </w:p>
        </w:tc>
        <w:tc>
          <w:tcPr>
            <w:tcW w:w="0" w:type="dxa"/>
            <w:vAlign w:val="bottom"/>
          </w:tcPr>
          <w:p>
            <w:pPr>
              <w:spacing w:after="0"/>
              <w:rPr>
                <w:sz w:val="1"/>
                <w:szCs w:val="1"/>
                <w:color w:val="auto"/>
              </w:rPr>
            </w:pPr>
          </w:p>
        </w:tc>
      </w:tr>
      <w:tr>
        <w:trPr>
          <w:trHeight w:val="149"/>
        </w:trPr>
        <w:tc>
          <w:tcPr>
            <w:tcW w:w="7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Decrease (increase) in prepaid expenses and other assets</w:t>
            </w:r>
          </w:p>
        </w:tc>
        <w:tc>
          <w:tcPr>
            <w:tcW w:w="12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43,765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(85,795)</w:t>
            </w:r>
          </w:p>
        </w:tc>
        <w:tc>
          <w:tcPr>
            <w:tcW w:w="0" w:type="dxa"/>
            <w:vAlign w:val="bottom"/>
          </w:tcPr>
          <w:p>
            <w:pPr>
              <w:spacing w:after="0"/>
              <w:rPr>
                <w:sz w:val="1"/>
                <w:szCs w:val="1"/>
                <w:color w:val="auto"/>
              </w:rPr>
            </w:pPr>
          </w:p>
        </w:tc>
      </w:tr>
      <w:tr>
        <w:trPr>
          <w:trHeight w:val="148"/>
        </w:trPr>
        <w:tc>
          <w:tcPr>
            <w:tcW w:w="7960" w:type="dxa"/>
            <w:vAlign w:val="bottom"/>
          </w:tcPr>
          <w:p>
            <w:pPr>
              <w:ind w:left="880"/>
              <w:spacing w:after="0"/>
              <w:rPr>
                <w:sz w:val="20"/>
                <w:szCs w:val="20"/>
                <w:color w:val="auto"/>
              </w:rPr>
            </w:pPr>
            <w:r>
              <w:rPr>
                <w:rFonts w:ascii="Arial" w:cs="Arial" w:eastAsia="Arial" w:hAnsi="Arial"/>
                <w:sz w:val="13"/>
                <w:szCs w:val="13"/>
                <w:color w:val="auto"/>
              </w:rPr>
              <w:t>(Decrease) increase in payable for investments purchased</w:t>
            </w:r>
          </w:p>
        </w:tc>
        <w:tc>
          <w:tcPr>
            <w:tcW w:w="12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(11,827,091)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27,157,500</w:t>
            </w:r>
          </w:p>
        </w:tc>
        <w:tc>
          <w:tcPr>
            <w:tcW w:w="0" w:type="dxa"/>
            <w:vAlign w:val="bottom"/>
          </w:tcPr>
          <w:p>
            <w:pPr>
              <w:spacing w:after="0"/>
              <w:rPr>
                <w:sz w:val="1"/>
                <w:szCs w:val="1"/>
                <w:color w:val="auto"/>
              </w:rPr>
            </w:pPr>
          </w:p>
        </w:tc>
      </w:tr>
      <w:tr>
        <w:trPr>
          <w:trHeight w:val="148"/>
        </w:trPr>
        <w:tc>
          <w:tcPr>
            <w:tcW w:w="7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Increase (decrease) in interest payable on Credit Facility</w:t>
            </w:r>
          </w:p>
        </w:tc>
        <w:tc>
          <w:tcPr>
            <w:tcW w:w="12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92,515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(11,415)</w:t>
            </w:r>
          </w:p>
        </w:tc>
        <w:tc>
          <w:tcPr>
            <w:tcW w:w="0" w:type="dxa"/>
            <w:vAlign w:val="bottom"/>
          </w:tcPr>
          <w:p>
            <w:pPr>
              <w:spacing w:after="0"/>
              <w:rPr>
                <w:sz w:val="1"/>
                <w:szCs w:val="1"/>
                <w:color w:val="auto"/>
              </w:rPr>
            </w:pPr>
          </w:p>
        </w:tc>
      </w:tr>
      <w:tr>
        <w:trPr>
          <w:trHeight w:val="148"/>
        </w:trPr>
        <w:tc>
          <w:tcPr>
            <w:tcW w:w="7960" w:type="dxa"/>
            <w:vAlign w:val="bottom"/>
          </w:tcPr>
          <w:p>
            <w:pPr>
              <w:ind w:left="880"/>
              <w:spacing w:after="0"/>
              <w:rPr>
                <w:sz w:val="20"/>
                <w:szCs w:val="20"/>
                <w:color w:val="auto"/>
              </w:rPr>
            </w:pPr>
            <w:r>
              <w:rPr>
                <w:rFonts w:ascii="Arial" w:cs="Arial" w:eastAsia="Arial" w:hAnsi="Arial"/>
                <w:sz w:val="13"/>
                <w:szCs w:val="13"/>
                <w:color w:val="auto"/>
              </w:rPr>
              <w:t>Increase in management fee payable</w:t>
            </w:r>
          </w:p>
        </w:tc>
        <w:tc>
          <w:tcPr>
            <w:tcW w:w="12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221,461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124,032</w:t>
            </w:r>
          </w:p>
        </w:tc>
        <w:tc>
          <w:tcPr>
            <w:tcW w:w="0" w:type="dxa"/>
            <w:vAlign w:val="bottom"/>
          </w:tcPr>
          <w:p>
            <w:pPr>
              <w:spacing w:after="0"/>
              <w:rPr>
                <w:sz w:val="1"/>
                <w:szCs w:val="1"/>
                <w:color w:val="auto"/>
              </w:rPr>
            </w:pPr>
          </w:p>
        </w:tc>
      </w:tr>
      <w:tr>
        <w:trPr>
          <w:trHeight w:val="148"/>
        </w:trPr>
        <w:tc>
          <w:tcPr>
            <w:tcW w:w="7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Increase in performance-based incentive fee payable</w:t>
            </w:r>
          </w:p>
        </w:tc>
        <w:tc>
          <w:tcPr>
            <w:tcW w:w="12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1,188,461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152,231</w:t>
            </w:r>
          </w:p>
        </w:tc>
        <w:tc>
          <w:tcPr>
            <w:tcW w:w="0" w:type="dxa"/>
            <w:vAlign w:val="bottom"/>
          </w:tcPr>
          <w:p>
            <w:pPr>
              <w:spacing w:after="0"/>
              <w:rPr>
                <w:sz w:val="1"/>
                <w:szCs w:val="1"/>
                <w:color w:val="auto"/>
              </w:rPr>
            </w:pPr>
          </w:p>
        </w:tc>
      </w:tr>
      <w:tr>
        <w:trPr>
          <w:trHeight w:val="148"/>
        </w:trPr>
        <w:tc>
          <w:tcPr>
            <w:tcW w:w="7960" w:type="dxa"/>
            <w:vAlign w:val="bottom"/>
          </w:tcPr>
          <w:p>
            <w:pPr>
              <w:ind w:left="880"/>
              <w:spacing w:after="0"/>
              <w:rPr>
                <w:sz w:val="20"/>
                <w:szCs w:val="20"/>
                <w:color w:val="auto"/>
              </w:rPr>
            </w:pPr>
            <w:r>
              <w:rPr>
                <w:rFonts w:ascii="Arial" w:cs="Arial" w:eastAsia="Arial" w:hAnsi="Arial"/>
                <w:sz w:val="13"/>
                <w:szCs w:val="13"/>
                <w:color w:val="auto"/>
              </w:rPr>
              <w:t>(Decrease) increase in accrued other expenses</w:t>
            </w:r>
          </w:p>
        </w:tc>
        <w:tc>
          <w:tcPr>
            <w:tcW w:w="12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(183,641)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334,587</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96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Net cash used for operating activities</w:t>
            </w:r>
          </w:p>
        </w:tc>
        <w:tc>
          <w:tcPr>
            <w:tcW w:w="12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(37,944,384)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(47,119,192)</w:t>
            </w:r>
          </w:p>
        </w:tc>
        <w:tc>
          <w:tcPr>
            <w:tcW w:w="0" w:type="dxa"/>
            <w:vAlign w:val="bottom"/>
          </w:tcPr>
          <w:p>
            <w:pPr>
              <w:spacing w:after="0"/>
              <w:rPr>
                <w:sz w:val="1"/>
                <w:szCs w:val="1"/>
                <w:color w:val="auto"/>
              </w:rPr>
            </w:pPr>
          </w:p>
        </w:tc>
      </w:tr>
      <w:tr>
        <w:trPr>
          <w:trHeight w:val="156"/>
        </w:trPr>
        <w:tc>
          <w:tcPr>
            <w:tcW w:w="796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2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Public offering</w:t>
            </w:r>
          </w:p>
        </w:tc>
        <w:tc>
          <w:tcPr>
            <w:tcW w:w="12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48,300,000</w:t>
            </w:r>
          </w:p>
        </w:tc>
        <w:tc>
          <w:tcPr>
            <w:tcW w:w="0" w:type="dxa"/>
            <w:vAlign w:val="bottom"/>
          </w:tcPr>
          <w:p>
            <w:pPr>
              <w:spacing w:after="0"/>
              <w:rPr>
                <w:sz w:val="1"/>
                <w:szCs w:val="1"/>
                <w:color w:val="auto"/>
              </w:rPr>
            </w:pPr>
          </w:p>
        </w:tc>
      </w:tr>
      <w:tr>
        <w:trPr>
          <w:trHeight w:val="148"/>
        </w:trPr>
        <w:tc>
          <w:tcPr>
            <w:tcW w:w="7960" w:type="dxa"/>
            <w:vAlign w:val="bottom"/>
          </w:tcPr>
          <w:p>
            <w:pPr>
              <w:ind w:left="880"/>
              <w:spacing w:after="0"/>
              <w:rPr>
                <w:sz w:val="20"/>
                <w:szCs w:val="20"/>
                <w:color w:val="auto"/>
              </w:rPr>
            </w:pPr>
            <w:r>
              <w:rPr>
                <w:rFonts w:ascii="Arial" w:cs="Arial" w:eastAsia="Arial" w:hAnsi="Arial"/>
                <w:sz w:val="13"/>
                <w:szCs w:val="13"/>
                <w:color w:val="auto"/>
              </w:rPr>
              <w:t>Offering costs</w:t>
            </w:r>
          </w:p>
        </w:tc>
        <w:tc>
          <w:tcPr>
            <w:tcW w:w="1280" w:type="dxa"/>
            <w:vAlign w:val="bottom"/>
          </w:tcPr>
          <w:p>
            <w:pPr>
              <w:spacing w:after="0"/>
              <w:rPr>
                <w:sz w:val="12"/>
                <w:szCs w:val="1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48"/>
        </w:trPr>
        <w:tc>
          <w:tcPr>
            <w:tcW w:w="7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Deferred sales load paid</w:t>
            </w:r>
          </w:p>
        </w:tc>
        <w:tc>
          <w:tcPr>
            <w:tcW w:w="12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(2,055,000)</w:t>
            </w:r>
          </w:p>
        </w:tc>
        <w:tc>
          <w:tcPr>
            <w:tcW w:w="0" w:type="dxa"/>
            <w:vAlign w:val="bottom"/>
          </w:tcPr>
          <w:p>
            <w:pPr>
              <w:spacing w:after="0"/>
              <w:rPr>
                <w:sz w:val="1"/>
                <w:szCs w:val="1"/>
                <w:color w:val="auto"/>
              </w:rPr>
            </w:pPr>
          </w:p>
        </w:tc>
      </w:tr>
      <w:tr>
        <w:trPr>
          <w:trHeight w:val="148"/>
        </w:trPr>
        <w:tc>
          <w:tcPr>
            <w:tcW w:w="7960" w:type="dxa"/>
            <w:vAlign w:val="bottom"/>
          </w:tcPr>
          <w:p>
            <w:pPr>
              <w:ind w:left="880"/>
              <w:spacing w:after="0"/>
              <w:rPr>
                <w:sz w:val="20"/>
                <w:szCs w:val="20"/>
                <w:color w:val="auto"/>
              </w:rPr>
            </w:pPr>
            <w:r>
              <w:rPr>
                <w:rFonts w:ascii="Arial" w:cs="Arial" w:eastAsia="Arial" w:hAnsi="Arial"/>
                <w:sz w:val="13"/>
                <w:szCs w:val="13"/>
                <w:color w:val="auto"/>
              </w:rPr>
              <w:t>Distributions paid to stockholders</w:t>
            </w:r>
          </w:p>
        </w:tc>
        <w:tc>
          <w:tcPr>
            <w:tcW w:w="12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(11,992,935)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(5,735,436)</w:t>
            </w:r>
          </w:p>
        </w:tc>
        <w:tc>
          <w:tcPr>
            <w:tcW w:w="0" w:type="dxa"/>
            <w:vAlign w:val="bottom"/>
          </w:tcPr>
          <w:p>
            <w:pPr>
              <w:spacing w:after="0"/>
              <w:rPr>
                <w:sz w:val="1"/>
                <w:szCs w:val="1"/>
                <w:color w:val="auto"/>
              </w:rPr>
            </w:pPr>
          </w:p>
        </w:tc>
      </w:tr>
      <w:tr>
        <w:trPr>
          <w:trHeight w:val="149"/>
        </w:trPr>
        <w:tc>
          <w:tcPr>
            <w:tcW w:w="7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Borrowings under Credit Facility (See Notes 5 and 9)</w:t>
            </w:r>
          </w:p>
        </w:tc>
        <w:tc>
          <w:tcPr>
            <w:tcW w:w="12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9"/>
              </w:rPr>
              <w:t>130,500,000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121,450,000</w:t>
            </w:r>
          </w:p>
        </w:tc>
        <w:tc>
          <w:tcPr>
            <w:tcW w:w="0" w:type="dxa"/>
            <w:vAlign w:val="bottom"/>
          </w:tcPr>
          <w:p>
            <w:pPr>
              <w:spacing w:after="0"/>
              <w:rPr>
                <w:sz w:val="1"/>
                <w:szCs w:val="1"/>
                <w:color w:val="auto"/>
              </w:rPr>
            </w:pPr>
          </w:p>
        </w:tc>
      </w:tr>
      <w:tr>
        <w:trPr>
          <w:trHeight w:val="155"/>
        </w:trPr>
        <w:tc>
          <w:tcPr>
            <w:tcW w:w="7960" w:type="dxa"/>
            <w:vAlign w:val="bottom"/>
          </w:tcPr>
          <w:p>
            <w:pPr>
              <w:ind w:left="880"/>
              <w:spacing w:after="0"/>
              <w:rPr>
                <w:sz w:val="20"/>
                <w:szCs w:val="20"/>
                <w:color w:val="auto"/>
              </w:rPr>
            </w:pPr>
            <w:r>
              <w:rPr>
                <w:rFonts w:ascii="Arial" w:cs="Arial" w:eastAsia="Arial" w:hAnsi="Arial"/>
                <w:sz w:val="13"/>
                <w:szCs w:val="13"/>
                <w:color w:val="auto"/>
              </w:rPr>
              <w:t>Repayments under Credit Facility (See Notes 5 and 9)</w:t>
            </w:r>
          </w:p>
        </w:tc>
        <w:tc>
          <w:tcPr>
            <w:tcW w:w="128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(75,200,000)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w w:val="91"/>
              </w:rPr>
              <w:t>(111,350,000)</w:t>
            </w:r>
          </w:p>
        </w:tc>
        <w:tc>
          <w:tcPr>
            <w:tcW w:w="0" w:type="dxa"/>
            <w:vAlign w:val="bottom"/>
          </w:tcPr>
          <w:p>
            <w:pPr>
              <w:spacing w:after="0"/>
              <w:rPr>
                <w:sz w:val="1"/>
                <w:szCs w:val="1"/>
                <w:color w:val="auto"/>
              </w:rPr>
            </w:pPr>
          </w:p>
        </w:tc>
      </w:tr>
      <w:tr>
        <w:trPr>
          <w:trHeight w:val="148"/>
        </w:trPr>
        <w:tc>
          <w:tcPr>
            <w:tcW w:w="796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Net cash provided by financing activities</w:t>
            </w:r>
          </w:p>
        </w:tc>
        <w:tc>
          <w:tcPr>
            <w:tcW w:w="128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43,307,065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50,209,564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960" w:type="dxa"/>
            <w:vAlign w:val="bottom"/>
          </w:tcPr>
          <w:p>
            <w:pPr>
              <w:spacing w:after="0"/>
              <w:rPr>
                <w:sz w:val="20"/>
                <w:szCs w:val="20"/>
                <w:color w:val="auto"/>
              </w:rPr>
            </w:pPr>
            <w:r>
              <w:rPr>
                <w:rFonts w:ascii="Arial" w:cs="Arial" w:eastAsia="Arial" w:hAnsi="Arial"/>
                <w:sz w:val="13"/>
                <w:szCs w:val="13"/>
                <w:b w:val="1"/>
                <w:bCs w:val="1"/>
                <w:color w:val="auto"/>
              </w:rPr>
              <w:t>Net increase in cash equivalents</w:t>
            </w:r>
          </w:p>
        </w:tc>
        <w:tc>
          <w:tcPr>
            <w:tcW w:w="128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5,362,681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3,090,372</w:t>
            </w:r>
          </w:p>
        </w:tc>
        <w:tc>
          <w:tcPr>
            <w:tcW w:w="0" w:type="dxa"/>
            <w:vAlign w:val="bottom"/>
          </w:tcPr>
          <w:p>
            <w:pPr>
              <w:spacing w:after="0"/>
              <w:rPr>
                <w:sz w:val="1"/>
                <w:szCs w:val="1"/>
                <w:color w:val="auto"/>
              </w:rPr>
            </w:pPr>
          </w:p>
        </w:tc>
      </w:tr>
      <w:tr>
        <w:trPr>
          <w:trHeight w:val="148"/>
        </w:trPr>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equivalents, beginning of period</w:t>
            </w:r>
          </w:p>
        </w:tc>
        <w:tc>
          <w:tcPr>
            <w:tcW w:w="128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4,578,249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3,845,803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960" w:type="dxa"/>
            <w:vAlign w:val="bottom"/>
          </w:tcPr>
          <w:p>
            <w:pPr>
              <w:spacing w:after="0"/>
              <w:rPr>
                <w:sz w:val="20"/>
                <w:szCs w:val="20"/>
                <w:color w:val="auto"/>
              </w:rPr>
            </w:pPr>
            <w:r>
              <w:rPr>
                <w:rFonts w:ascii="Arial" w:cs="Arial" w:eastAsia="Arial" w:hAnsi="Arial"/>
                <w:sz w:val="13"/>
                <w:szCs w:val="13"/>
                <w:b w:val="1"/>
                <w:bCs w:val="1"/>
                <w:color w:val="auto"/>
              </w:rPr>
              <w:t>Cash equivalents, end of period</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9,940,930</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6,936,175</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9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12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60" w:type="dxa"/>
            <w:vAlign w:val="bottom"/>
          </w:tcPr>
          <w:p>
            <w:pPr>
              <w:ind w:left="440"/>
              <w:spacing w:after="0"/>
              <w:rPr>
                <w:sz w:val="20"/>
                <w:szCs w:val="20"/>
                <w:color w:val="auto"/>
              </w:rPr>
            </w:pPr>
            <w:r>
              <w:rPr>
                <w:rFonts w:ascii="Arial" w:cs="Arial" w:eastAsia="Arial" w:hAnsi="Arial"/>
                <w:sz w:val="13"/>
                <w:szCs w:val="13"/>
                <w:color w:val="auto"/>
              </w:rPr>
              <w:t>Interest paid</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2,461,328</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1,353,513</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60" w:type="dxa"/>
            <w:vAlign w:val="bottom"/>
            <w:shd w:val="clear" w:color="auto" w:fill="CCEEFF"/>
          </w:tcPr>
          <w:p>
            <w:pPr>
              <w:ind w:left="440"/>
              <w:spacing w:after="0" w:line="143" w:lineRule="exact"/>
              <w:rPr>
                <w:sz w:val="20"/>
                <w:szCs w:val="20"/>
                <w:color w:val="auto"/>
              </w:rPr>
            </w:pPr>
            <w:r>
              <w:rPr>
                <w:rFonts w:ascii="Arial" w:cs="Arial" w:eastAsia="Arial" w:hAnsi="Arial"/>
                <w:sz w:val="13"/>
                <w:szCs w:val="13"/>
                <w:color w:val="auto"/>
              </w:rPr>
              <w:t>Excise taxes paid</w:t>
            </w:r>
          </w:p>
        </w:tc>
        <w:tc>
          <w:tcPr>
            <w:tcW w:w="128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256,392</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79,140</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440"/>
              <w:spacing w:after="0"/>
              <w:rPr>
                <w:sz w:val="20"/>
                <w:szCs w:val="20"/>
                <w:color w:val="auto"/>
              </w:rPr>
            </w:pPr>
            <w:r>
              <w:rPr>
                <w:rFonts w:ascii="Arial" w:cs="Arial" w:eastAsia="Arial" w:hAnsi="Arial"/>
                <w:sz w:val="13"/>
                <w:szCs w:val="13"/>
                <w:color w:val="auto"/>
              </w:rPr>
              <w:t>Distributions reinvested</w:t>
            </w:r>
          </w:p>
        </w:tc>
        <w:tc>
          <w:tcPr>
            <w:tcW w:w="1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60" w:type="dxa"/>
            <w:vAlign w:val="bottom"/>
            <w:vMerge w:val="continue"/>
          </w:tcPr>
          <w:p>
            <w:pPr>
              <w:spacing w:after="0"/>
              <w:rPr>
                <w:sz w:val="12"/>
                <w:szCs w:val="12"/>
                <w:color w:val="auto"/>
              </w:rPr>
            </w:pPr>
          </w:p>
        </w:tc>
        <w:tc>
          <w:tcPr>
            <w:tcW w:w="12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57,975</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60" w:type="dxa"/>
            <w:vAlign w:val="bottom"/>
            <w:shd w:val="clear" w:color="auto" w:fill="CCEEFF"/>
          </w:tcPr>
          <w:p>
            <w:pPr>
              <w:ind w:left="440"/>
              <w:spacing w:after="0" w:line="143" w:lineRule="exact"/>
              <w:rPr>
                <w:sz w:val="20"/>
                <w:szCs w:val="20"/>
                <w:color w:val="auto"/>
              </w:rPr>
            </w:pPr>
            <w:r>
              <w:rPr>
                <w:rFonts w:ascii="Arial" w:cs="Arial" w:eastAsia="Arial" w:hAnsi="Arial"/>
                <w:sz w:val="13"/>
                <w:szCs w:val="13"/>
                <w:color w:val="auto"/>
              </w:rPr>
              <w:t>Conversions and non-cash exchanges</w:t>
            </w:r>
          </w:p>
        </w:tc>
        <w:tc>
          <w:tcPr>
            <w:tcW w:w="128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6,902,784</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w:t>
      </w:r>
    </w:p>
    <w:p>
      <w:pPr>
        <w:jc w:val="center"/>
        <w:spacing w:after="0"/>
        <w:rPr>
          <w:sz w:val="20"/>
          <w:szCs w:val="20"/>
          <w:color w:val="auto"/>
        </w:rPr>
      </w:pPr>
      <w:r>
        <w:rPr>
          <w:rFonts w:ascii="Arial" w:cs="Arial" w:eastAsia="Arial" w:hAnsi="Arial"/>
          <w:sz w:val="13"/>
          <w:szCs w:val="13"/>
          <w:b w:val="1"/>
          <w:bCs w:val="1"/>
          <w:color w:val="auto"/>
        </w:rPr>
        <w:t>JUNE 30, 2014</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80" w:type="dxa"/>
            <w:vAlign w:val="bottom"/>
          </w:tcPr>
          <w:p>
            <w:pPr>
              <w:jc w:val="center"/>
              <w:ind w:right="273"/>
              <w:spacing w:after="0"/>
              <w:rPr>
                <w:sz w:val="20"/>
                <w:szCs w:val="20"/>
                <w:color w:val="auto"/>
              </w:rPr>
            </w:pPr>
            <w:r>
              <w:rPr>
                <w:rFonts w:ascii="Arial" w:cs="Arial" w:eastAsia="Arial" w:hAnsi="Arial"/>
                <w:sz w:val="13"/>
                <w:szCs w:val="13"/>
                <w:b w:val="1"/>
                <w:bCs w:val="1"/>
                <w:color w:val="auto"/>
                <w:w w:val="93"/>
              </w:rPr>
              <w:t>Basis Point</w:t>
            </w: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80" w:type="dxa"/>
            <w:vAlign w:val="bottom"/>
          </w:tcPr>
          <w:p>
            <w:pPr>
              <w:jc w:val="center"/>
              <w:ind w:right="273"/>
              <w:spacing w:after="0"/>
              <w:rPr>
                <w:sz w:val="20"/>
                <w:szCs w:val="20"/>
                <w:color w:val="auto"/>
              </w:rPr>
            </w:pPr>
            <w:r>
              <w:rPr>
                <w:rFonts w:ascii="Arial" w:cs="Arial" w:eastAsia="Arial" w:hAnsi="Arial"/>
                <w:sz w:val="13"/>
                <w:szCs w:val="13"/>
                <w:b w:val="1"/>
                <w:bCs w:val="1"/>
                <w:color w:val="auto"/>
                <w:w w:val="95"/>
              </w:rPr>
              <w:t>Spread</w:t>
            </w: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jc w:val="right"/>
              <w:ind w:right="333"/>
              <w:spacing w:after="0" w:line="134" w:lineRule="exact"/>
              <w:rPr>
                <w:sz w:val="20"/>
                <w:szCs w:val="20"/>
                <w:color w:val="auto"/>
              </w:rPr>
            </w:pPr>
            <w:r>
              <w:rPr>
                <w:rFonts w:ascii="Arial" w:cs="Arial" w:eastAsia="Arial" w:hAnsi="Arial"/>
                <w:sz w:val="13"/>
                <w:szCs w:val="13"/>
                <w:b w:val="1"/>
                <w:bCs w:val="1"/>
                <w:color w:val="auto"/>
              </w:rPr>
              <w:t>Current</w:t>
            </w:r>
          </w:p>
        </w:tc>
        <w:tc>
          <w:tcPr>
            <w:tcW w:w="1280" w:type="dxa"/>
            <w:vAlign w:val="bottom"/>
          </w:tcPr>
          <w:p>
            <w:pPr>
              <w:jc w:val="center"/>
              <w:ind w:right="273"/>
              <w:spacing w:after="0" w:line="134" w:lineRule="exact"/>
              <w:rPr>
                <w:sz w:val="20"/>
                <w:szCs w:val="20"/>
                <w:color w:val="auto"/>
              </w:rPr>
            </w:pPr>
            <w:r>
              <w:rPr>
                <w:rFonts w:ascii="Arial" w:cs="Arial" w:eastAsia="Arial" w:hAnsi="Arial"/>
                <w:sz w:val="13"/>
                <w:szCs w:val="13"/>
                <w:b w:val="1"/>
                <w:bCs w:val="1"/>
                <w:color w:val="auto"/>
                <w:w w:val="95"/>
              </w:rPr>
              <w:t>Above</w:t>
            </w:r>
          </w:p>
        </w:tc>
        <w:tc>
          <w:tcPr>
            <w:tcW w:w="1000" w:type="dxa"/>
            <w:vAlign w:val="bottom"/>
          </w:tcPr>
          <w:p>
            <w:pPr>
              <w:jc w:val="right"/>
              <w:ind w:right="373"/>
              <w:spacing w:after="0" w:line="134" w:lineRule="exact"/>
              <w:rPr>
                <w:sz w:val="20"/>
                <w:szCs w:val="20"/>
                <w:color w:val="auto"/>
              </w:rPr>
            </w:pPr>
            <w:r>
              <w:rPr>
                <w:rFonts w:ascii="Arial" w:cs="Arial" w:eastAsia="Arial" w:hAnsi="Arial"/>
                <w:sz w:val="13"/>
                <w:szCs w:val="13"/>
                <w:b w:val="1"/>
                <w:bCs w:val="1"/>
                <w:color w:val="auto"/>
              </w:rPr>
              <w:t>Par /</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w w:val="95"/>
              </w:rPr>
              <w:t xml:space="preserve">Fair Value </w:t>
            </w:r>
            <w:r>
              <w:rPr>
                <w:rFonts w:ascii="Arial" w:cs="Arial" w:eastAsia="Arial" w:hAnsi="Arial"/>
                <w:sz w:val="22"/>
                <w:szCs w:val="22"/>
                <w:b w:val="1"/>
                <w:bCs w:val="1"/>
                <w:color w:val="auto"/>
                <w:w w:val="95"/>
                <w:vertAlign w:val="superscript"/>
              </w:rPr>
              <w:t>(2)</w:t>
            </w:r>
          </w:p>
        </w:tc>
        <w:tc>
          <w:tcPr>
            <w:tcW w:w="0" w:type="dxa"/>
            <w:vAlign w:val="bottom"/>
          </w:tcPr>
          <w:p>
            <w:pPr>
              <w:spacing w:after="0"/>
              <w:rPr>
                <w:sz w:val="1"/>
                <w:szCs w:val="1"/>
                <w:color w:val="auto"/>
              </w:rPr>
            </w:pPr>
          </w:p>
        </w:tc>
      </w:tr>
      <w:tr>
        <w:trPr>
          <w:trHeight w:val="176"/>
        </w:trPr>
        <w:tc>
          <w:tcPr>
            <w:tcW w:w="2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Issuer Name</w:t>
            </w: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Maturity</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Coupon</w:t>
            </w:r>
          </w:p>
        </w:tc>
        <w:tc>
          <w:tcPr>
            <w:tcW w:w="1280" w:type="dxa"/>
            <w:vAlign w:val="bottom"/>
            <w:tcBorders>
              <w:bottom w:val="single" w:sz="8" w:color="auto"/>
            </w:tcBorders>
          </w:tcPr>
          <w:p>
            <w:pPr>
              <w:jc w:val="center"/>
              <w:ind w:right="273"/>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Shares</w:t>
            </w: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Cost</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5660" w:type="dxa"/>
            <w:vAlign w:val="bottom"/>
            <w:gridSpan w:val="3"/>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Companies—169.2% </w:t>
            </w:r>
            <w:r>
              <w:rPr>
                <w:rFonts w:ascii="Arial" w:cs="Arial" w:eastAsia="Arial" w:hAnsi="Arial"/>
                <w:sz w:val="15"/>
                <w:szCs w:val="15"/>
                <w:b w:val="1"/>
                <w:bCs w:val="1"/>
                <w:color w:val="auto"/>
                <w:vertAlign w:val="superscript"/>
              </w:rPr>
              <w:t>(3), (4)</w:t>
            </w:r>
          </w:p>
        </w:tc>
        <w:tc>
          <w:tcPr>
            <w:tcW w:w="10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Debt—149.0%</w:t>
            </w:r>
          </w:p>
        </w:tc>
        <w:tc>
          <w:tcPr>
            <w:tcW w:w="9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20"/>
                <w:szCs w:val="20"/>
                <w:color w:val="auto"/>
              </w:rPr>
            </w:pPr>
            <w:r>
              <w:rPr>
                <w:rFonts w:ascii="Arial" w:cs="Arial" w:eastAsia="Arial" w:hAnsi="Arial"/>
                <w:sz w:val="13"/>
                <w:szCs w:val="13"/>
                <w:color w:val="auto"/>
              </w:rPr>
              <w:t>AKA Diversified Holdings, Inc.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04/02/2018</w:t>
            </w:r>
          </w:p>
        </w:tc>
        <w:tc>
          <w:tcPr>
            <w:tcW w:w="2100" w:type="dxa"/>
            <w:vAlign w:val="bottom"/>
          </w:tcPr>
          <w:p>
            <w:pPr>
              <w:jc w:val="center"/>
              <w:spacing w:after="0"/>
              <w:rPr>
                <w:sz w:val="20"/>
                <w:szCs w:val="20"/>
                <w:color w:val="auto"/>
              </w:rPr>
            </w:pPr>
            <w:r>
              <w:rPr>
                <w:rFonts w:ascii="Arial" w:cs="Arial" w:eastAsia="Arial" w:hAnsi="Arial"/>
                <w:sz w:val="13"/>
                <w:szCs w:val="13"/>
                <w:color w:val="auto"/>
                <w:w w:val="96"/>
              </w:rPr>
              <w:t>Retail</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11.90%</w:t>
            </w:r>
          </w:p>
        </w:tc>
        <w:tc>
          <w:tcPr>
            <w:tcW w:w="1280" w:type="dxa"/>
            <w:vAlign w:val="bottom"/>
          </w:tcPr>
          <w:p>
            <w:pPr>
              <w:jc w:val="right"/>
              <w:ind w:right="153"/>
              <w:spacing w:after="0" w:line="149" w:lineRule="exact"/>
              <w:rPr>
                <w:sz w:val="20"/>
                <w:szCs w:val="20"/>
                <w:color w:val="auto"/>
              </w:rPr>
            </w:pPr>
            <w:r>
              <w:rPr>
                <w:rFonts w:ascii="Arial" w:cs="Arial" w:eastAsia="Arial" w:hAnsi="Arial"/>
                <w:sz w:val="11"/>
                <w:szCs w:val="11"/>
                <w:color w:val="auto"/>
              </w:rPr>
              <w:t>L+1,175</w:t>
            </w:r>
            <w:r>
              <w:rPr>
                <w:rFonts w:ascii="Arial" w:cs="Arial" w:eastAsia="Arial" w:hAnsi="Arial"/>
                <w:sz w:val="17"/>
                <w:szCs w:val="17"/>
                <w:color w:val="auto"/>
                <w:vertAlign w:val="superscript"/>
              </w:rPr>
              <w:t>(9)</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6,717,598</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   6,559,391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6,853,115</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AKA Diversified Holdings, Inc. </w:t>
            </w:r>
            <w:r>
              <w:rPr>
                <w:rFonts w:ascii="Arial" w:cs="Arial" w:eastAsia="Arial" w:hAnsi="Arial"/>
                <w:sz w:val="17"/>
                <w:szCs w:val="17"/>
                <w:color w:val="auto"/>
                <w:vertAlign w:val="superscript"/>
              </w:rPr>
              <w:t>(10)</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04/02/2018</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Retail</w:t>
            </w:r>
          </w:p>
        </w:tc>
        <w:tc>
          <w:tcPr>
            <w:tcW w:w="10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2,000,000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2,000,000</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20"/>
                <w:szCs w:val="20"/>
                <w:color w:val="auto"/>
              </w:rPr>
            </w:pPr>
            <w:r>
              <w:rPr>
                <w:rFonts w:ascii="Arial" w:cs="Arial" w:eastAsia="Arial" w:hAnsi="Arial"/>
                <w:sz w:val="13"/>
                <w:szCs w:val="13"/>
                <w:color w:val="auto"/>
              </w:rPr>
              <w:t>ALG USA Holdings, LLC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02/28/2019</w:t>
            </w:r>
          </w:p>
        </w:tc>
        <w:tc>
          <w:tcPr>
            <w:tcW w:w="2100" w:type="dxa"/>
            <w:vAlign w:val="bottom"/>
          </w:tcPr>
          <w:p>
            <w:pPr>
              <w:jc w:val="center"/>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7.00%</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L+575</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7,356,001</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7,307,366</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7,356,001</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Alvogen Pharma US, Inc.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05/23/2018</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7.00%</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L+575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2,764,276</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2,736,864</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2,812,651</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20"/>
                <w:szCs w:val="20"/>
                <w:color w:val="auto"/>
              </w:rPr>
            </w:pPr>
            <w:r>
              <w:rPr>
                <w:rFonts w:ascii="Arial" w:cs="Arial" w:eastAsia="Arial" w:hAnsi="Arial"/>
                <w:sz w:val="13"/>
                <w:szCs w:val="13"/>
                <w:color w:val="auto"/>
              </w:rPr>
              <w:t>AMF Bowling Centers, Inc.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06/29/2018</w:t>
            </w:r>
          </w:p>
        </w:tc>
        <w:tc>
          <w:tcPr>
            <w:tcW w:w="2100" w:type="dxa"/>
            <w:vAlign w:val="bottom"/>
          </w:tcPr>
          <w:p>
            <w:pPr>
              <w:jc w:val="center"/>
              <w:spacing w:after="0"/>
              <w:rPr>
                <w:sz w:val="20"/>
                <w:szCs w:val="20"/>
                <w:color w:val="auto"/>
              </w:rPr>
            </w:pPr>
            <w:r>
              <w:rPr>
                <w:rFonts w:ascii="Arial" w:cs="Arial" w:eastAsia="Arial" w:hAnsi="Arial"/>
                <w:sz w:val="13"/>
                <w:szCs w:val="13"/>
                <w:color w:val="auto"/>
                <w:w w:val="96"/>
              </w:rPr>
              <w:t>Retail</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8.75%</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L+750</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7,800,000</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7,607,393</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7,946,250</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Ancile Solutions, Inc.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07/16/2018</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6.25%</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L+500</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4,812,500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4,774,793</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4,818,516</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20"/>
                <w:szCs w:val="20"/>
                <w:color w:val="auto"/>
              </w:rPr>
            </w:pPr>
            <w:r>
              <w:rPr>
                <w:rFonts w:ascii="Arial" w:cs="Arial" w:eastAsia="Arial" w:hAnsi="Arial"/>
                <w:sz w:val="13"/>
                <w:szCs w:val="13"/>
                <w:color w:val="auto"/>
              </w:rPr>
              <w:t>AP Gaming I, LLC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12/21/2020</w:t>
            </w:r>
          </w:p>
        </w:tc>
        <w:tc>
          <w:tcPr>
            <w:tcW w:w="2100" w:type="dxa"/>
            <w:vAlign w:val="bottom"/>
          </w:tcPr>
          <w:p>
            <w:pPr>
              <w:jc w:val="center"/>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9.25%</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L+825</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1,393,000</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1,353,758</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1,406,930</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ARC Automotive Group, Inc.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11/15/2018</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Automotive</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6.00%</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L+475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2,444,016</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2,426,437</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2,450,126</w:t>
            </w:r>
          </w:p>
        </w:tc>
        <w:tc>
          <w:tcPr>
            <w:tcW w:w="0" w:type="dxa"/>
            <w:vAlign w:val="bottom"/>
          </w:tcPr>
          <w:p>
            <w:pPr>
              <w:spacing w:after="0"/>
              <w:rPr>
                <w:sz w:val="1"/>
                <w:szCs w:val="1"/>
                <w:color w:val="auto"/>
              </w:rPr>
            </w:pPr>
          </w:p>
        </w:tc>
      </w:tr>
      <w:tr>
        <w:trPr>
          <w:trHeight w:val="138"/>
        </w:trPr>
        <w:tc>
          <w:tcPr>
            <w:tcW w:w="2580" w:type="dxa"/>
            <w:vAlign w:val="bottom"/>
          </w:tcPr>
          <w:p>
            <w:pPr>
              <w:spacing w:after="0" w:line="138" w:lineRule="exact"/>
              <w:rPr>
                <w:sz w:val="20"/>
                <w:szCs w:val="20"/>
                <w:color w:val="auto"/>
              </w:rPr>
            </w:pPr>
            <w:r>
              <w:rPr>
                <w:rFonts w:ascii="Arial" w:cs="Arial" w:eastAsia="Arial" w:hAnsi="Arial"/>
                <w:sz w:val="13"/>
                <w:szCs w:val="13"/>
                <w:color w:val="auto"/>
              </w:rPr>
              <w:t>Ascend Learning, LLC</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07/31/2019</w:t>
            </w:r>
          </w:p>
        </w:tc>
        <w:tc>
          <w:tcPr>
            <w:tcW w:w="210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60" w:type="dxa"/>
            <w:vAlign w:val="bottom"/>
          </w:tcPr>
          <w:p>
            <w:pPr>
              <w:jc w:val="right"/>
              <w:ind w:right="93"/>
              <w:spacing w:after="0" w:line="138" w:lineRule="exact"/>
              <w:rPr>
                <w:sz w:val="20"/>
                <w:szCs w:val="20"/>
                <w:color w:val="auto"/>
              </w:rPr>
            </w:pPr>
            <w:r>
              <w:rPr>
                <w:rFonts w:ascii="Arial" w:cs="Arial" w:eastAsia="Arial" w:hAnsi="Arial"/>
                <w:sz w:val="13"/>
                <w:szCs w:val="13"/>
                <w:color w:val="auto"/>
              </w:rPr>
              <w:t>6.00%</w:t>
            </w:r>
          </w:p>
        </w:tc>
        <w:tc>
          <w:tcPr>
            <w:tcW w:w="1280" w:type="dxa"/>
            <w:vAlign w:val="bottom"/>
          </w:tcPr>
          <w:p>
            <w:pPr>
              <w:jc w:val="right"/>
              <w:ind w:right="293"/>
              <w:spacing w:after="0" w:line="138" w:lineRule="exact"/>
              <w:rPr>
                <w:sz w:val="20"/>
                <w:szCs w:val="20"/>
                <w:color w:val="auto"/>
              </w:rPr>
            </w:pPr>
            <w:r>
              <w:rPr>
                <w:rFonts w:ascii="Arial" w:cs="Arial" w:eastAsia="Arial" w:hAnsi="Arial"/>
                <w:sz w:val="13"/>
                <w:szCs w:val="13"/>
                <w:color w:val="auto"/>
              </w:rPr>
              <w:t>L+500</w:t>
            </w:r>
          </w:p>
        </w:tc>
        <w:tc>
          <w:tcPr>
            <w:tcW w:w="1000" w:type="dxa"/>
            <w:vAlign w:val="bottom"/>
          </w:tcPr>
          <w:p>
            <w:pPr>
              <w:jc w:val="right"/>
              <w:ind w:right="33"/>
              <w:spacing w:after="0" w:line="138" w:lineRule="exact"/>
              <w:rPr>
                <w:sz w:val="20"/>
                <w:szCs w:val="20"/>
                <w:color w:val="auto"/>
              </w:rPr>
            </w:pPr>
            <w:r>
              <w:rPr>
                <w:rFonts w:ascii="Arial" w:cs="Arial" w:eastAsia="Arial" w:hAnsi="Arial"/>
                <w:sz w:val="13"/>
                <w:szCs w:val="13"/>
                <w:color w:val="auto"/>
              </w:rPr>
              <w:t>3,483,747</w:t>
            </w:r>
          </w:p>
        </w:tc>
        <w:tc>
          <w:tcPr>
            <w:tcW w:w="980" w:type="dxa"/>
            <w:vAlign w:val="bottom"/>
          </w:tcPr>
          <w:p>
            <w:pPr>
              <w:jc w:val="right"/>
              <w:ind w:right="33"/>
              <w:spacing w:after="0" w:line="138" w:lineRule="exact"/>
              <w:rPr>
                <w:sz w:val="20"/>
                <w:szCs w:val="20"/>
                <w:color w:val="auto"/>
              </w:rPr>
            </w:pPr>
            <w:r>
              <w:rPr>
                <w:rFonts w:ascii="Arial" w:cs="Arial" w:eastAsia="Arial" w:hAnsi="Arial"/>
                <w:sz w:val="13"/>
                <w:szCs w:val="13"/>
                <w:color w:val="auto"/>
              </w:rPr>
              <w:t>3,470,345</w:t>
            </w:r>
          </w:p>
        </w:tc>
        <w:tc>
          <w:tcPr>
            <w:tcW w:w="160" w:type="dxa"/>
            <w:vAlign w:val="bottom"/>
          </w:tcPr>
          <w:p>
            <w:pPr>
              <w:spacing w:after="0"/>
              <w:rPr>
                <w:sz w:val="11"/>
                <w:szCs w:val="11"/>
                <w:color w:val="auto"/>
              </w:rPr>
            </w:pPr>
          </w:p>
        </w:tc>
        <w:tc>
          <w:tcPr>
            <w:tcW w:w="11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3,520,779</w:t>
            </w: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Aspen Dental Management, Inc.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10/06/2016</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Consumer Services</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7.00%</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L+550</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2,925,000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2,906,557</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2,934,155</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20"/>
                <w:szCs w:val="20"/>
                <w:color w:val="auto"/>
              </w:rPr>
            </w:pPr>
            <w:r>
              <w:rPr>
                <w:rFonts w:ascii="Arial" w:cs="Arial" w:eastAsia="Arial" w:hAnsi="Arial"/>
                <w:sz w:val="13"/>
                <w:szCs w:val="13"/>
                <w:color w:val="auto"/>
              </w:rPr>
              <w:t>ATI Holdings, Inc.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12/20/2019</w:t>
            </w: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5.00%</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L+400</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2,955,000</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2,931,066</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2,980,856</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Azure Midstream Energy LLC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11/15/2018</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Energy: Oil and Gas</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6.50%</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L+550</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5,362,500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5,292,408</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5,396,016</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20"/>
                <w:szCs w:val="20"/>
                <w:color w:val="auto"/>
              </w:rPr>
            </w:pPr>
            <w:r>
              <w:rPr>
                <w:rFonts w:ascii="Arial" w:cs="Arial" w:eastAsia="Arial" w:hAnsi="Arial"/>
                <w:sz w:val="13"/>
                <w:szCs w:val="13"/>
                <w:color w:val="auto"/>
              </w:rPr>
              <w:t>BBB Industries, LLC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03/27/2019</w:t>
            </w:r>
          </w:p>
        </w:tc>
        <w:tc>
          <w:tcPr>
            <w:tcW w:w="2100" w:type="dxa"/>
            <w:vAlign w:val="bottom"/>
          </w:tcPr>
          <w:p>
            <w:pPr>
              <w:jc w:val="center"/>
              <w:spacing w:after="0"/>
              <w:rPr>
                <w:sz w:val="20"/>
                <w:szCs w:val="20"/>
                <w:color w:val="auto"/>
              </w:rPr>
            </w:pPr>
            <w:r>
              <w:rPr>
                <w:rFonts w:ascii="Arial" w:cs="Arial" w:eastAsia="Arial" w:hAnsi="Arial"/>
                <w:sz w:val="13"/>
                <w:szCs w:val="13"/>
                <w:color w:val="auto"/>
              </w:rPr>
              <w:t>Automotive</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5.50%</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L+425</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2,812,500</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2,793,620</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2,810,166</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BBTS Borrower LP</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06/04/2019</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Energy: Oil and Gas</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7.75%</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L+650</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7,909,975</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7,851,322</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7,977,209</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20"/>
                <w:szCs w:val="20"/>
                <w:color w:val="auto"/>
              </w:rPr>
            </w:pPr>
            <w:r>
              <w:rPr>
                <w:rFonts w:ascii="Arial" w:cs="Arial" w:eastAsia="Arial" w:hAnsi="Arial"/>
                <w:sz w:val="13"/>
                <w:szCs w:val="13"/>
                <w:color w:val="auto"/>
              </w:rPr>
              <w:t>Blue Bird Body Company</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06/29/2020</w:t>
            </w:r>
          </w:p>
        </w:tc>
        <w:tc>
          <w:tcPr>
            <w:tcW w:w="2100" w:type="dxa"/>
            <w:vAlign w:val="bottom"/>
          </w:tcPr>
          <w:p>
            <w:pPr>
              <w:jc w:val="center"/>
              <w:spacing w:after="0"/>
              <w:rPr>
                <w:sz w:val="20"/>
                <w:szCs w:val="20"/>
                <w:color w:val="auto"/>
              </w:rPr>
            </w:pPr>
            <w:r>
              <w:rPr>
                <w:rFonts w:ascii="Arial" w:cs="Arial" w:eastAsia="Arial" w:hAnsi="Arial"/>
                <w:sz w:val="13"/>
                <w:szCs w:val="13"/>
                <w:color w:val="auto"/>
              </w:rPr>
              <w:t>Automotive</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7.75%</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P+450</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5,000,000</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4,925,019</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4,925,000</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CBAC Borrower, LLC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07/02/2020</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8.25%</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L+700</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5,000,000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4,958,338</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5,175,000</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20"/>
                <w:szCs w:val="20"/>
                <w:color w:val="auto"/>
              </w:rPr>
            </w:pPr>
            <w:r>
              <w:rPr>
                <w:rFonts w:ascii="Arial" w:cs="Arial" w:eastAsia="Arial" w:hAnsi="Arial"/>
                <w:sz w:val="13"/>
                <w:szCs w:val="13"/>
                <w:color w:val="auto"/>
              </w:rPr>
              <w:t>Charming Charlie LLC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12/24/2019</w:t>
            </w:r>
          </w:p>
        </w:tc>
        <w:tc>
          <w:tcPr>
            <w:tcW w:w="2100" w:type="dxa"/>
            <w:vAlign w:val="bottom"/>
          </w:tcPr>
          <w:p>
            <w:pPr>
              <w:jc w:val="center"/>
              <w:spacing w:after="0"/>
              <w:rPr>
                <w:sz w:val="20"/>
                <w:szCs w:val="20"/>
                <w:color w:val="auto"/>
              </w:rPr>
            </w:pPr>
            <w:r>
              <w:rPr>
                <w:rFonts w:ascii="Arial" w:cs="Arial" w:eastAsia="Arial" w:hAnsi="Arial"/>
                <w:sz w:val="13"/>
                <w:szCs w:val="13"/>
                <w:color w:val="auto"/>
                <w:w w:val="96"/>
              </w:rPr>
              <w:t>Retail</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9.00%</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L+800</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4,488,750</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4,425,783</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4,522,416</w:t>
            </w: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Chicken Soup for the Soul Publishing, LLC</w:t>
            </w:r>
          </w:p>
        </w:tc>
        <w:tc>
          <w:tcPr>
            <w:tcW w:w="98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01/08/2019</w:t>
            </w:r>
          </w:p>
        </w:tc>
        <w:tc>
          <w:tcPr>
            <w:tcW w:w="21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6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7.25%</w:t>
            </w:r>
          </w:p>
        </w:tc>
        <w:tc>
          <w:tcPr>
            <w:tcW w:w="128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3"/>
                <w:szCs w:val="13"/>
                <w:color w:val="auto"/>
              </w:rPr>
              <w:t>L+600</w:t>
            </w:r>
          </w:p>
        </w:tc>
        <w:tc>
          <w:tcPr>
            <w:tcW w:w="10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5,000,000</w:t>
            </w:r>
          </w:p>
        </w:tc>
        <w:tc>
          <w:tcPr>
            <w:tcW w:w="98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4,951,783</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5,000,000</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10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580" w:type="dxa"/>
            <w:vAlign w:val="bottom"/>
          </w:tcPr>
          <w:p>
            <w:pPr>
              <w:spacing w:after="0" w:line="138" w:lineRule="exact"/>
              <w:rPr>
                <w:sz w:val="20"/>
                <w:szCs w:val="20"/>
                <w:color w:val="auto"/>
              </w:rPr>
            </w:pPr>
            <w:r>
              <w:rPr>
                <w:rFonts w:ascii="Arial" w:cs="Arial" w:eastAsia="Arial" w:hAnsi="Arial"/>
                <w:sz w:val="13"/>
                <w:szCs w:val="13"/>
                <w:color w:val="auto"/>
              </w:rPr>
              <w:t>Creative Circle, LLC</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06/25/2020</w:t>
            </w:r>
          </w:p>
        </w:tc>
        <w:tc>
          <w:tcPr>
            <w:tcW w:w="210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60" w:type="dxa"/>
            <w:vAlign w:val="bottom"/>
          </w:tcPr>
          <w:p>
            <w:pPr>
              <w:jc w:val="right"/>
              <w:ind w:right="93"/>
              <w:spacing w:after="0" w:line="138" w:lineRule="exact"/>
              <w:rPr>
                <w:sz w:val="20"/>
                <w:szCs w:val="20"/>
                <w:color w:val="auto"/>
              </w:rPr>
            </w:pPr>
            <w:r>
              <w:rPr>
                <w:rFonts w:ascii="Arial" w:cs="Arial" w:eastAsia="Arial" w:hAnsi="Arial"/>
                <w:sz w:val="13"/>
                <w:szCs w:val="13"/>
                <w:color w:val="auto"/>
              </w:rPr>
              <w:t>5.50%</w:t>
            </w:r>
          </w:p>
        </w:tc>
        <w:tc>
          <w:tcPr>
            <w:tcW w:w="1280" w:type="dxa"/>
            <w:vAlign w:val="bottom"/>
          </w:tcPr>
          <w:p>
            <w:pPr>
              <w:jc w:val="right"/>
              <w:ind w:right="293"/>
              <w:spacing w:after="0" w:line="138" w:lineRule="exact"/>
              <w:rPr>
                <w:sz w:val="20"/>
                <w:szCs w:val="20"/>
                <w:color w:val="auto"/>
              </w:rPr>
            </w:pPr>
            <w:r>
              <w:rPr>
                <w:rFonts w:ascii="Arial" w:cs="Arial" w:eastAsia="Arial" w:hAnsi="Arial"/>
                <w:sz w:val="13"/>
                <w:szCs w:val="13"/>
                <w:color w:val="auto"/>
              </w:rPr>
              <w:t>L+450</w:t>
            </w:r>
          </w:p>
        </w:tc>
        <w:tc>
          <w:tcPr>
            <w:tcW w:w="1000" w:type="dxa"/>
            <w:vAlign w:val="bottom"/>
          </w:tcPr>
          <w:p>
            <w:pPr>
              <w:jc w:val="right"/>
              <w:ind w:right="33"/>
              <w:spacing w:after="0" w:line="138" w:lineRule="exact"/>
              <w:rPr>
                <w:sz w:val="20"/>
                <w:szCs w:val="20"/>
                <w:color w:val="auto"/>
              </w:rPr>
            </w:pPr>
            <w:r>
              <w:rPr>
                <w:rFonts w:ascii="Arial" w:cs="Arial" w:eastAsia="Arial" w:hAnsi="Arial"/>
                <w:sz w:val="13"/>
                <w:szCs w:val="13"/>
                <w:color w:val="auto"/>
              </w:rPr>
              <w:t>6,000,000</w:t>
            </w:r>
          </w:p>
        </w:tc>
        <w:tc>
          <w:tcPr>
            <w:tcW w:w="980" w:type="dxa"/>
            <w:vAlign w:val="bottom"/>
          </w:tcPr>
          <w:p>
            <w:pPr>
              <w:jc w:val="right"/>
              <w:ind w:right="33"/>
              <w:spacing w:after="0" w:line="138" w:lineRule="exact"/>
              <w:rPr>
                <w:sz w:val="20"/>
                <w:szCs w:val="20"/>
                <w:color w:val="auto"/>
              </w:rPr>
            </w:pPr>
            <w:r>
              <w:rPr>
                <w:rFonts w:ascii="Arial" w:cs="Arial" w:eastAsia="Arial" w:hAnsi="Arial"/>
                <w:sz w:val="13"/>
                <w:szCs w:val="13"/>
                <w:color w:val="auto"/>
              </w:rPr>
              <w:t>5,940,108</w:t>
            </w:r>
          </w:p>
        </w:tc>
        <w:tc>
          <w:tcPr>
            <w:tcW w:w="160" w:type="dxa"/>
            <w:vAlign w:val="bottom"/>
          </w:tcPr>
          <w:p>
            <w:pPr>
              <w:spacing w:after="0"/>
              <w:rPr>
                <w:sz w:val="11"/>
                <w:szCs w:val="11"/>
                <w:color w:val="auto"/>
              </w:rPr>
            </w:pPr>
          </w:p>
        </w:tc>
        <w:tc>
          <w:tcPr>
            <w:tcW w:w="11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5,940,000</w:t>
            </w: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Curo Health Services, LLC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06/08/2020</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5.75%</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L+475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2,000,000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1,950,340</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1,973,340</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20"/>
                <w:szCs w:val="20"/>
                <w:color w:val="auto"/>
              </w:rPr>
            </w:pPr>
            <w:r>
              <w:rPr>
                <w:rFonts w:ascii="Arial" w:cs="Arial" w:eastAsia="Arial" w:hAnsi="Arial"/>
                <w:sz w:val="13"/>
                <w:szCs w:val="13"/>
                <w:color w:val="auto"/>
              </w:rPr>
              <w:t>DCS Business Services, Inc.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03/19/2018</w:t>
            </w: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7.25%</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L+575</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3,262,078</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3,223,994</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3,180,526</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Document Technologies, LLC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12/03/2018</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5.50%</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L+425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946,759</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940,864</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942,025</w:t>
            </w:r>
          </w:p>
        </w:tc>
        <w:tc>
          <w:tcPr>
            <w:tcW w:w="0" w:type="dxa"/>
            <w:vAlign w:val="bottom"/>
          </w:tcPr>
          <w:p>
            <w:pPr>
              <w:spacing w:after="0"/>
              <w:rPr>
                <w:sz w:val="1"/>
                <w:szCs w:val="1"/>
                <w:color w:val="auto"/>
              </w:rPr>
            </w:pPr>
          </w:p>
        </w:tc>
      </w:tr>
      <w:tr>
        <w:trPr>
          <w:trHeight w:val="138"/>
        </w:trPr>
        <w:tc>
          <w:tcPr>
            <w:tcW w:w="2580" w:type="dxa"/>
            <w:vAlign w:val="bottom"/>
          </w:tcPr>
          <w:p>
            <w:pPr>
              <w:spacing w:after="0" w:line="138" w:lineRule="exact"/>
              <w:rPr>
                <w:sz w:val="20"/>
                <w:szCs w:val="20"/>
                <w:color w:val="auto"/>
              </w:rPr>
            </w:pPr>
            <w:r>
              <w:rPr>
                <w:rFonts w:ascii="Arial" w:cs="Arial" w:eastAsia="Arial" w:hAnsi="Arial"/>
                <w:sz w:val="13"/>
                <w:szCs w:val="13"/>
                <w:color w:val="auto"/>
              </w:rPr>
              <w:t>Edmentum, Inc.</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05/17/2018</w:t>
            </w:r>
          </w:p>
        </w:tc>
        <w:tc>
          <w:tcPr>
            <w:tcW w:w="210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60" w:type="dxa"/>
            <w:vAlign w:val="bottom"/>
          </w:tcPr>
          <w:p>
            <w:pPr>
              <w:jc w:val="right"/>
              <w:ind w:right="93"/>
              <w:spacing w:after="0" w:line="138" w:lineRule="exact"/>
              <w:rPr>
                <w:sz w:val="20"/>
                <w:szCs w:val="20"/>
                <w:color w:val="auto"/>
              </w:rPr>
            </w:pPr>
            <w:r>
              <w:rPr>
                <w:rFonts w:ascii="Arial" w:cs="Arial" w:eastAsia="Arial" w:hAnsi="Arial"/>
                <w:sz w:val="13"/>
                <w:szCs w:val="13"/>
                <w:color w:val="auto"/>
              </w:rPr>
              <w:t>5.50%</w:t>
            </w:r>
          </w:p>
        </w:tc>
        <w:tc>
          <w:tcPr>
            <w:tcW w:w="1280" w:type="dxa"/>
            <w:vAlign w:val="bottom"/>
          </w:tcPr>
          <w:p>
            <w:pPr>
              <w:jc w:val="right"/>
              <w:ind w:right="293"/>
              <w:spacing w:after="0" w:line="138" w:lineRule="exact"/>
              <w:rPr>
                <w:sz w:val="20"/>
                <w:szCs w:val="20"/>
                <w:color w:val="auto"/>
              </w:rPr>
            </w:pPr>
            <w:r>
              <w:rPr>
                <w:rFonts w:ascii="Arial" w:cs="Arial" w:eastAsia="Arial" w:hAnsi="Arial"/>
                <w:sz w:val="13"/>
                <w:szCs w:val="13"/>
                <w:color w:val="auto"/>
              </w:rPr>
              <w:t>L+450</w:t>
            </w:r>
          </w:p>
        </w:tc>
        <w:tc>
          <w:tcPr>
            <w:tcW w:w="1000" w:type="dxa"/>
            <w:vAlign w:val="bottom"/>
          </w:tcPr>
          <w:p>
            <w:pPr>
              <w:jc w:val="right"/>
              <w:ind w:right="33"/>
              <w:spacing w:after="0" w:line="138" w:lineRule="exact"/>
              <w:rPr>
                <w:sz w:val="20"/>
                <w:szCs w:val="20"/>
                <w:color w:val="auto"/>
              </w:rPr>
            </w:pPr>
            <w:r>
              <w:rPr>
                <w:rFonts w:ascii="Arial" w:cs="Arial" w:eastAsia="Arial" w:hAnsi="Arial"/>
                <w:sz w:val="13"/>
                <w:szCs w:val="13"/>
                <w:color w:val="auto"/>
              </w:rPr>
              <w:t>927,318</w:t>
            </w:r>
          </w:p>
        </w:tc>
        <w:tc>
          <w:tcPr>
            <w:tcW w:w="980" w:type="dxa"/>
            <w:vAlign w:val="bottom"/>
          </w:tcPr>
          <w:p>
            <w:pPr>
              <w:jc w:val="right"/>
              <w:ind w:right="33"/>
              <w:spacing w:after="0" w:line="138" w:lineRule="exact"/>
              <w:rPr>
                <w:sz w:val="20"/>
                <w:szCs w:val="20"/>
                <w:color w:val="auto"/>
              </w:rPr>
            </w:pPr>
            <w:r>
              <w:rPr>
                <w:rFonts w:ascii="Arial" w:cs="Arial" w:eastAsia="Arial" w:hAnsi="Arial"/>
                <w:sz w:val="13"/>
                <w:szCs w:val="13"/>
                <w:color w:val="auto"/>
              </w:rPr>
              <w:t>927,318</w:t>
            </w:r>
          </w:p>
        </w:tc>
        <w:tc>
          <w:tcPr>
            <w:tcW w:w="160" w:type="dxa"/>
            <w:vAlign w:val="bottom"/>
          </w:tcPr>
          <w:p>
            <w:pPr>
              <w:spacing w:after="0"/>
              <w:rPr>
                <w:sz w:val="11"/>
                <w:szCs w:val="11"/>
                <w:color w:val="auto"/>
              </w:rPr>
            </w:pPr>
          </w:p>
        </w:tc>
        <w:tc>
          <w:tcPr>
            <w:tcW w:w="11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928,087</w:t>
            </w: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Emerald Performance Materials, LLC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05/18/2018</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Chemicals, Plastics and Rubber</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6.75%</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L+550</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2,451,237</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2,435,293</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2,451,237</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20"/>
                <w:szCs w:val="20"/>
                <w:color w:val="auto"/>
              </w:rPr>
            </w:pPr>
            <w:r>
              <w:rPr>
                <w:rFonts w:ascii="Arial" w:cs="Arial" w:eastAsia="Arial" w:hAnsi="Arial"/>
                <w:sz w:val="13"/>
                <w:szCs w:val="13"/>
                <w:color w:val="auto"/>
              </w:rPr>
              <w:t>eResearchTechnology, Inc.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05/02/2018</w:t>
            </w: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6.00%</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L+475</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2,858,864</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2,846,203</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2,858,864</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e-Rewards, Inc.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10/29/2018</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6.00%</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L+500</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9,875,000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9,704,101</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9,825,625</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20"/>
                <w:szCs w:val="20"/>
                <w:color w:val="auto"/>
              </w:rPr>
            </w:pPr>
            <w:r>
              <w:rPr>
                <w:rFonts w:ascii="Arial" w:cs="Arial" w:eastAsia="Arial" w:hAnsi="Arial"/>
                <w:sz w:val="13"/>
                <w:szCs w:val="13"/>
                <w:color w:val="auto"/>
              </w:rPr>
              <w:t>FHC Health Systems, Inc.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01/09/2018</w:t>
            </w: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5.75%</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L+475</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4,500,000</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4,464,159</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Fishnet Security, Inc.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11/30/2017</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6.25%</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L+500</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3,619,875</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3,598,896</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3,597,251</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20"/>
                <w:szCs w:val="20"/>
                <w:color w:val="auto"/>
              </w:rPr>
            </w:pPr>
            <w:r>
              <w:rPr>
                <w:rFonts w:ascii="Arial" w:cs="Arial" w:eastAsia="Arial" w:hAnsi="Arial"/>
                <w:sz w:val="13"/>
                <w:szCs w:val="13"/>
                <w:color w:val="auto"/>
              </w:rPr>
              <w:t>Fox US Bidco Corp.</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06/17/2019</w:t>
            </w:r>
          </w:p>
        </w:tc>
        <w:tc>
          <w:tcPr>
            <w:tcW w:w="2100" w:type="dxa"/>
            <w:vAlign w:val="bottom"/>
          </w:tcPr>
          <w:p>
            <w:pPr>
              <w:jc w:val="center"/>
              <w:spacing w:after="0"/>
              <w:rPr>
                <w:sz w:val="20"/>
                <w:szCs w:val="20"/>
                <w:color w:val="auto"/>
              </w:rPr>
            </w:pPr>
            <w:r>
              <w:rPr>
                <w:rFonts w:ascii="Arial" w:cs="Arial" w:eastAsia="Arial" w:hAnsi="Arial"/>
                <w:sz w:val="13"/>
                <w:szCs w:val="13"/>
                <w:color w:val="auto"/>
                <w:w w:val="94"/>
              </w:rPr>
              <w:t>Consumer Goods: Durable</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9.00%</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L+750</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3,294,118</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3,261,292</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3,261,176</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Fox US Bidco Corp. </w:t>
            </w:r>
            <w:r>
              <w:rPr>
                <w:rFonts w:ascii="Arial" w:cs="Arial" w:eastAsia="Arial" w:hAnsi="Arial"/>
                <w:sz w:val="17"/>
                <w:szCs w:val="17"/>
                <w:color w:val="auto"/>
                <w:vertAlign w:val="superscript"/>
              </w:rPr>
              <w:t>(10)</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06/17/2019</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Consumer Goods: Durable</w:t>
            </w:r>
          </w:p>
        </w:tc>
        <w:tc>
          <w:tcPr>
            <w:tcW w:w="10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(9)</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705,882</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705,882</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705,882</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20"/>
                <w:szCs w:val="20"/>
                <w:color w:val="auto"/>
              </w:rPr>
            </w:pPr>
            <w:r>
              <w:rPr>
                <w:rFonts w:ascii="Arial" w:cs="Arial" w:eastAsia="Arial" w:hAnsi="Arial"/>
                <w:sz w:val="13"/>
                <w:szCs w:val="13"/>
                <w:color w:val="auto"/>
              </w:rPr>
              <w:t>GlobalLogic Holdings, Inc.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05/31/2019</w:t>
            </w:r>
          </w:p>
        </w:tc>
        <w:tc>
          <w:tcPr>
            <w:tcW w:w="210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6.25%</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L+525</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3,980,000</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3,942,244</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3,830,750</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Golden Nugget, Inc.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11/21/2019</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5.50%</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L+450</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7,960,000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7,910,417</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8,109,250</w:t>
            </w:r>
          </w:p>
        </w:tc>
        <w:tc>
          <w:tcPr>
            <w:tcW w:w="0" w:type="dxa"/>
            <w:vAlign w:val="bottom"/>
          </w:tcPr>
          <w:p>
            <w:pPr>
              <w:spacing w:after="0"/>
              <w:rPr>
                <w:sz w:val="1"/>
                <w:szCs w:val="1"/>
                <w:color w:val="auto"/>
              </w:rPr>
            </w:pPr>
          </w:p>
        </w:tc>
      </w:tr>
      <w:tr>
        <w:trPr>
          <w:trHeight w:val="138"/>
        </w:trPr>
        <w:tc>
          <w:tcPr>
            <w:tcW w:w="2580" w:type="dxa"/>
            <w:vAlign w:val="bottom"/>
          </w:tcPr>
          <w:p>
            <w:pPr>
              <w:spacing w:after="0" w:line="138" w:lineRule="exact"/>
              <w:rPr>
                <w:sz w:val="20"/>
                <w:szCs w:val="20"/>
                <w:color w:val="auto"/>
              </w:rPr>
            </w:pPr>
            <w:r>
              <w:rPr>
                <w:rFonts w:ascii="Arial" w:cs="Arial" w:eastAsia="Arial" w:hAnsi="Arial"/>
                <w:sz w:val="13"/>
                <w:szCs w:val="13"/>
                <w:color w:val="auto"/>
              </w:rPr>
              <w:t>Granite Broadcasting Corporation</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05/23/2018</w:t>
            </w:r>
          </w:p>
        </w:tc>
        <w:tc>
          <w:tcPr>
            <w:tcW w:w="210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60" w:type="dxa"/>
            <w:vAlign w:val="bottom"/>
          </w:tcPr>
          <w:p>
            <w:pPr>
              <w:jc w:val="right"/>
              <w:ind w:right="93"/>
              <w:spacing w:after="0" w:line="138" w:lineRule="exact"/>
              <w:rPr>
                <w:sz w:val="20"/>
                <w:szCs w:val="20"/>
                <w:color w:val="auto"/>
              </w:rPr>
            </w:pPr>
            <w:r>
              <w:rPr>
                <w:rFonts w:ascii="Arial" w:cs="Arial" w:eastAsia="Arial" w:hAnsi="Arial"/>
                <w:sz w:val="13"/>
                <w:szCs w:val="13"/>
                <w:color w:val="auto"/>
              </w:rPr>
              <w:t>6.75%</w:t>
            </w:r>
          </w:p>
        </w:tc>
        <w:tc>
          <w:tcPr>
            <w:tcW w:w="1280" w:type="dxa"/>
            <w:vAlign w:val="bottom"/>
          </w:tcPr>
          <w:p>
            <w:pPr>
              <w:jc w:val="right"/>
              <w:ind w:right="293"/>
              <w:spacing w:after="0" w:line="138" w:lineRule="exact"/>
              <w:rPr>
                <w:sz w:val="20"/>
                <w:szCs w:val="20"/>
                <w:color w:val="auto"/>
              </w:rPr>
            </w:pPr>
            <w:r>
              <w:rPr>
                <w:rFonts w:ascii="Arial" w:cs="Arial" w:eastAsia="Arial" w:hAnsi="Arial"/>
                <w:sz w:val="13"/>
                <w:szCs w:val="13"/>
                <w:color w:val="auto"/>
              </w:rPr>
              <w:t>L+550</w:t>
            </w:r>
          </w:p>
        </w:tc>
        <w:tc>
          <w:tcPr>
            <w:tcW w:w="1000" w:type="dxa"/>
            <w:vAlign w:val="bottom"/>
          </w:tcPr>
          <w:p>
            <w:pPr>
              <w:jc w:val="right"/>
              <w:ind w:right="33"/>
              <w:spacing w:after="0" w:line="138" w:lineRule="exact"/>
              <w:rPr>
                <w:sz w:val="20"/>
                <w:szCs w:val="20"/>
                <w:color w:val="auto"/>
              </w:rPr>
            </w:pPr>
            <w:r>
              <w:rPr>
                <w:rFonts w:ascii="Arial" w:cs="Arial" w:eastAsia="Arial" w:hAnsi="Arial"/>
                <w:sz w:val="13"/>
                <w:szCs w:val="13"/>
                <w:color w:val="auto"/>
              </w:rPr>
              <w:t>1,104,430</w:t>
            </w:r>
          </w:p>
        </w:tc>
        <w:tc>
          <w:tcPr>
            <w:tcW w:w="980" w:type="dxa"/>
            <w:vAlign w:val="bottom"/>
          </w:tcPr>
          <w:p>
            <w:pPr>
              <w:jc w:val="right"/>
              <w:ind w:right="33"/>
              <w:spacing w:after="0" w:line="138" w:lineRule="exact"/>
              <w:rPr>
                <w:sz w:val="20"/>
                <w:szCs w:val="20"/>
                <w:color w:val="auto"/>
              </w:rPr>
            </w:pPr>
            <w:r>
              <w:rPr>
                <w:rFonts w:ascii="Arial" w:cs="Arial" w:eastAsia="Arial" w:hAnsi="Arial"/>
                <w:sz w:val="13"/>
                <w:szCs w:val="13"/>
                <w:color w:val="auto"/>
              </w:rPr>
              <w:t>1,102,013</w:t>
            </w:r>
          </w:p>
        </w:tc>
        <w:tc>
          <w:tcPr>
            <w:tcW w:w="160" w:type="dxa"/>
            <w:vAlign w:val="bottom"/>
          </w:tcPr>
          <w:p>
            <w:pPr>
              <w:spacing w:after="0"/>
              <w:rPr>
                <w:sz w:val="11"/>
                <w:szCs w:val="11"/>
                <w:color w:val="auto"/>
              </w:rPr>
            </w:pPr>
          </w:p>
        </w:tc>
        <w:tc>
          <w:tcPr>
            <w:tcW w:w="11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1,101,669</w:t>
            </w: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Greenway Health, LLC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11/04/2020</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6.00%</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L+500</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6,965,000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6,903,065</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6,956,294</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20"/>
                <w:szCs w:val="20"/>
                <w:color w:val="auto"/>
              </w:rPr>
            </w:pPr>
            <w:r>
              <w:rPr>
                <w:rFonts w:ascii="Arial" w:cs="Arial" w:eastAsia="Arial" w:hAnsi="Arial"/>
                <w:sz w:val="13"/>
                <w:szCs w:val="13"/>
                <w:color w:val="auto"/>
              </w:rPr>
              <w:t>Help/Systems Holdings, Inc.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06/28/2019</w:t>
            </w:r>
          </w:p>
        </w:tc>
        <w:tc>
          <w:tcPr>
            <w:tcW w:w="210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5.50%</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L+450</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4,962,500</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4,919,212</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4,931,484</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Hostway Corporation</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12/13/2019</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6.00%</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L+475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4,937,500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4,893,063</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4,912,812</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20"/>
                <w:szCs w:val="20"/>
                <w:color w:val="auto"/>
              </w:rPr>
            </w:pPr>
            <w:r>
              <w:rPr>
                <w:rFonts w:ascii="Arial" w:cs="Arial" w:eastAsia="Arial" w:hAnsi="Arial"/>
                <w:sz w:val="13"/>
                <w:szCs w:val="13"/>
                <w:color w:val="auto"/>
              </w:rPr>
              <w:t>Howard Berger Co. LLC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08/03/2017</w:t>
            </w:r>
          </w:p>
        </w:tc>
        <w:tc>
          <w:tcPr>
            <w:tcW w:w="2100" w:type="dxa"/>
            <w:vAlign w:val="bottom"/>
          </w:tcPr>
          <w:p>
            <w:pPr>
              <w:jc w:val="center"/>
              <w:spacing w:after="0"/>
              <w:rPr>
                <w:sz w:val="20"/>
                <w:szCs w:val="20"/>
                <w:color w:val="auto"/>
              </w:rPr>
            </w:pPr>
            <w:r>
              <w:rPr>
                <w:rFonts w:ascii="Arial" w:cs="Arial" w:eastAsia="Arial" w:hAnsi="Arial"/>
                <w:sz w:val="13"/>
                <w:szCs w:val="13"/>
                <w:color w:val="auto"/>
                <w:w w:val="95"/>
              </w:rPr>
              <w:t>Wholesale</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7.00%</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L+575</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2,566,352</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2,543,088</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2,412,371</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03/30/2017</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Automotive</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11.50%</w:t>
            </w:r>
          </w:p>
        </w:tc>
        <w:tc>
          <w:tcPr>
            <w:tcW w:w="128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2,000,000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1,975,506</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2,205,000</w:t>
            </w: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1"/>
                <w:szCs w:val="11"/>
                <w:color w:val="auto"/>
              </w:rPr>
              <w:t xml:space="preserve">iEnergizer Limited and Aptara, Inc. </w:t>
            </w:r>
            <w:r>
              <w:rPr>
                <w:rFonts w:ascii="Arial" w:cs="Arial" w:eastAsia="Arial" w:hAnsi="Arial"/>
                <w:sz w:val="17"/>
                <w:szCs w:val="17"/>
                <w:color w:val="auto"/>
                <w:vertAlign w:val="superscript"/>
              </w:rPr>
              <w:t>(6)</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05/01/2019</w:t>
            </w: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7.25%</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L+600</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12,763,968</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12,613,837</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12,381,049</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InfuSystem Holdings, Inc.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11/30/2016</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13.07%</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P+982</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1,500,000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1,500,000</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1,542,370</w:t>
            </w:r>
          </w:p>
        </w:tc>
        <w:tc>
          <w:tcPr>
            <w:tcW w:w="0" w:type="dxa"/>
            <w:vAlign w:val="bottom"/>
          </w:tcPr>
          <w:p>
            <w:pPr>
              <w:spacing w:after="0"/>
              <w:rPr>
                <w:sz w:val="1"/>
                <w:szCs w:val="1"/>
                <w:color w:val="auto"/>
              </w:rPr>
            </w:pPr>
          </w:p>
        </w:tc>
      </w:tr>
      <w:tr>
        <w:trPr>
          <w:trHeight w:val="138"/>
        </w:trPr>
        <w:tc>
          <w:tcPr>
            <w:tcW w:w="2580" w:type="dxa"/>
            <w:vAlign w:val="bottom"/>
          </w:tcPr>
          <w:p>
            <w:pPr>
              <w:spacing w:after="0" w:line="138" w:lineRule="exact"/>
              <w:rPr>
                <w:sz w:val="20"/>
                <w:szCs w:val="20"/>
                <w:color w:val="auto"/>
              </w:rPr>
            </w:pPr>
            <w:r>
              <w:rPr>
                <w:rFonts w:ascii="Arial" w:cs="Arial" w:eastAsia="Arial" w:hAnsi="Arial"/>
                <w:sz w:val="13"/>
                <w:szCs w:val="13"/>
                <w:color w:val="auto"/>
              </w:rPr>
              <w:t>Instant Web, LLC, Term Loan A</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03/28/2019</w:t>
            </w:r>
          </w:p>
        </w:tc>
        <w:tc>
          <w:tcPr>
            <w:tcW w:w="210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60" w:type="dxa"/>
            <w:vAlign w:val="bottom"/>
          </w:tcPr>
          <w:p>
            <w:pPr>
              <w:jc w:val="right"/>
              <w:ind w:right="93"/>
              <w:spacing w:after="0" w:line="138" w:lineRule="exact"/>
              <w:rPr>
                <w:sz w:val="20"/>
                <w:szCs w:val="20"/>
                <w:color w:val="auto"/>
              </w:rPr>
            </w:pPr>
            <w:r>
              <w:rPr>
                <w:rFonts w:ascii="Arial" w:cs="Arial" w:eastAsia="Arial" w:hAnsi="Arial"/>
                <w:sz w:val="13"/>
                <w:szCs w:val="13"/>
                <w:color w:val="auto"/>
              </w:rPr>
              <w:t>5.50%</w:t>
            </w:r>
          </w:p>
        </w:tc>
        <w:tc>
          <w:tcPr>
            <w:tcW w:w="1280" w:type="dxa"/>
            <w:vAlign w:val="bottom"/>
          </w:tcPr>
          <w:p>
            <w:pPr>
              <w:jc w:val="right"/>
              <w:ind w:right="293"/>
              <w:spacing w:after="0" w:line="138" w:lineRule="exact"/>
              <w:rPr>
                <w:sz w:val="20"/>
                <w:szCs w:val="20"/>
                <w:color w:val="auto"/>
              </w:rPr>
            </w:pPr>
            <w:r>
              <w:rPr>
                <w:rFonts w:ascii="Arial" w:cs="Arial" w:eastAsia="Arial" w:hAnsi="Arial"/>
                <w:sz w:val="13"/>
                <w:szCs w:val="13"/>
                <w:color w:val="auto"/>
              </w:rPr>
              <w:t>L+450</w:t>
            </w:r>
          </w:p>
        </w:tc>
        <w:tc>
          <w:tcPr>
            <w:tcW w:w="1000" w:type="dxa"/>
            <w:vAlign w:val="bottom"/>
          </w:tcPr>
          <w:p>
            <w:pPr>
              <w:jc w:val="right"/>
              <w:ind w:right="33"/>
              <w:spacing w:after="0" w:line="138" w:lineRule="exact"/>
              <w:rPr>
                <w:sz w:val="20"/>
                <w:szCs w:val="20"/>
                <w:color w:val="auto"/>
              </w:rPr>
            </w:pPr>
            <w:r>
              <w:rPr>
                <w:rFonts w:ascii="Arial" w:cs="Arial" w:eastAsia="Arial" w:hAnsi="Arial"/>
                <w:sz w:val="13"/>
                <w:szCs w:val="13"/>
                <w:color w:val="auto"/>
              </w:rPr>
              <w:t>5,476,304</w:t>
            </w:r>
          </w:p>
        </w:tc>
        <w:tc>
          <w:tcPr>
            <w:tcW w:w="980" w:type="dxa"/>
            <w:vAlign w:val="bottom"/>
          </w:tcPr>
          <w:p>
            <w:pPr>
              <w:jc w:val="right"/>
              <w:ind w:right="33"/>
              <w:spacing w:after="0" w:line="138" w:lineRule="exact"/>
              <w:rPr>
                <w:sz w:val="20"/>
                <w:szCs w:val="20"/>
                <w:color w:val="auto"/>
              </w:rPr>
            </w:pPr>
            <w:r>
              <w:rPr>
                <w:rFonts w:ascii="Arial" w:cs="Arial" w:eastAsia="Arial" w:hAnsi="Arial"/>
                <w:sz w:val="13"/>
                <w:szCs w:val="13"/>
                <w:color w:val="auto"/>
              </w:rPr>
              <w:t>5,397,312</w:t>
            </w:r>
          </w:p>
        </w:tc>
        <w:tc>
          <w:tcPr>
            <w:tcW w:w="160" w:type="dxa"/>
            <w:vAlign w:val="bottom"/>
          </w:tcPr>
          <w:p>
            <w:pPr>
              <w:spacing w:after="0"/>
              <w:rPr>
                <w:sz w:val="11"/>
                <w:szCs w:val="11"/>
                <w:color w:val="auto"/>
              </w:rPr>
            </w:pPr>
          </w:p>
        </w:tc>
        <w:tc>
          <w:tcPr>
            <w:tcW w:w="11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5,476,304</w:t>
            </w: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Instant Web, LLC, Term Loan B</w:t>
            </w:r>
          </w:p>
        </w:tc>
        <w:tc>
          <w:tcPr>
            <w:tcW w:w="98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03/28/2019</w:t>
            </w:r>
          </w:p>
        </w:tc>
        <w:tc>
          <w:tcPr>
            <w:tcW w:w="21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6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12.00%</w:t>
            </w:r>
          </w:p>
        </w:tc>
        <w:tc>
          <w:tcPr>
            <w:tcW w:w="128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3"/>
                <w:szCs w:val="13"/>
                <w:color w:val="auto"/>
              </w:rPr>
              <w:t>L+1,100</w:t>
            </w:r>
          </w:p>
        </w:tc>
        <w:tc>
          <w:tcPr>
            <w:tcW w:w="10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4,500,000</w:t>
            </w:r>
          </w:p>
        </w:tc>
        <w:tc>
          <w:tcPr>
            <w:tcW w:w="98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4,434,540</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10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20"/>
                <w:szCs w:val="20"/>
                <w:color w:val="auto"/>
              </w:rPr>
            </w:pPr>
            <w:r>
              <w:rPr>
                <w:rFonts w:ascii="Arial" w:cs="Arial" w:eastAsia="Arial" w:hAnsi="Arial"/>
                <w:sz w:val="13"/>
                <w:szCs w:val="13"/>
                <w:color w:val="auto"/>
              </w:rPr>
              <w:t>Jackson Hewitt Tax Service Inc.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10/16/2017</w:t>
            </w:r>
          </w:p>
        </w:tc>
        <w:tc>
          <w:tcPr>
            <w:tcW w:w="2100" w:type="dxa"/>
            <w:vAlign w:val="bottom"/>
          </w:tcPr>
          <w:p>
            <w:pPr>
              <w:jc w:val="center"/>
              <w:spacing w:after="0"/>
              <w:rPr>
                <w:sz w:val="20"/>
                <w:szCs w:val="20"/>
                <w:color w:val="auto"/>
              </w:rPr>
            </w:pPr>
            <w:r>
              <w:rPr>
                <w:rFonts w:ascii="Arial" w:cs="Arial" w:eastAsia="Arial" w:hAnsi="Arial"/>
                <w:sz w:val="13"/>
                <w:szCs w:val="13"/>
                <w:color w:val="auto"/>
                <w:w w:val="93"/>
              </w:rPr>
              <w:t>Consumer Services</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10.00%</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L+850</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5,140,179</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5,056,074</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5,101,627</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JHCI Acquisition, Inc.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07/11/2019</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Transportation: Cargo</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7.00%</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L+575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1,870,909</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1,847,090</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1,880,264</w:t>
            </w: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(8)</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08/19/2019</w:t>
            </w: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Chemicals, Plastics and Rubber</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10.00%</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L+900</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6,157,648</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6,048,089</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6,100,053</w:t>
            </w: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Lanyon Solutions, Inc. (f/k/a The Active</w:t>
            </w:r>
          </w:p>
        </w:tc>
        <w:tc>
          <w:tcPr>
            <w:tcW w:w="98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11/13/2020</w:t>
            </w:r>
          </w:p>
        </w:tc>
        <w:tc>
          <w:tcPr>
            <w:tcW w:w="21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High Tech Industries</w:t>
            </w:r>
          </w:p>
        </w:tc>
        <w:tc>
          <w:tcPr>
            <w:tcW w:w="106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5.50%</w:t>
            </w:r>
          </w:p>
        </w:tc>
        <w:tc>
          <w:tcPr>
            <w:tcW w:w="128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3"/>
                <w:szCs w:val="13"/>
                <w:color w:val="auto"/>
              </w:rPr>
              <w:t>L+450</w:t>
            </w:r>
          </w:p>
        </w:tc>
        <w:tc>
          <w:tcPr>
            <w:tcW w:w="10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1,990,002</w:t>
            </w:r>
          </w:p>
        </w:tc>
        <w:tc>
          <w:tcPr>
            <w:tcW w:w="98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1,981,672</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1,978,818</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Network, Inc. and Lanyon, Inc.)</w:t>
            </w:r>
          </w:p>
        </w:tc>
        <w:tc>
          <w:tcPr>
            <w:tcW w:w="98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17"/>
                <w:szCs w:val="17"/>
                <w:color w:val="auto"/>
                <w:vertAlign w:val="superscript"/>
              </w:rPr>
              <w:t>(8)</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11/30/2018</w:t>
            </w: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6.50%</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L+525</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5,940,000</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5,865,356</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5,806,350</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Meritas Schools Holdings, LLC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06/25/2019</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Consumer Services</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7.00%</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L+575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2,970,000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2,944,406</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2,973,713</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20"/>
                <w:szCs w:val="20"/>
                <w:color w:val="auto"/>
              </w:rPr>
            </w:pPr>
            <w:r>
              <w:rPr>
                <w:rFonts w:ascii="Arial" w:cs="Arial" w:eastAsia="Arial" w:hAnsi="Arial"/>
                <w:sz w:val="13"/>
                <w:szCs w:val="13"/>
                <w:color w:val="auto"/>
              </w:rPr>
              <w:t>National Surgical Hospitals, Inc.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08/01/2019</w:t>
            </w: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6.44%</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P+325</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8,151,250</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8,092,398</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8,171,628</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New Trident HoldCorp, Inc.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07/31/2019</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6.50%</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L+525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9,925,000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9,843,385</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9,915,075</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20"/>
                <w:szCs w:val="20"/>
                <w:color w:val="auto"/>
              </w:rPr>
            </w:pPr>
            <w:r>
              <w:rPr>
                <w:rFonts w:ascii="Arial" w:cs="Arial" w:eastAsia="Arial" w:hAnsi="Arial"/>
                <w:sz w:val="13"/>
                <w:szCs w:val="13"/>
                <w:color w:val="auto"/>
              </w:rPr>
              <w:t>Northfield Park Associates LLC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12/19/2018</w:t>
            </w:r>
          </w:p>
        </w:tc>
        <w:tc>
          <w:tcPr>
            <w:tcW w:w="2100" w:type="dxa"/>
            <w:vAlign w:val="bottom"/>
          </w:tcPr>
          <w:p>
            <w:pPr>
              <w:jc w:val="center"/>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9.00%</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L+775</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4,431,273</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4,361,672</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4,503,281</w:t>
            </w: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Old Guard Risk Services, Inc.</w:t>
            </w:r>
          </w:p>
        </w:tc>
        <w:tc>
          <w:tcPr>
            <w:tcW w:w="98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11/27/2018</w:t>
            </w:r>
          </w:p>
        </w:tc>
        <w:tc>
          <w:tcPr>
            <w:tcW w:w="21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Banking, Finance, Insurance and</w:t>
            </w:r>
          </w:p>
        </w:tc>
        <w:tc>
          <w:tcPr>
            <w:tcW w:w="106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12.50%</w:t>
            </w:r>
          </w:p>
        </w:tc>
        <w:tc>
          <w:tcPr>
            <w:tcW w:w="128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3"/>
                <w:szCs w:val="13"/>
                <w:color w:val="auto"/>
              </w:rPr>
              <w:t>L+1,150</w:t>
            </w:r>
          </w:p>
        </w:tc>
        <w:tc>
          <w:tcPr>
            <w:tcW w:w="10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7,560,000</w:t>
            </w:r>
          </w:p>
        </w:tc>
        <w:tc>
          <w:tcPr>
            <w:tcW w:w="98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7,288,542</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7,635,600</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Real Estate</w:t>
            </w:r>
          </w:p>
        </w:tc>
        <w:tc>
          <w:tcPr>
            <w:tcW w:w="10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20"/>
                <w:szCs w:val="20"/>
                <w:color w:val="auto"/>
              </w:rPr>
            </w:pPr>
            <w:r>
              <w:rPr>
                <w:rFonts w:ascii="Arial" w:cs="Arial" w:eastAsia="Arial" w:hAnsi="Arial"/>
                <w:sz w:val="13"/>
                <w:szCs w:val="13"/>
                <w:color w:val="auto"/>
              </w:rPr>
              <w:t>Packaging Coordinators, Inc.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05/11/2020</w:t>
            </w: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5.50%</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L+425</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2,481,250</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2,471,221</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2,475,047</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Polyconcept Finance B.V.</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06/28/2019</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Consumer Goods: Non-Durable</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6.00%</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L+475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7,737,766</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7,669,661</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7,679,733</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20"/>
                <w:szCs w:val="20"/>
                <w:color w:val="auto"/>
              </w:rPr>
            </w:pPr>
            <w:r>
              <w:rPr>
                <w:rFonts w:ascii="Arial" w:cs="Arial" w:eastAsia="Arial" w:hAnsi="Arial"/>
                <w:sz w:val="13"/>
                <w:szCs w:val="13"/>
                <w:color w:val="auto"/>
              </w:rPr>
              <w:t>Premier Dental Services, Inc.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11/01/2018</w:t>
            </w:r>
          </w:p>
        </w:tc>
        <w:tc>
          <w:tcPr>
            <w:tcW w:w="2100" w:type="dxa"/>
            <w:vAlign w:val="bottom"/>
          </w:tcPr>
          <w:p>
            <w:pPr>
              <w:jc w:val="center"/>
              <w:spacing w:after="0"/>
              <w:rPr>
                <w:sz w:val="20"/>
                <w:szCs w:val="20"/>
                <w:color w:val="auto"/>
              </w:rPr>
            </w:pPr>
            <w:r>
              <w:rPr>
                <w:rFonts w:ascii="Arial" w:cs="Arial" w:eastAsia="Arial" w:hAnsi="Arial"/>
                <w:sz w:val="13"/>
                <w:szCs w:val="13"/>
                <w:color w:val="auto"/>
                <w:w w:val="93"/>
              </w:rPr>
              <w:t>Consumer Services</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6.00%</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L+500</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8,324,176</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8,201,213</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8,334,581</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Quality Home Brands Holdings LLC</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12/17/2018</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Consumer Goods: Durable</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7.75%</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L+650</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4,975,000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4,930,832</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5,012,313</w:t>
            </w:r>
          </w:p>
        </w:tc>
        <w:tc>
          <w:tcPr>
            <w:tcW w:w="0" w:type="dxa"/>
            <w:vAlign w:val="bottom"/>
          </w:tcPr>
          <w:p>
            <w:pPr>
              <w:spacing w:after="0"/>
              <w:rPr>
                <w:sz w:val="1"/>
                <w:szCs w:val="1"/>
                <w:color w:val="auto"/>
              </w:rPr>
            </w:pPr>
          </w:p>
        </w:tc>
      </w:tr>
      <w:tr>
        <w:trPr>
          <w:trHeight w:val="138"/>
        </w:trPr>
        <w:tc>
          <w:tcPr>
            <w:tcW w:w="2580" w:type="dxa"/>
            <w:vAlign w:val="bottom"/>
          </w:tcPr>
          <w:p>
            <w:pPr>
              <w:spacing w:after="0" w:line="138" w:lineRule="exact"/>
              <w:rPr>
                <w:sz w:val="20"/>
                <w:szCs w:val="20"/>
                <w:color w:val="auto"/>
              </w:rPr>
            </w:pPr>
            <w:r>
              <w:rPr>
                <w:rFonts w:ascii="Arial" w:cs="Arial" w:eastAsia="Arial" w:hAnsi="Arial"/>
                <w:sz w:val="13"/>
                <w:szCs w:val="13"/>
                <w:color w:val="auto"/>
              </w:rPr>
              <w:t>RCS Capital Corporation</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04/29/2019</w:t>
            </w:r>
          </w:p>
        </w:tc>
        <w:tc>
          <w:tcPr>
            <w:tcW w:w="2100" w:type="dxa"/>
            <w:vAlign w:val="bottom"/>
          </w:tcPr>
          <w:p>
            <w:pPr>
              <w:jc w:val="center"/>
              <w:spacing w:after="0" w:line="138" w:lineRule="exact"/>
              <w:rPr>
                <w:sz w:val="20"/>
                <w:szCs w:val="20"/>
                <w:color w:val="auto"/>
              </w:rPr>
            </w:pPr>
            <w:r>
              <w:rPr>
                <w:rFonts w:ascii="Arial" w:cs="Arial" w:eastAsia="Arial" w:hAnsi="Arial"/>
                <w:sz w:val="13"/>
                <w:szCs w:val="13"/>
                <w:color w:val="auto"/>
                <w:w w:val="93"/>
              </w:rPr>
              <w:t>Banking, Finance, Insurance and</w:t>
            </w:r>
          </w:p>
        </w:tc>
        <w:tc>
          <w:tcPr>
            <w:tcW w:w="1060" w:type="dxa"/>
            <w:vAlign w:val="bottom"/>
          </w:tcPr>
          <w:p>
            <w:pPr>
              <w:jc w:val="right"/>
              <w:ind w:right="93"/>
              <w:spacing w:after="0" w:line="138" w:lineRule="exact"/>
              <w:rPr>
                <w:sz w:val="20"/>
                <w:szCs w:val="20"/>
                <w:color w:val="auto"/>
              </w:rPr>
            </w:pPr>
            <w:r>
              <w:rPr>
                <w:rFonts w:ascii="Arial" w:cs="Arial" w:eastAsia="Arial" w:hAnsi="Arial"/>
                <w:sz w:val="13"/>
                <w:szCs w:val="13"/>
                <w:color w:val="auto"/>
              </w:rPr>
              <w:t>6.50%</w:t>
            </w:r>
          </w:p>
        </w:tc>
        <w:tc>
          <w:tcPr>
            <w:tcW w:w="1280" w:type="dxa"/>
            <w:vAlign w:val="bottom"/>
          </w:tcPr>
          <w:p>
            <w:pPr>
              <w:jc w:val="right"/>
              <w:ind w:right="293"/>
              <w:spacing w:after="0" w:line="138" w:lineRule="exact"/>
              <w:rPr>
                <w:sz w:val="20"/>
                <w:szCs w:val="20"/>
                <w:color w:val="auto"/>
              </w:rPr>
            </w:pPr>
            <w:r>
              <w:rPr>
                <w:rFonts w:ascii="Arial" w:cs="Arial" w:eastAsia="Arial" w:hAnsi="Arial"/>
                <w:sz w:val="13"/>
                <w:szCs w:val="13"/>
                <w:color w:val="auto"/>
              </w:rPr>
              <w:t>L+550</w:t>
            </w:r>
          </w:p>
        </w:tc>
        <w:tc>
          <w:tcPr>
            <w:tcW w:w="1000" w:type="dxa"/>
            <w:vAlign w:val="bottom"/>
          </w:tcPr>
          <w:p>
            <w:pPr>
              <w:jc w:val="right"/>
              <w:ind w:right="33"/>
              <w:spacing w:after="0" w:line="138" w:lineRule="exact"/>
              <w:rPr>
                <w:sz w:val="20"/>
                <w:szCs w:val="20"/>
                <w:color w:val="auto"/>
              </w:rPr>
            </w:pPr>
            <w:r>
              <w:rPr>
                <w:rFonts w:ascii="Arial" w:cs="Arial" w:eastAsia="Arial" w:hAnsi="Arial"/>
                <w:sz w:val="13"/>
                <w:szCs w:val="13"/>
                <w:color w:val="auto"/>
              </w:rPr>
              <w:t>5,000,000</w:t>
            </w:r>
          </w:p>
        </w:tc>
        <w:tc>
          <w:tcPr>
            <w:tcW w:w="980" w:type="dxa"/>
            <w:vAlign w:val="bottom"/>
          </w:tcPr>
          <w:p>
            <w:pPr>
              <w:jc w:val="right"/>
              <w:ind w:right="33"/>
              <w:spacing w:after="0" w:line="138" w:lineRule="exact"/>
              <w:rPr>
                <w:sz w:val="20"/>
                <w:szCs w:val="20"/>
                <w:color w:val="auto"/>
              </w:rPr>
            </w:pPr>
            <w:r>
              <w:rPr>
                <w:rFonts w:ascii="Arial" w:cs="Arial" w:eastAsia="Arial" w:hAnsi="Arial"/>
                <w:sz w:val="13"/>
                <w:szCs w:val="13"/>
                <w:color w:val="auto"/>
              </w:rPr>
              <w:t>4,951,440</w:t>
            </w:r>
          </w:p>
        </w:tc>
        <w:tc>
          <w:tcPr>
            <w:tcW w:w="160" w:type="dxa"/>
            <w:vAlign w:val="bottom"/>
          </w:tcPr>
          <w:p>
            <w:pPr>
              <w:spacing w:after="0"/>
              <w:rPr>
                <w:sz w:val="11"/>
                <w:szCs w:val="11"/>
                <w:color w:val="auto"/>
              </w:rPr>
            </w:pPr>
          </w:p>
        </w:tc>
        <w:tc>
          <w:tcPr>
            <w:tcW w:w="11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5,102,100</w:t>
            </w: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Real Estate</w:t>
            </w:r>
          </w:p>
        </w:tc>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RiverBoat Corporation of Mississippi </w:t>
            </w:r>
            <w:r>
              <w:rPr>
                <w:rFonts w:ascii="Arial" w:cs="Arial" w:eastAsia="Arial" w:hAnsi="Arial"/>
                <w:sz w:val="17"/>
                <w:szCs w:val="17"/>
                <w:color w:val="auto"/>
                <w:vertAlign w:val="superscript"/>
              </w:rPr>
              <w:t>(8)</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11/29/2016</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10.00%</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L+875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4,250,000</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4,200,608</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4,260,625</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20"/>
                <w:szCs w:val="20"/>
                <w:color w:val="auto"/>
              </w:rPr>
            </w:pPr>
            <w:r>
              <w:rPr>
                <w:rFonts w:ascii="Arial" w:cs="Arial" w:eastAsia="Arial" w:hAnsi="Arial"/>
                <w:sz w:val="13"/>
                <w:szCs w:val="13"/>
                <w:color w:val="auto"/>
              </w:rPr>
              <w:t>SCE Partners, LLC</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08/14/2019</w:t>
            </w:r>
          </w:p>
        </w:tc>
        <w:tc>
          <w:tcPr>
            <w:tcW w:w="2100" w:type="dxa"/>
            <w:vAlign w:val="bottom"/>
          </w:tcPr>
          <w:p>
            <w:pPr>
              <w:jc w:val="center"/>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8.25%</w:t>
            </w:r>
          </w:p>
        </w:tc>
        <w:tc>
          <w:tcPr>
            <w:tcW w:w="1280" w:type="dxa"/>
            <w:vAlign w:val="bottom"/>
          </w:tcPr>
          <w:p>
            <w:pPr>
              <w:jc w:val="right"/>
              <w:ind w:right="293"/>
              <w:spacing w:after="0"/>
              <w:rPr>
                <w:sz w:val="20"/>
                <w:szCs w:val="20"/>
                <w:color w:val="auto"/>
              </w:rPr>
            </w:pPr>
            <w:r>
              <w:rPr>
                <w:rFonts w:ascii="Arial" w:cs="Arial" w:eastAsia="Arial" w:hAnsi="Arial"/>
                <w:sz w:val="13"/>
                <w:szCs w:val="13"/>
                <w:color w:val="auto"/>
              </w:rPr>
              <w:t>L+725</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12,000,000</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11,899,493</w:t>
            </w:r>
          </w:p>
        </w:tc>
        <w:tc>
          <w:tcPr>
            <w:tcW w:w="160" w:type="dxa"/>
            <w:vAlign w:val="bottom"/>
          </w:tcPr>
          <w:p>
            <w:pPr>
              <w:spacing w:after="0"/>
              <w:rPr>
                <w:sz w:val="12"/>
                <w:szCs w:val="12"/>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10,920,000</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Securus Technologies Holdings, Inc.</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04/30/2020</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4.75%</w:t>
            </w:r>
          </w:p>
        </w:tc>
        <w:tc>
          <w:tcPr>
            <w:tcW w:w="12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L+350</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1,985,001</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1,967,527</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1,991,611</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ectPr>
          <w:pgSz w:w="11900" w:h="16838" w:orient="portrait"/>
          <w:cols w:equalWidth="0" w:num="1">
            <w:col w:w="11240"/>
          </w:cols>
          <w:pgMar w:left="320" w:top="459" w:right="339"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8</w:t>
      </w:r>
    </w:p>
    <w:p>
      <w:pPr>
        <w:sectPr>
          <w:pgSz w:w="11900" w:h="16838" w:orient="portrait"/>
          <w:cols w:equalWidth="0" w:num="1">
            <w:col w:w="11240"/>
          </w:cols>
          <w:pgMar w:left="320" w:top="459"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INVESTMENTS—(Continued)</w:t>
      </w:r>
    </w:p>
    <w:p>
      <w:pPr>
        <w:jc w:val="center"/>
        <w:spacing w:after="0"/>
        <w:rPr>
          <w:sz w:val="20"/>
          <w:szCs w:val="20"/>
          <w:color w:val="auto"/>
        </w:rPr>
      </w:pPr>
      <w:r>
        <w:rPr>
          <w:rFonts w:ascii="Arial" w:cs="Arial" w:eastAsia="Arial" w:hAnsi="Arial"/>
          <w:sz w:val="13"/>
          <w:szCs w:val="13"/>
          <w:b w:val="1"/>
          <w:bCs w:val="1"/>
          <w:color w:val="auto"/>
        </w:rPr>
        <w:t>JUNE 30, 2014</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Basis Point</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Spread</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ind w:left="140"/>
              <w:spacing w:after="0" w:line="134" w:lineRule="exact"/>
              <w:rPr>
                <w:sz w:val="20"/>
                <w:szCs w:val="20"/>
                <w:color w:val="auto"/>
              </w:rPr>
            </w:pPr>
            <w:r>
              <w:rPr>
                <w:rFonts w:ascii="Arial" w:cs="Arial" w:eastAsia="Arial" w:hAnsi="Arial"/>
                <w:sz w:val="13"/>
                <w:szCs w:val="13"/>
                <w:b w:val="1"/>
                <w:bCs w:val="1"/>
                <w:color w:val="auto"/>
              </w:rPr>
              <w:t>Current</w:t>
            </w:r>
          </w:p>
        </w:tc>
        <w:tc>
          <w:tcPr>
            <w:tcW w:w="108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0"/>
              </w:rPr>
              <w:t>Above</w:t>
            </w:r>
          </w:p>
        </w:tc>
        <w:tc>
          <w:tcPr>
            <w:tcW w:w="96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9"/>
              </w:rPr>
              <w:t>Par /</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3"/>
                <w:szCs w:val="13"/>
                <w:b w:val="1"/>
                <w:bCs w:val="1"/>
                <w:color w:val="auto"/>
                <w:w w:val="95"/>
              </w:rPr>
              <w:t xml:space="preserve">Fair Value </w:t>
            </w:r>
            <w:r>
              <w:rPr>
                <w:rFonts w:ascii="Arial" w:cs="Arial" w:eastAsia="Arial" w:hAnsi="Arial"/>
                <w:sz w:val="22"/>
                <w:szCs w:val="22"/>
                <w:b w:val="1"/>
                <w:bCs w:val="1"/>
                <w:color w:val="auto"/>
                <w:w w:val="95"/>
                <w:vertAlign w:val="superscript"/>
              </w:rPr>
              <w:t>(2)</w:t>
            </w:r>
          </w:p>
        </w:tc>
        <w:tc>
          <w:tcPr>
            <w:tcW w:w="0" w:type="dxa"/>
            <w:vAlign w:val="bottom"/>
          </w:tcPr>
          <w:p>
            <w:pPr>
              <w:spacing w:after="0"/>
              <w:rPr>
                <w:sz w:val="1"/>
                <w:szCs w:val="1"/>
                <w:color w:val="auto"/>
              </w:rPr>
            </w:pPr>
          </w:p>
        </w:tc>
      </w:tr>
      <w:tr>
        <w:trPr>
          <w:trHeight w:val="176"/>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Maturity</w:t>
            </w:r>
          </w:p>
        </w:tc>
        <w:tc>
          <w:tcPr>
            <w:tcW w:w="2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Industry</w:t>
            </w:r>
          </w:p>
        </w:tc>
        <w:tc>
          <w:tcPr>
            <w:tcW w:w="1040" w:type="dxa"/>
            <w:vAlign w:val="bottom"/>
            <w:gridSpan w:val="2"/>
          </w:tcPr>
          <w:p>
            <w:pPr>
              <w:ind w:left="140"/>
              <w:spacing w:after="0"/>
              <w:rPr>
                <w:sz w:val="20"/>
                <w:szCs w:val="20"/>
                <w:color w:val="auto"/>
              </w:rPr>
            </w:pPr>
            <w:r>
              <w:rPr>
                <w:rFonts w:ascii="Arial" w:cs="Arial" w:eastAsia="Arial" w:hAnsi="Arial"/>
                <w:sz w:val="13"/>
                <w:szCs w:val="13"/>
                <w:b w:val="1"/>
                <w:bCs w:val="1"/>
                <w:color w:val="auto"/>
              </w:rPr>
              <w:t>Coupon</w:t>
            </w:r>
          </w:p>
        </w:tc>
        <w:tc>
          <w:tcPr>
            <w:tcW w:w="1080" w:type="dxa"/>
            <w:vAlign w:val="bottom"/>
            <w:gridSpan w:val="2"/>
          </w:tcPr>
          <w:p>
            <w:pPr>
              <w:jc w:val="center"/>
              <w:ind w:right="180"/>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Sotera Defense Solutions, Inc.</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04/21/2017</w:t>
            </w:r>
          </w:p>
        </w:tc>
        <w:tc>
          <w:tcPr>
            <w:tcW w:w="160" w:type="dxa"/>
            <w:vAlign w:val="bottom"/>
            <w:tcBorders>
              <w:top w:val="single" w:sz="8" w:color="CCEEFF"/>
            </w:tcBorders>
            <w:shd w:val="clear" w:color="auto" w:fill="CCEEFF"/>
          </w:tcPr>
          <w:p>
            <w:pPr>
              <w:spacing w:after="0"/>
              <w:rPr>
                <w:sz w:val="12"/>
                <w:szCs w:val="12"/>
                <w:color w:val="auto"/>
              </w:rPr>
            </w:pPr>
          </w:p>
        </w:tc>
        <w:tc>
          <w:tcPr>
            <w:tcW w:w="2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1"/>
              </w:rPr>
              <w:t>Aerospace and Defense</w:t>
            </w: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10.00</w:t>
            </w:r>
          </w:p>
        </w:tc>
        <w:tc>
          <w:tcPr>
            <w:tcW w:w="300" w:type="dxa"/>
            <w:vAlign w:val="bottom"/>
            <w:tcBorders>
              <w:top w:val="single" w:sz="8" w:color="CCEEFF"/>
            </w:tcBorders>
            <w:shd w:val="clear" w:color="auto" w:fill="CCEEFF"/>
          </w:tcPr>
          <w:p>
            <w:pPr>
              <w:jc w:val="right"/>
              <w:ind w:right="113"/>
              <w:spacing w:after="0" w:line="142" w:lineRule="exact"/>
              <w:rPr>
                <w:sz w:val="20"/>
                <w:szCs w:val="20"/>
                <w:color w:val="auto"/>
              </w:rPr>
            </w:pPr>
            <w:r>
              <w:rPr>
                <w:rFonts w:ascii="Arial" w:cs="Arial" w:eastAsia="Arial" w:hAnsi="Arial"/>
                <w:sz w:val="13"/>
                <w:szCs w:val="13"/>
                <w:color w:val="auto"/>
                <w:w w:val="8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L+850</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2,601,999</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2,587,646</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2,354,809</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3"/>
                <w:szCs w:val="13"/>
                <w:color w:val="auto"/>
              </w:rPr>
              <w:t>St. George’s University Scholastic Services LLC</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12/20/2017</w:t>
            </w:r>
          </w:p>
        </w:tc>
        <w:tc>
          <w:tcPr>
            <w:tcW w:w="210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Consumer Services</w:t>
            </w:r>
          </w:p>
        </w:tc>
        <w:tc>
          <w:tcPr>
            <w:tcW w:w="1040" w:type="dxa"/>
            <w:vAlign w:val="bottom"/>
            <w:gridSpan w:val="2"/>
          </w:tcPr>
          <w:p>
            <w:pPr>
              <w:jc w:val="right"/>
              <w:ind w:right="113"/>
              <w:spacing w:after="0"/>
              <w:rPr>
                <w:sz w:val="20"/>
                <w:szCs w:val="20"/>
                <w:color w:val="auto"/>
              </w:rPr>
            </w:pPr>
            <w:r>
              <w:rPr>
                <w:rFonts w:ascii="Arial" w:cs="Arial" w:eastAsia="Arial" w:hAnsi="Arial"/>
                <w:sz w:val="13"/>
                <w:szCs w:val="13"/>
                <w:color w:val="auto"/>
              </w:rPr>
              <w:t>8.50%</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L+700</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1,591,471</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1,568,099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1,601,418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Surgical Specialties Corporation (US), Inc.</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08/22/2018</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7.25%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L+575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3,420,000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3,391,473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3"/>
                <w:szCs w:val="13"/>
                <w:color w:val="auto"/>
              </w:rPr>
              <w:t>Sutherland Global Services, Inc.</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03/06/2019</w:t>
            </w:r>
          </w:p>
        </w:tc>
        <w:tc>
          <w:tcPr>
            <w:tcW w:w="210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1040" w:type="dxa"/>
            <w:vAlign w:val="bottom"/>
            <w:gridSpan w:val="2"/>
          </w:tcPr>
          <w:p>
            <w:pPr>
              <w:jc w:val="right"/>
              <w:ind w:right="113"/>
              <w:spacing w:after="0"/>
              <w:rPr>
                <w:sz w:val="20"/>
                <w:szCs w:val="20"/>
                <w:color w:val="auto"/>
              </w:rPr>
            </w:pPr>
            <w:r>
              <w:rPr>
                <w:rFonts w:ascii="Arial" w:cs="Arial" w:eastAsia="Arial" w:hAnsi="Arial"/>
                <w:sz w:val="13"/>
                <w:szCs w:val="13"/>
                <w:color w:val="auto"/>
              </w:rPr>
              <w:t>7.25%</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L+600</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937,500</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922,143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942,188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Systems Maintenance Services Holding, Inc.</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10/18/2019</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High Tech Industries</w:t>
            </w:r>
          </w:p>
        </w:tc>
        <w:tc>
          <w:tcPr>
            <w:tcW w:w="104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5.25%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L+425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5,970,000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5,945,004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5,940,150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40" w:type="dxa"/>
            <w:vAlign w:val="bottom"/>
            <w:gridSpan w:val="2"/>
          </w:tcPr>
          <w:p>
            <w:pPr>
              <w:spacing w:after="0" w:line="138" w:lineRule="exact"/>
              <w:rPr>
                <w:sz w:val="20"/>
                <w:szCs w:val="20"/>
                <w:color w:val="auto"/>
              </w:rPr>
            </w:pPr>
            <w:r>
              <w:rPr>
                <w:rFonts w:ascii="Arial" w:cs="Arial" w:eastAsia="Arial" w:hAnsi="Arial"/>
                <w:sz w:val="13"/>
                <w:szCs w:val="13"/>
                <w:color w:val="auto"/>
              </w:rPr>
              <w:t>The National Underwriter Company</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8"/>
              </w:rPr>
              <w:t>05/31/2018</w:t>
            </w:r>
          </w:p>
        </w:tc>
        <w:tc>
          <w:tcPr>
            <w:tcW w:w="210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40" w:type="dxa"/>
            <w:vAlign w:val="bottom"/>
            <w:gridSpan w:val="2"/>
          </w:tcPr>
          <w:p>
            <w:pPr>
              <w:jc w:val="right"/>
              <w:ind w:right="113"/>
              <w:spacing w:after="0" w:line="138" w:lineRule="exact"/>
              <w:rPr>
                <w:sz w:val="20"/>
                <w:szCs w:val="20"/>
                <w:color w:val="auto"/>
              </w:rPr>
            </w:pPr>
            <w:r>
              <w:rPr>
                <w:rFonts w:ascii="Arial" w:cs="Arial" w:eastAsia="Arial" w:hAnsi="Arial"/>
                <w:sz w:val="13"/>
                <w:szCs w:val="13"/>
                <w:color w:val="auto"/>
              </w:rPr>
              <w:t>6.00%</w:t>
            </w:r>
          </w:p>
        </w:tc>
        <w:tc>
          <w:tcPr>
            <w:tcW w:w="10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L+475</w:t>
            </w:r>
          </w:p>
        </w:tc>
        <w:tc>
          <w:tcPr>
            <w:tcW w:w="9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4,162,500</w:t>
            </w:r>
          </w:p>
        </w:tc>
        <w:tc>
          <w:tcPr>
            <w:tcW w:w="1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4,128,304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4,162,500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Publishing</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Therakos, Inc.</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12/27/2017</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7.50%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L+625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4,843,177</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4,770,019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4,861,339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UniTek Global Services, Inc. </w:t>
            </w:r>
            <w:r>
              <w:rPr>
                <w:rFonts w:ascii="Arial" w:cs="Arial" w:eastAsia="Arial" w:hAnsi="Arial"/>
                <w:sz w:val="15"/>
                <w:szCs w:val="15"/>
                <w:color w:val="auto"/>
                <w:vertAlign w:val="superscript"/>
              </w:rPr>
              <w:t>(8)</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8"/>
              </w:rPr>
              <w:t>04/16/2018</w:t>
            </w:r>
          </w:p>
        </w:tc>
        <w:tc>
          <w:tcPr>
            <w:tcW w:w="210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3"/>
              </w:rPr>
              <w:t>Telecommunications</w:t>
            </w:r>
          </w:p>
        </w:tc>
        <w:tc>
          <w:tcPr>
            <w:tcW w:w="1040" w:type="dxa"/>
            <w:vAlign w:val="bottom"/>
            <w:gridSpan w:val="2"/>
          </w:tcPr>
          <w:p>
            <w:pPr>
              <w:jc w:val="right"/>
              <w:ind w:right="113"/>
              <w:spacing w:after="0" w:line="138" w:lineRule="exact"/>
              <w:rPr>
                <w:sz w:val="20"/>
                <w:szCs w:val="20"/>
                <w:color w:val="auto"/>
              </w:rPr>
            </w:pPr>
            <w:r>
              <w:rPr>
                <w:rFonts w:ascii="Arial" w:cs="Arial" w:eastAsia="Arial" w:hAnsi="Arial"/>
                <w:sz w:val="13"/>
                <w:szCs w:val="13"/>
                <w:color w:val="auto"/>
              </w:rPr>
              <w:t>15.00%</w:t>
            </w:r>
          </w:p>
        </w:tc>
        <w:tc>
          <w:tcPr>
            <w:tcW w:w="10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L+1,350</w:t>
            </w:r>
          </w:p>
        </w:tc>
        <w:tc>
          <w:tcPr>
            <w:tcW w:w="9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2,162,142</w:t>
            </w:r>
          </w:p>
        </w:tc>
        <w:tc>
          <w:tcPr>
            <w:tcW w:w="1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2,127,997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2,183,764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73"/>
              <w:spacing w:after="0"/>
              <w:rPr>
                <w:sz w:val="20"/>
                <w:szCs w:val="20"/>
                <w:color w:val="auto"/>
              </w:rPr>
            </w:pPr>
            <w:r>
              <w:rPr>
                <w:rFonts w:ascii="Arial" w:cs="Arial" w:eastAsia="Arial" w:hAnsi="Arial"/>
                <w:sz w:val="13"/>
                <w:szCs w:val="13"/>
                <w:color w:val="auto"/>
              </w:rPr>
              <w:t>(PIK 4.00%)</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12/22/2016</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104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7.25%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L+550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2,933,163</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2,922,423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2,082,546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40" w:type="dxa"/>
            <w:vAlign w:val="bottom"/>
            <w:gridSpan w:val="2"/>
          </w:tcPr>
          <w:p>
            <w:pPr>
              <w:spacing w:after="0" w:line="138" w:lineRule="exact"/>
              <w:rPr>
                <w:sz w:val="20"/>
                <w:szCs w:val="20"/>
                <w:color w:val="auto"/>
              </w:rPr>
            </w:pPr>
            <w:r>
              <w:rPr>
                <w:rFonts w:ascii="Arial" w:cs="Arial" w:eastAsia="Arial" w:hAnsi="Arial"/>
                <w:sz w:val="13"/>
                <w:szCs w:val="13"/>
                <w:color w:val="auto"/>
              </w:rPr>
              <w:t>Wilton Brands, LLC</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8"/>
              </w:rPr>
              <w:t>08/30/2018</w:t>
            </w:r>
          </w:p>
        </w:tc>
        <w:tc>
          <w:tcPr>
            <w:tcW w:w="210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2"/>
              </w:rPr>
              <w:t>Consumer Goods:</w:t>
            </w:r>
          </w:p>
        </w:tc>
        <w:tc>
          <w:tcPr>
            <w:tcW w:w="1040" w:type="dxa"/>
            <w:vAlign w:val="bottom"/>
            <w:gridSpan w:val="2"/>
          </w:tcPr>
          <w:p>
            <w:pPr>
              <w:jc w:val="right"/>
              <w:ind w:right="113"/>
              <w:spacing w:after="0" w:line="138" w:lineRule="exact"/>
              <w:rPr>
                <w:sz w:val="20"/>
                <w:szCs w:val="20"/>
                <w:color w:val="auto"/>
              </w:rPr>
            </w:pPr>
            <w:r>
              <w:rPr>
                <w:rFonts w:ascii="Arial" w:cs="Arial" w:eastAsia="Arial" w:hAnsi="Arial"/>
                <w:sz w:val="13"/>
                <w:szCs w:val="13"/>
                <w:color w:val="auto"/>
              </w:rPr>
              <w:t>7.50%</w:t>
            </w:r>
          </w:p>
        </w:tc>
        <w:tc>
          <w:tcPr>
            <w:tcW w:w="10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L+625</w:t>
            </w:r>
          </w:p>
        </w:tc>
        <w:tc>
          <w:tcPr>
            <w:tcW w:w="9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3,060,153</w:t>
            </w:r>
          </w:p>
        </w:tc>
        <w:tc>
          <w:tcPr>
            <w:tcW w:w="1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3,017,172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2,943,500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Non-Durable</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1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YP LLC </w:t>
            </w:r>
            <w:r>
              <w:rPr>
                <w:rFonts w:ascii="Arial" w:cs="Arial" w:eastAsia="Arial" w:hAnsi="Arial"/>
                <w:sz w:val="15"/>
                <w:szCs w:val="15"/>
                <w:color w:val="auto"/>
                <w:vertAlign w:val="superscript"/>
              </w:rPr>
              <w:t>(8)</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06/04/2018</w:t>
            </w:r>
          </w:p>
        </w:tc>
        <w:tc>
          <w:tcPr>
            <w:tcW w:w="210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40" w:type="dxa"/>
            <w:vAlign w:val="bottom"/>
            <w:gridSpan w:val="2"/>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8.00%</w:t>
            </w:r>
          </w:p>
        </w:tc>
        <w:tc>
          <w:tcPr>
            <w:tcW w:w="10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L+675</w:t>
            </w:r>
          </w:p>
        </w:tc>
        <w:tc>
          <w:tcPr>
            <w:tcW w:w="9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3,470,807</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3,397,588</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3,488,161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Publishing</w:t>
            </w: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40" w:type="dxa"/>
            <w:vAlign w:val="bottom"/>
            <w:gridSpan w:val="2"/>
          </w:tcPr>
          <w:p>
            <w:pPr>
              <w:spacing w:after="0"/>
              <w:rPr>
                <w:sz w:val="20"/>
                <w:szCs w:val="20"/>
                <w:color w:val="auto"/>
              </w:rPr>
            </w:pPr>
            <w:r>
              <w:rPr>
                <w:rFonts w:ascii="Arial" w:cs="Arial" w:eastAsia="Arial" w:hAnsi="Arial"/>
                <w:sz w:val="13"/>
                <w:szCs w:val="13"/>
                <w:color w:val="auto"/>
              </w:rPr>
              <w:t>Zest Holdings, LLC</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08/17/2020</w:t>
            </w:r>
          </w:p>
        </w:tc>
        <w:tc>
          <w:tcPr>
            <w:tcW w:w="210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gridSpan w:val="2"/>
          </w:tcPr>
          <w:p>
            <w:pPr>
              <w:jc w:val="right"/>
              <w:ind w:right="113"/>
              <w:spacing w:after="0"/>
              <w:rPr>
                <w:sz w:val="20"/>
                <w:szCs w:val="20"/>
                <w:color w:val="auto"/>
              </w:rPr>
            </w:pPr>
            <w:r>
              <w:rPr>
                <w:rFonts w:ascii="Arial" w:cs="Arial" w:eastAsia="Arial" w:hAnsi="Arial"/>
                <w:sz w:val="13"/>
                <w:szCs w:val="13"/>
                <w:color w:val="auto"/>
              </w:rPr>
              <w:t>6.50%</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L+550</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8,932,500</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8,775,593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8,932,500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320,579,130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322,163,846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Debt—14.2%</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09/01/2017</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Metals and Mining</w:t>
            </w:r>
          </w:p>
        </w:tc>
        <w:tc>
          <w:tcPr>
            <w:tcW w:w="104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11.50%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1,000,000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3"/>
                <w:szCs w:val="13"/>
                <w:color w:val="auto"/>
              </w:rPr>
              <w:t>Arsloane Acquisition, LLC</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10/01/2020</w:t>
            </w:r>
          </w:p>
        </w:tc>
        <w:tc>
          <w:tcPr>
            <w:tcW w:w="210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1040" w:type="dxa"/>
            <w:vAlign w:val="bottom"/>
            <w:gridSpan w:val="2"/>
          </w:tcPr>
          <w:p>
            <w:pPr>
              <w:jc w:val="right"/>
              <w:ind w:right="113"/>
              <w:spacing w:after="0"/>
              <w:rPr>
                <w:sz w:val="20"/>
                <w:szCs w:val="20"/>
                <w:color w:val="auto"/>
              </w:rPr>
            </w:pPr>
            <w:r>
              <w:rPr>
                <w:rFonts w:ascii="Arial" w:cs="Arial" w:eastAsia="Arial" w:hAnsi="Arial"/>
                <w:sz w:val="13"/>
                <w:szCs w:val="13"/>
                <w:color w:val="auto"/>
              </w:rPr>
              <w:t>11.75%</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L+1,050</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5,500,000</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5,422,445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5,555,000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10/02/2019</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Hotel, Gaming and Leisure</w:t>
            </w:r>
          </w:p>
        </w:tc>
        <w:tc>
          <w:tcPr>
            <w:tcW w:w="104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L+875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1,700,000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1,674,122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1,733,150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Carolina Beverage Group, LLC </w:t>
            </w:r>
            <w:r>
              <w:rPr>
                <w:rFonts w:ascii="Arial" w:cs="Arial" w:eastAsia="Arial" w:hAnsi="Arial"/>
                <w:sz w:val="17"/>
                <w:szCs w:val="17"/>
                <w:color w:val="auto"/>
                <w:vertAlign w:val="superscript"/>
              </w:rPr>
              <w:t>(5), (8)</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08/01/2018</w:t>
            </w:r>
          </w:p>
        </w:tc>
        <w:tc>
          <w:tcPr>
            <w:tcW w:w="210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Beverage, Food and Tobacco</w:t>
            </w:r>
          </w:p>
        </w:tc>
        <w:tc>
          <w:tcPr>
            <w:tcW w:w="1040" w:type="dxa"/>
            <w:vAlign w:val="bottom"/>
            <w:gridSpan w:val="2"/>
          </w:tcPr>
          <w:p>
            <w:pPr>
              <w:jc w:val="right"/>
              <w:ind w:right="113"/>
              <w:spacing w:after="0"/>
              <w:rPr>
                <w:sz w:val="20"/>
                <w:szCs w:val="20"/>
                <w:color w:val="auto"/>
              </w:rPr>
            </w:pPr>
            <w:r>
              <w:rPr>
                <w:rFonts w:ascii="Arial" w:cs="Arial" w:eastAsia="Arial" w:hAnsi="Arial"/>
                <w:sz w:val="13"/>
                <w:szCs w:val="13"/>
                <w:color w:val="auto"/>
              </w:rPr>
              <w:t>10.63%</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3,500,000</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3,500,000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3,771,250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ILC Industries, LLC</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06/14/2019</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High Tech Industries</w:t>
            </w:r>
          </w:p>
        </w:tc>
        <w:tc>
          <w:tcPr>
            <w:tcW w:w="104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11.50%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L+1,000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2,000,000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1,926,616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J.A. Cosmetics Holdings, Inc. </w:t>
            </w:r>
            <w:r>
              <w:rPr>
                <w:rFonts w:ascii="Arial" w:cs="Arial" w:eastAsia="Arial" w:hAnsi="Arial"/>
                <w:sz w:val="17"/>
                <w:szCs w:val="17"/>
                <w:color w:val="auto"/>
                <w:vertAlign w:val="superscript"/>
              </w:rPr>
              <w:t>(8)</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07/31/2019</w:t>
            </w:r>
          </w:p>
        </w:tc>
        <w:tc>
          <w:tcPr>
            <w:tcW w:w="210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Consumer Goods: Durable</w:t>
            </w:r>
          </w:p>
        </w:tc>
        <w:tc>
          <w:tcPr>
            <w:tcW w:w="1040" w:type="dxa"/>
            <w:vAlign w:val="bottom"/>
            <w:gridSpan w:val="2"/>
          </w:tcPr>
          <w:p>
            <w:pPr>
              <w:jc w:val="right"/>
              <w:ind w:right="113"/>
              <w:spacing w:after="0"/>
              <w:rPr>
                <w:sz w:val="20"/>
                <w:szCs w:val="20"/>
                <w:color w:val="auto"/>
              </w:rPr>
            </w:pPr>
            <w:r>
              <w:rPr>
                <w:rFonts w:ascii="Arial" w:cs="Arial" w:eastAsia="Arial" w:hAnsi="Arial"/>
                <w:sz w:val="13"/>
                <w:szCs w:val="13"/>
                <w:color w:val="auto"/>
              </w:rPr>
              <w:t>11.00%</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L+1,000</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4,000,000</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3,923,872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3,994,336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Language Line, LLC</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12/20/2016</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Consumer Services</w:t>
            </w:r>
          </w:p>
        </w:tc>
        <w:tc>
          <w:tcPr>
            <w:tcW w:w="104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10.50%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L+875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7,100,000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7,017,396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7,059,175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Penton Media, Inc. </w:t>
            </w:r>
            <w:r>
              <w:rPr>
                <w:rFonts w:ascii="Arial" w:cs="Arial" w:eastAsia="Arial" w:hAnsi="Arial"/>
                <w:sz w:val="17"/>
                <w:szCs w:val="17"/>
                <w:color w:val="auto"/>
                <w:vertAlign w:val="superscript"/>
              </w:rPr>
              <w:t>(8)</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10/02/2020</w:t>
            </w:r>
          </w:p>
        </w:tc>
        <w:tc>
          <w:tcPr>
            <w:tcW w:w="210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Media: Diversified and Production</w:t>
            </w:r>
          </w:p>
        </w:tc>
        <w:tc>
          <w:tcPr>
            <w:tcW w:w="1040" w:type="dxa"/>
            <w:vAlign w:val="bottom"/>
            <w:gridSpan w:val="2"/>
          </w:tcPr>
          <w:p>
            <w:pPr>
              <w:jc w:val="right"/>
              <w:ind w:right="113"/>
              <w:spacing w:after="0"/>
              <w:rPr>
                <w:sz w:val="20"/>
                <w:szCs w:val="20"/>
                <w:color w:val="auto"/>
              </w:rPr>
            </w:pPr>
            <w:r>
              <w:rPr>
                <w:rFonts w:ascii="Arial" w:cs="Arial" w:eastAsia="Arial" w:hAnsi="Arial"/>
                <w:sz w:val="13"/>
                <w:szCs w:val="13"/>
                <w:color w:val="auto"/>
              </w:rPr>
              <w:t>9.00%</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L+775</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5,600,000</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5,526,187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5,637,352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29,990,638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30,790,263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4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Subordinated Debt/Corporate Notes—4.8% </w:t>
            </w:r>
            <w:r>
              <w:rPr>
                <w:rFonts w:ascii="Arial" w:cs="Arial" w:eastAsia="Arial" w:hAnsi="Arial"/>
                <w:sz w:val="18"/>
                <w:szCs w:val="18"/>
                <w:b w:val="1"/>
                <w:bCs w:val="1"/>
                <w:color w:val="auto"/>
                <w:vertAlign w:val="superscript"/>
              </w:rPr>
              <w:t>(8)</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1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Affinion Group Holdings, Inc. </w:t>
            </w:r>
            <w:r>
              <w:rPr>
                <w:rFonts w:ascii="Arial" w:cs="Arial" w:eastAsia="Arial" w:hAnsi="Arial"/>
                <w:sz w:val="15"/>
                <w:szCs w:val="15"/>
                <w:color w:val="auto"/>
                <w:vertAlign w:val="superscript"/>
              </w:rPr>
              <w:t>(5)</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09/14/2018</w:t>
            </w:r>
          </w:p>
        </w:tc>
        <w:tc>
          <w:tcPr>
            <w:tcW w:w="21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3"/>
              </w:rPr>
              <w:t>Consumer Goods: Durable</w:t>
            </w:r>
          </w:p>
        </w:tc>
        <w:tc>
          <w:tcPr>
            <w:tcW w:w="1040" w:type="dxa"/>
            <w:vAlign w:val="bottom"/>
            <w:gridSpan w:val="2"/>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14.50 %</w:t>
            </w:r>
          </w:p>
        </w:tc>
        <w:tc>
          <w:tcPr>
            <w:tcW w:w="10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3,749,000</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3,203,746</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3,711,510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(PIK 14.50%)</w:t>
            </w: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Affinion Investments LLC </w:t>
            </w:r>
            <w:r>
              <w:rPr>
                <w:rFonts w:ascii="Arial" w:cs="Arial" w:eastAsia="Arial" w:hAnsi="Arial"/>
                <w:sz w:val="17"/>
                <w:szCs w:val="17"/>
                <w:color w:val="auto"/>
                <w:vertAlign w:val="superscript"/>
              </w:rPr>
              <w:t>(5)</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08/15/2018</w:t>
            </w:r>
          </w:p>
        </w:tc>
        <w:tc>
          <w:tcPr>
            <w:tcW w:w="210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Consumer Goods: Durable</w:t>
            </w:r>
          </w:p>
        </w:tc>
        <w:tc>
          <w:tcPr>
            <w:tcW w:w="1040" w:type="dxa"/>
            <w:vAlign w:val="bottom"/>
            <w:gridSpan w:val="2"/>
          </w:tcPr>
          <w:p>
            <w:pPr>
              <w:jc w:val="right"/>
              <w:ind w:right="113"/>
              <w:spacing w:after="0"/>
              <w:rPr>
                <w:sz w:val="20"/>
                <w:szCs w:val="20"/>
                <w:color w:val="auto"/>
              </w:rPr>
            </w:pPr>
            <w:r>
              <w:rPr>
                <w:rFonts w:ascii="Arial" w:cs="Arial" w:eastAsia="Arial" w:hAnsi="Arial"/>
                <w:sz w:val="13"/>
                <w:szCs w:val="13"/>
                <w:color w:val="auto"/>
              </w:rPr>
              <w:t>13.50%</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1,734,000</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1,734,000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1,803,360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Infonet, Inc.</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10/26/2018</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High Tech Industries</w:t>
            </w:r>
          </w:p>
        </w:tc>
        <w:tc>
          <w:tcPr>
            <w:tcW w:w="104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12.25%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1,987,500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1,954,165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1,933,408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40" w:type="dxa"/>
            <w:vAlign w:val="bottom"/>
            <w:gridSpan w:val="2"/>
          </w:tcPr>
          <w:p>
            <w:pPr>
              <w:spacing w:after="0" w:line="138" w:lineRule="exact"/>
              <w:rPr>
                <w:sz w:val="20"/>
                <w:szCs w:val="20"/>
                <w:color w:val="auto"/>
              </w:rPr>
            </w:pPr>
            <w:r>
              <w:rPr>
                <w:rFonts w:ascii="Arial" w:cs="Arial" w:eastAsia="Arial" w:hAnsi="Arial"/>
                <w:sz w:val="13"/>
                <w:szCs w:val="13"/>
                <w:color w:val="auto"/>
              </w:rPr>
              <w:t>Vestcom International, Inc.</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8"/>
              </w:rPr>
              <w:t>06/27/2019</w:t>
            </w:r>
          </w:p>
        </w:tc>
        <w:tc>
          <w:tcPr>
            <w:tcW w:w="210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40" w:type="dxa"/>
            <w:vAlign w:val="bottom"/>
            <w:gridSpan w:val="2"/>
          </w:tcPr>
          <w:p>
            <w:pPr>
              <w:jc w:val="right"/>
              <w:ind w:right="113"/>
              <w:spacing w:after="0" w:line="138" w:lineRule="exact"/>
              <w:rPr>
                <w:sz w:val="20"/>
                <w:szCs w:val="20"/>
                <w:color w:val="auto"/>
              </w:rPr>
            </w:pPr>
            <w:r>
              <w:rPr>
                <w:rFonts w:ascii="Arial" w:cs="Arial" w:eastAsia="Arial" w:hAnsi="Arial"/>
                <w:sz w:val="13"/>
                <w:szCs w:val="13"/>
                <w:color w:val="auto"/>
              </w:rPr>
              <w:t>12.00%</w:t>
            </w:r>
          </w:p>
        </w:tc>
        <w:tc>
          <w:tcPr>
            <w:tcW w:w="10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2,859,027</w:t>
            </w:r>
          </w:p>
        </w:tc>
        <w:tc>
          <w:tcPr>
            <w:tcW w:w="120" w:type="dxa"/>
            <w:vAlign w:val="bottom"/>
          </w:tcPr>
          <w:p>
            <w:pPr>
              <w:spacing w:after="0"/>
              <w:rPr>
                <w:sz w:val="11"/>
                <w:szCs w:val="11"/>
                <w:color w:val="auto"/>
              </w:rPr>
            </w:pPr>
          </w:p>
        </w:tc>
        <w:tc>
          <w:tcPr>
            <w:tcW w:w="8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2,811,851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2,901,912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Publishing</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9,703,762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10,350,190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4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Preferred Equity—0.2% </w:t>
            </w:r>
            <w:r>
              <w:rPr>
                <w:rFonts w:ascii="Arial" w:cs="Arial" w:eastAsia="Arial" w:hAnsi="Arial"/>
                <w:sz w:val="18"/>
                <w:szCs w:val="18"/>
                <w:b w:val="1"/>
                <w:bCs w:val="1"/>
                <w:color w:val="auto"/>
                <w:vertAlign w:val="superscript"/>
              </w:rPr>
              <w:t>(7), (8)</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J.A. Cosmetics US, Inc.</w:t>
            </w:r>
          </w:p>
        </w:tc>
        <w:tc>
          <w:tcPr>
            <w:tcW w:w="82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21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3"/>
              </w:rPr>
              <w:t>Consumer Goods: Durable</w:t>
            </w:r>
          </w:p>
        </w:tc>
        <w:tc>
          <w:tcPr>
            <w:tcW w:w="1040" w:type="dxa"/>
            <w:vAlign w:val="bottom"/>
            <w:gridSpan w:val="2"/>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8.00%</w:t>
            </w:r>
          </w:p>
        </w:tc>
        <w:tc>
          <w:tcPr>
            <w:tcW w:w="10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400</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399,704</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460,266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(J.A. Cosmetics Holdings, Inc.)</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4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Common Equity/Warrants—1.0% </w:t>
            </w:r>
            <w:r>
              <w:rPr>
                <w:rFonts w:ascii="Arial" w:cs="Arial" w:eastAsia="Arial" w:hAnsi="Arial"/>
                <w:sz w:val="18"/>
                <w:szCs w:val="18"/>
                <w:b w:val="1"/>
                <w:bCs w:val="1"/>
                <w:color w:val="auto"/>
                <w:vertAlign w:val="superscript"/>
              </w:rPr>
              <w:t>(7), (8)</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 Series A (Warrants)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12/12/2023</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Consumer Goods: Durable</w:t>
            </w:r>
          </w:p>
        </w:tc>
        <w:tc>
          <w:tcPr>
            <w:tcW w:w="10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554,715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1,186,649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1,469,996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3"/>
                <w:szCs w:val="13"/>
                <w:color w:val="auto"/>
              </w:rPr>
              <w:t>Affinion Group Holdings, Inc., Series B (Warrants)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12/12/2023</w:t>
            </w:r>
          </w:p>
        </w:tc>
        <w:tc>
          <w:tcPr>
            <w:tcW w:w="210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Consumer Goods: Durable</w:t>
            </w:r>
          </w:p>
        </w:tc>
        <w:tc>
          <w:tcPr>
            <w:tcW w:w="1040" w:type="dxa"/>
            <w:vAlign w:val="bottom"/>
            <w:gridSpan w:val="2"/>
          </w:tcPr>
          <w:p>
            <w:pPr>
              <w:jc w:val="right"/>
              <w:ind w:right="233"/>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1,135,743</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22,715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J.A. Cosmetics US, Inc.</w:t>
            </w:r>
          </w:p>
        </w:tc>
        <w:tc>
          <w:tcPr>
            <w:tcW w:w="82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21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3"/>
              </w:rPr>
              <w:t>Consumer Goods: Durable</w:t>
            </w:r>
          </w:p>
        </w:tc>
        <w:tc>
          <w:tcPr>
            <w:tcW w:w="1040" w:type="dxa"/>
            <w:vAlign w:val="bottom"/>
            <w:gridSpan w:val="2"/>
            <w:shd w:val="clear" w:color="auto" w:fill="CCEEFF"/>
          </w:tcPr>
          <w:p>
            <w:pPr>
              <w:jc w:val="right"/>
              <w:ind w:right="233"/>
              <w:spacing w:after="0" w:line="138"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296</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24,040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(J.A. Cosmetics Holdings, Inc.)</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140" w:type="dxa"/>
            <w:vAlign w:val="bottom"/>
            <w:gridSpan w:val="2"/>
          </w:tcPr>
          <w:p>
            <w:pPr>
              <w:spacing w:after="0" w:line="138" w:lineRule="exact"/>
              <w:rPr>
                <w:sz w:val="20"/>
                <w:szCs w:val="20"/>
                <w:color w:val="auto"/>
              </w:rPr>
            </w:pPr>
            <w:r>
              <w:rPr>
                <w:rFonts w:ascii="Arial" w:cs="Arial" w:eastAsia="Arial" w:hAnsi="Arial"/>
                <w:sz w:val="13"/>
                <w:szCs w:val="13"/>
                <w:color w:val="auto"/>
              </w:rPr>
              <w:t>Old Guard Risk Services, Inc. (Warrants)</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8"/>
              </w:rPr>
              <w:t>11/27/2023</w:t>
            </w:r>
          </w:p>
        </w:tc>
        <w:tc>
          <w:tcPr>
            <w:tcW w:w="210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2"/>
              </w:rPr>
              <w:t>Banking, Finance, Insurance and</w:t>
            </w:r>
          </w:p>
        </w:tc>
        <w:tc>
          <w:tcPr>
            <w:tcW w:w="1040" w:type="dxa"/>
            <w:vAlign w:val="bottom"/>
            <w:gridSpan w:val="2"/>
          </w:tcPr>
          <w:p>
            <w:pPr>
              <w:jc w:val="right"/>
              <w:ind w:right="233"/>
              <w:spacing w:after="0" w:line="138"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4,175</w:t>
            </w:r>
          </w:p>
        </w:tc>
        <w:tc>
          <w:tcPr>
            <w:tcW w:w="1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58,241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103,094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Real Estate</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UniTek Global Services, Inc. (Warrants)</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Telecommunications</w:t>
            </w:r>
          </w:p>
        </w:tc>
        <w:tc>
          <w:tcPr>
            <w:tcW w:w="10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56,717</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95,285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22,687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40" w:type="dxa"/>
            <w:vAlign w:val="bottom"/>
            <w:gridSpan w:val="2"/>
          </w:tcPr>
          <w:p>
            <w:pPr>
              <w:spacing w:after="0" w:line="138" w:lineRule="exact"/>
              <w:rPr>
                <w:sz w:val="20"/>
                <w:szCs w:val="20"/>
                <w:color w:val="auto"/>
              </w:rPr>
            </w:pPr>
            <w:r>
              <w:rPr>
                <w:rFonts w:ascii="Arial" w:cs="Arial" w:eastAsia="Arial" w:hAnsi="Arial"/>
                <w:sz w:val="13"/>
                <w:szCs w:val="13"/>
                <w:color w:val="auto"/>
              </w:rPr>
              <w:t>Vestcom Parent Holdings, Inc.</w:t>
            </w:r>
          </w:p>
        </w:tc>
        <w:tc>
          <w:tcPr>
            <w:tcW w:w="820" w:type="dxa"/>
            <w:vAlign w:val="bottom"/>
            <w:gridSpan w:val="2"/>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210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40" w:type="dxa"/>
            <w:vAlign w:val="bottom"/>
            <w:gridSpan w:val="2"/>
          </w:tcPr>
          <w:p>
            <w:pPr>
              <w:jc w:val="right"/>
              <w:ind w:right="233"/>
              <w:spacing w:after="0" w:line="138"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15,179</w:t>
            </w:r>
          </w:p>
        </w:tc>
        <w:tc>
          <w:tcPr>
            <w:tcW w:w="1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166,667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421,326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(Vestcom International, Inc.)</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Publishing</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Z Wireless Holdings, Inc. (AKA Diversified Holdings,</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10/21/2021</w:t>
            </w:r>
          </w:p>
        </w:tc>
        <w:tc>
          <w:tcPr>
            <w:tcW w:w="21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6"/>
              </w:rPr>
              <w:t>Retail</w:t>
            </w:r>
          </w:p>
        </w:tc>
        <w:tc>
          <w:tcPr>
            <w:tcW w:w="1040" w:type="dxa"/>
            <w:vAlign w:val="bottom"/>
            <w:gridSpan w:val="2"/>
            <w:shd w:val="clear" w:color="auto" w:fill="CCEEFF"/>
          </w:tcPr>
          <w:p>
            <w:pPr>
              <w:jc w:val="right"/>
              <w:ind w:right="233"/>
              <w:spacing w:after="0" w:line="138"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463</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45,019</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63,180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Inc.) (Warrants)</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Total Common Equity/Warrants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1,552,157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2,127,038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gridSpan w:val="6"/>
            <w:shd w:val="clear" w:color="auto" w:fill="CCEEFF"/>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362,225,391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365,891,603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Cash Equivalents—4.6%</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BlackRock Liquidity Funds, Temp Cash and Temp Fund, Institutional Shares</w:t>
            </w: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9,940,930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9,940,930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Total Investments and Cash Equivalents—173.8%</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w w:val="96"/>
              </w:rPr>
              <w:t>372,166,321</w:t>
            </w:r>
          </w:p>
        </w:tc>
        <w:tc>
          <w:tcPr>
            <w:tcW w:w="16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375,832,533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4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Liabilities in Excess of Other Assets—(73.8)%</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(159,560,467)</w:t>
            </w:r>
          </w:p>
        </w:tc>
        <w:tc>
          <w:tcPr>
            <w:tcW w:w="0" w:type="dxa"/>
            <w:vAlign w:val="bottom"/>
          </w:tcPr>
          <w:p>
            <w:pPr>
              <w:spacing w:after="0"/>
              <w:rPr>
                <w:sz w:val="1"/>
                <w:szCs w:val="1"/>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Net Assets—100.0%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216,272,066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CONSOLIDATED SCHEDULE OF INVESTMENTS—(Continued)</w:t>
      </w:r>
    </w:p>
    <w:p>
      <w:pPr>
        <w:jc w:val="center"/>
        <w:ind w:right="-39"/>
        <w:spacing w:after="0"/>
        <w:rPr>
          <w:sz w:val="20"/>
          <w:szCs w:val="20"/>
          <w:color w:val="auto"/>
        </w:rPr>
      </w:pPr>
      <w:r>
        <w:rPr>
          <w:rFonts w:ascii="Arial" w:cs="Arial" w:eastAsia="Arial" w:hAnsi="Arial"/>
          <w:sz w:val="13"/>
          <w:szCs w:val="13"/>
          <w:b w:val="1"/>
          <w:bCs w:val="1"/>
          <w:color w:val="auto"/>
        </w:rPr>
        <w:t>JUNE 30, 2014</w:t>
      </w:r>
    </w:p>
    <w:p>
      <w:pPr>
        <w:jc w:val="center"/>
        <w:ind w:right="-39"/>
        <w:spacing w:after="0"/>
        <w:rPr>
          <w:sz w:val="20"/>
          <w:szCs w:val="20"/>
          <w:color w:val="auto"/>
        </w:rPr>
      </w:pPr>
      <w:r>
        <w:rPr>
          <w:rFonts w:ascii="Arial" w:cs="Arial" w:eastAsia="Arial" w:hAnsi="Arial"/>
          <w:sz w:val="13"/>
          <w:szCs w:val="13"/>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187325</wp:posOffset>
            </wp:positionV>
            <wp:extent cx="1423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1" w:lineRule="exact"/>
        <w:rPr>
          <w:sz w:val="20"/>
          <w:szCs w:val="20"/>
          <w:color w:val="auto"/>
        </w:rPr>
      </w:pPr>
    </w:p>
    <w:p>
      <w:pPr>
        <w:ind w:left="360" w:right="80" w:hanging="352"/>
        <w:spacing w:after="0" w:line="316" w:lineRule="auto"/>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spacing w:after="0" w:line="1" w:lineRule="exact"/>
        <w:rPr>
          <w:rFonts w:ascii="Arial" w:cs="Arial" w:eastAsia="Arial" w:hAnsi="Arial"/>
          <w:sz w:val="12"/>
          <w:szCs w:val="12"/>
          <w:color w:val="auto"/>
        </w:rPr>
      </w:pPr>
    </w:p>
    <w:p>
      <w:pPr>
        <w:ind w:left="360" w:hanging="352"/>
        <w:spacing w:after="0"/>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spacing w:after="0" w:line="66" w:lineRule="exact"/>
        <w:rPr>
          <w:rFonts w:ascii="Arial" w:cs="Arial" w:eastAsia="Arial" w:hAnsi="Arial"/>
          <w:sz w:val="13"/>
          <w:szCs w:val="13"/>
          <w:color w:val="auto"/>
        </w:rPr>
      </w:pPr>
    </w:p>
    <w:p>
      <w:pPr>
        <w:ind w:left="360" w:right="480" w:hanging="352"/>
        <w:spacing w:after="0" w:line="316" w:lineRule="auto"/>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1" w:lineRule="exact"/>
        <w:rPr>
          <w:rFonts w:ascii="Arial" w:cs="Arial" w:eastAsia="Arial" w:hAnsi="Arial"/>
          <w:sz w:val="12"/>
          <w:szCs w:val="12"/>
          <w:color w:val="auto"/>
        </w:rPr>
      </w:pPr>
    </w:p>
    <w:p>
      <w:pPr>
        <w:ind w:left="360" w:right="240" w:hanging="352"/>
        <w:spacing w:after="0" w:line="274" w:lineRule="auto"/>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spacing w:after="0" w:line="23" w:lineRule="exact"/>
        <w:rPr>
          <w:rFonts w:ascii="Arial" w:cs="Arial" w:eastAsia="Arial" w:hAnsi="Arial"/>
          <w:sz w:val="13"/>
          <w:szCs w:val="13"/>
          <w:color w:val="auto"/>
        </w:rPr>
      </w:pPr>
    </w:p>
    <w:p>
      <w:pPr>
        <w:ind w:left="360" w:right="40" w:hanging="352"/>
        <w:spacing w:after="0" w:line="274" w:lineRule="auto"/>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23" w:lineRule="exact"/>
        <w:rPr>
          <w:rFonts w:ascii="Arial" w:cs="Arial" w:eastAsia="Arial" w:hAnsi="Arial"/>
          <w:sz w:val="13"/>
          <w:szCs w:val="13"/>
          <w:color w:val="auto"/>
        </w:rPr>
      </w:pPr>
    </w:p>
    <w:p>
      <w:pPr>
        <w:ind w:left="360" w:hanging="352"/>
        <w:spacing w:after="0"/>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spacing w:after="0" w:line="66" w:lineRule="exact"/>
        <w:rPr>
          <w:rFonts w:ascii="Arial" w:cs="Arial" w:eastAsia="Arial" w:hAnsi="Arial"/>
          <w:sz w:val="13"/>
          <w:szCs w:val="13"/>
          <w:color w:val="auto"/>
        </w:rPr>
      </w:pPr>
    </w:p>
    <w:p>
      <w:pPr>
        <w:ind w:left="360" w:hanging="352"/>
        <w:spacing w:after="0"/>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spacing w:after="0" w:line="66" w:lineRule="exact"/>
        <w:rPr>
          <w:rFonts w:ascii="Arial" w:cs="Arial" w:eastAsia="Arial" w:hAnsi="Arial"/>
          <w:sz w:val="13"/>
          <w:szCs w:val="13"/>
          <w:color w:val="auto"/>
        </w:rPr>
      </w:pPr>
    </w:p>
    <w:p>
      <w:pPr>
        <w:ind w:left="360" w:hanging="352"/>
        <w:spacing w:after="0"/>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spacing w:after="0" w:line="66" w:lineRule="exact"/>
        <w:rPr>
          <w:rFonts w:ascii="Arial" w:cs="Arial" w:eastAsia="Arial" w:hAnsi="Arial"/>
          <w:sz w:val="13"/>
          <w:szCs w:val="13"/>
          <w:color w:val="auto"/>
        </w:rPr>
      </w:pPr>
    </w:p>
    <w:p>
      <w:pPr>
        <w:ind w:left="360" w:hanging="352"/>
        <w:spacing w:after="0"/>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66" w:lineRule="exact"/>
        <w:rPr>
          <w:rFonts w:ascii="Arial" w:cs="Arial" w:eastAsia="Arial" w:hAnsi="Arial"/>
          <w:sz w:val="13"/>
          <w:szCs w:val="13"/>
          <w:color w:val="auto"/>
        </w:rPr>
      </w:pPr>
    </w:p>
    <w:p>
      <w:pPr>
        <w:ind w:left="360" w:hanging="352"/>
        <w:spacing w:after="0" w:line="274" w:lineRule="auto"/>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00"/>
          </w:cols>
          <w:pgMar w:left="320" w:top="459"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w:t>
      </w:r>
    </w:p>
    <w:p>
      <w:pPr>
        <w:jc w:val="center"/>
        <w:spacing w:after="0"/>
        <w:rPr>
          <w:sz w:val="20"/>
          <w:szCs w:val="20"/>
          <w:color w:val="auto"/>
        </w:rPr>
      </w:pPr>
      <w:r>
        <w:rPr>
          <w:rFonts w:ascii="Arial" w:cs="Arial" w:eastAsia="Arial" w:hAnsi="Arial"/>
          <w:sz w:val="13"/>
          <w:szCs w:val="13"/>
          <w:b w:val="1"/>
          <w:bCs w:val="1"/>
          <w:color w:val="auto"/>
        </w:rPr>
        <w:t>SEPTEMBER 30, 2013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jc w:val="center"/>
              <w:ind w:right="113"/>
              <w:spacing w:after="0"/>
              <w:rPr>
                <w:sz w:val="20"/>
                <w:szCs w:val="20"/>
                <w:color w:val="auto"/>
              </w:rPr>
            </w:pPr>
            <w:r>
              <w:rPr>
                <w:rFonts w:ascii="Arial" w:cs="Arial" w:eastAsia="Arial" w:hAnsi="Arial"/>
                <w:sz w:val="13"/>
                <w:szCs w:val="13"/>
                <w:b w:val="1"/>
                <w:bCs w:val="1"/>
                <w:color w:val="auto"/>
                <w:w w:val="90"/>
              </w:rPr>
              <w:t>Basis Point</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8"/>
        </w:trPr>
        <w:tc>
          <w:tcPr>
            <w:tcW w:w="3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jc w:val="center"/>
              <w:ind w:right="93"/>
              <w:spacing w:after="0"/>
              <w:rPr>
                <w:sz w:val="20"/>
                <w:szCs w:val="20"/>
                <w:color w:val="auto"/>
              </w:rPr>
            </w:pPr>
            <w:r>
              <w:rPr>
                <w:rFonts w:ascii="Arial" w:cs="Arial" w:eastAsia="Arial" w:hAnsi="Arial"/>
                <w:sz w:val="13"/>
                <w:szCs w:val="13"/>
                <w:b w:val="1"/>
                <w:bCs w:val="1"/>
                <w:color w:val="auto"/>
                <w:w w:val="95"/>
              </w:rPr>
              <w:t>Spread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4"/>
        </w:trPr>
        <w:tc>
          <w:tcPr>
            <w:tcW w:w="3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140" w:type="dxa"/>
            <w:vAlign w:val="bottom"/>
          </w:tcPr>
          <w:p>
            <w:pPr>
              <w:jc w:val="right"/>
              <w:ind w:right="433"/>
              <w:spacing w:after="0" w:line="134" w:lineRule="exact"/>
              <w:rPr>
                <w:sz w:val="20"/>
                <w:szCs w:val="20"/>
                <w:color w:val="auto"/>
              </w:rPr>
            </w:pPr>
            <w:r>
              <w:rPr>
                <w:rFonts w:ascii="Arial" w:cs="Arial" w:eastAsia="Arial" w:hAnsi="Arial"/>
                <w:sz w:val="13"/>
                <w:szCs w:val="13"/>
                <w:b w:val="1"/>
                <w:bCs w:val="1"/>
                <w:color w:val="auto"/>
              </w:rPr>
              <w:t>Current</w:t>
            </w:r>
          </w:p>
        </w:tc>
        <w:tc>
          <w:tcPr>
            <w:tcW w:w="1100" w:type="dxa"/>
            <w:vAlign w:val="bottom"/>
          </w:tcPr>
          <w:p>
            <w:pPr>
              <w:jc w:val="center"/>
              <w:ind w:right="113"/>
              <w:spacing w:after="0" w:line="134" w:lineRule="exact"/>
              <w:rPr>
                <w:sz w:val="20"/>
                <w:szCs w:val="20"/>
                <w:color w:val="auto"/>
              </w:rPr>
            </w:pPr>
            <w:r>
              <w:rPr>
                <w:rFonts w:ascii="Arial" w:cs="Arial" w:eastAsia="Arial" w:hAnsi="Arial"/>
                <w:sz w:val="13"/>
                <w:szCs w:val="13"/>
                <w:b w:val="1"/>
                <w:bCs w:val="1"/>
                <w:color w:val="auto"/>
                <w:w w:val="90"/>
              </w:rPr>
              <w:t>Above</w:t>
            </w:r>
          </w:p>
        </w:tc>
        <w:tc>
          <w:tcPr>
            <w:tcW w:w="860" w:type="dxa"/>
            <w:vAlign w:val="bottom"/>
          </w:tcPr>
          <w:p>
            <w:pPr>
              <w:jc w:val="right"/>
              <w:ind w:right="273"/>
              <w:spacing w:after="0" w:line="134" w:lineRule="exact"/>
              <w:rPr>
                <w:sz w:val="20"/>
                <w:szCs w:val="20"/>
                <w:color w:val="auto"/>
              </w:rPr>
            </w:pPr>
            <w:r>
              <w:rPr>
                <w:rFonts w:ascii="Arial" w:cs="Arial" w:eastAsia="Arial" w:hAnsi="Arial"/>
                <w:sz w:val="13"/>
                <w:szCs w:val="13"/>
                <w:b w:val="1"/>
                <w:bCs w:val="1"/>
                <w:color w:val="auto"/>
              </w:rPr>
              <w:t>Par /</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jc w:val="right"/>
              <w:ind w:right="73"/>
              <w:spacing w:after="0" w:line="134" w:lineRule="exact"/>
              <w:rPr>
                <w:sz w:val="20"/>
                <w:szCs w:val="20"/>
                <w:color w:val="auto"/>
              </w:rPr>
            </w:pPr>
            <w:r>
              <w:rPr>
                <w:rFonts w:ascii="Arial" w:cs="Arial" w:eastAsia="Arial" w:hAnsi="Arial"/>
                <w:sz w:val="13"/>
                <w:szCs w:val="13"/>
                <w:b w:val="1"/>
                <w:bCs w:val="1"/>
                <w:color w:val="auto"/>
              </w:rPr>
              <w:t>Fair Value</w:t>
            </w:r>
          </w:p>
        </w:tc>
      </w:tr>
      <w:tr>
        <w:trPr>
          <w:trHeight w:val="175"/>
        </w:trPr>
        <w:tc>
          <w:tcPr>
            <w:tcW w:w="3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Issuer Name</w:t>
            </w:r>
          </w:p>
        </w:tc>
        <w:tc>
          <w:tcPr>
            <w:tcW w:w="114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Maturity</w:t>
            </w:r>
          </w:p>
        </w:tc>
        <w:tc>
          <w:tcPr>
            <w:tcW w:w="208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7"/>
              </w:rPr>
              <w:t>Industry</w:t>
            </w: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Coupon</w:t>
            </w:r>
          </w:p>
        </w:tc>
        <w:tc>
          <w:tcPr>
            <w:tcW w:w="1100" w:type="dxa"/>
            <w:vAlign w:val="bottom"/>
            <w:tcBorders>
              <w:bottom w:val="single" w:sz="8" w:color="auto"/>
            </w:tcBorders>
          </w:tcPr>
          <w:p>
            <w:pPr>
              <w:jc w:val="center"/>
              <w:ind w:right="93"/>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Cost</w:t>
            </w: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(2)</w:t>
            </w:r>
          </w:p>
        </w:tc>
      </w:tr>
      <w:tr>
        <w:trPr>
          <w:trHeight w:val="48"/>
        </w:trPr>
        <w:tc>
          <w:tcPr>
            <w:tcW w:w="3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136"/>
        </w:trPr>
        <w:tc>
          <w:tcPr>
            <w:tcW w:w="6300" w:type="dxa"/>
            <w:vAlign w:val="bottom"/>
            <w:gridSpan w:val="3"/>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Companies—151.3% </w:t>
            </w:r>
            <w:r>
              <w:rPr>
                <w:rFonts w:ascii="Arial" w:cs="Arial" w:eastAsia="Arial" w:hAnsi="Arial"/>
                <w:sz w:val="15"/>
                <w:szCs w:val="15"/>
                <w:b w:val="1"/>
                <w:bCs w:val="1"/>
                <w:color w:val="auto"/>
                <w:vertAlign w:val="superscript"/>
              </w:rPr>
              <w:t>(3), (4)</w:t>
            </w:r>
          </w:p>
        </w:tc>
        <w:tc>
          <w:tcPr>
            <w:tcW w:w="1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75"/>
        </w:trPr>
        <w:tc>
          <w:tcPr>
            <w:tcW w:w="3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Debt—133.8%</w:t>
            </w:r>
          </w:p>
        </w:tc>
        <w:tc>
          <w:tcPr>
            <w:tcW w:w="11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38"/>
        </w:trPr>
        <w:tc>
          <w:tcPr>
            <w:tcW w:w="3080" w:type="dxa"/>
            <w:vAlign w:val="bottom"/>
          </w:tcPr>
          <w:p>
            <w:pPr>
              <w:spacing w:after="0" w:line="138" w:lineRule="exact"/>
              <w:rPr>
                <w:sz w:val="20"/>
                <w:szCs w:val="20"/>
                <w:color w:val="auto"/>
              </w:rPr>
            </w:pPr>
            <w:r>
              <w:rPr>
                <w:rFonts w:ascii="Arial" w:cs="Arial" w:eastAsia="Arial" w:hAnsi="Arial"/>
                <w:sz w:val="13"/>
                <w:szCs w:val="13"/>
                <w:color w:val="auto"/>
              </w:rPr>
              <w:t>AKA Diversified Holdings, Inc.</w:t>
            </w:r>
          </w:p>
        </w:tc>
        <w:tc>
          <w:tcPr>
            <w:tcW w:w="1140" w:type="dxa"/>
            <w:vAlign w:val="bottom"/>
          </w:tcPr>
          <w:p>
            <w:pPr>
              <w:ind w:left="420"/>
              <w:spacing w:after="0" w:line="138" w:lineRule="exact"/>
              <w:rPr>
                <w:sz w:val="20"/>
                <w:szCs w:val="20"/>
                <w:color w:val="auto"/>
              </w:rPr>
            </w:pPr>
            <w:r>
              <w:rPr>
                <w:rFonts w:ascii="Arial" w:cs="Arial" w:eastAsia="Arial" w:hAnsi="Arial"/>
                <w:sz w:val="13"/>
                <w:szCs w:val="13"/>
                <w:color w:val="auto"/>
              </w:rPr>
              <w:t>12/21/2016</w:t>
            </w:r>
          </w:p>
        </w:tc>
        <w:tc>
          <w:tcPr>
            <w:tcW w:w="2080" w:type="dxa"/>
            <w:vAlign w:val="bottom"/>
          </w:tcPr>
          <w:p>
            <w:pPr>
              <w:jc w:val="center"/>
              <w:ind w:right="13"/>
              <w:spacing w:after="0" w:line="138" w:lineRule="exact"/>
              <w:rPr>
                <w:sz w:val="20"/>
                <w:szCs w:val="20"/>
                <w:color w:val="auto"/>
              </w:rPr>
            </w:pPr>
            <w:r>
              <w:rPr>
                <w:rFonts w:ascii="Arial" w:cs="Arial" w:eastAsia="Arial" w:hAnsi="Arial"/>
                <w:sz w:val="13"/>
                <w:szCs w:val="13"/>
                <w:color w:val="auto"/>
                <w:w w:val="96"/>
              </w:rPr>
              <w:t>Retail</w:t>
            </w:r>
          </w:p>
        </w:tc>
        <w:tc>
          <w:tcPr>
            <w:tcW w:w="1140" w:type="dxa"/>
            <w:vAlign w:val="bottom"/>
          </w:tcPr>
          <w:p>
            <w:pPr>
              <w:jc w:val="right"/>
              <w:ind w:right="53"/>
              <w:spacing w:after="0" w:line="138" w:lineRule="exact"/>
              <w:rPr>
                <w:sz w:val="20"/>
                <w:szCs w:val="20"/>
                <w:color w:val="auto"/>
              </w:rPr>
            </w:pPr>
            <w:r>
              <w:rPr>
                <w:rFonts w:ascii="Arial" w:cs="Arial" w:eastAsia="Arial" w:hAnsi="Arial"/>
                <w:sz w:val="10"/>
                <w:szCs w:val="10"/>
                <w:color w:val="auto"/>
              </w:rPr>
              <w:t>12.50%</w:t>
            </w:r>
            <w:r>
              <w:rPr>
                <w:rFonts w:ascii="Arial" w:cs="Arial" w:eastAsia="Arial" w:hAnsi="Arial"/>
                <w:sz w:val="15"/>
                <w:szCs w:val="15"/>
                <w:color w:val="auto"/>
                <w:vertAlign w:val="superscript"/>
              </w:rPr>
              <w:t>(9)</w:t>
            </w:r>
          </w:p>
        </w:tc>
        <w:tc>
          <w:tcPr>
            <w:tcW w:w="1100" w:type="dxa"/>
            <w:vAlign w:val="bottom"/>
          </w:tcPr>
          <w:p>
            <w:pPr>
              <w:jc w:val="right"/>
              <w:ind w:right="113"/>
              <w:spacing w:after="0" w:line="138" w:lineRule="exact"/>
              <w:rPr>
                <w:sz w:val="20"/>
                <w:szCs w:val="20"/>
                <w:color w:val="auto"/>
              </w:rPr>
            </w:pPr>
            <w:r>
              <w:rPr>
                <w:rFonts w:ascii="Arial" w:cs="Arial" w:eastAsia="Arial" w:hAnsi="Arial"/>
                <w:sz w:val="13"/>
                <w:szCs w:val="13"/>
                <w:color w:val="auto"/>
              </w:rPr>
              <w:t>L+1,225</w:t>
            </w:r>
          </w:p>
        </w:tc>
        <w:tc>
          <w:tcPr>
            <w:tcW w:w="8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2,728,141</w:t>
            </w:r>
          </w:p>
        </w:tc>
        <w:tc>
          <w:tcPr>
            <w:tcW w:w="2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2,684,231</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  2,755,278</w:t>
            </w:r>
          </w:p>
        </w:tc>
      </w:tr>
      <w:tr>
        <w:trPr>
          <w:trHeight w:val="173"/>
        </w:trPr>
        <w:tc>
          <w:tcPr>
            <w:tcW w:w="3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40" w:type="dxa"/>
            <w:vAlign w:val="bottom"/>
          </w:tcPr>
          <w:p>
            <w:pPr>
              <w:jc w:val="right"/>
              <w:ind w:right="153"/>
              <w:spacing w:after="0"/>
              <w:rPr>
                <w:sz w:val="20"/>
                <w:szCs w:val="20"/>
                <w:color w:val="auto"/>
              </w:rPr>
            </w:pPr>
            <w:r>
              <w:rPr>
                <w:rFonts w:ascii="Arial" w:cs="Arial" w:eastAsia="Arial" w:hAnsi="Arial"/>
                <w:sz w:val="13"/>
                <w:szCs w:val="13"/>
                <w:color w:val="auto"/>
              </w:rPr>
              <w:t>(PIK 1.50%)</w:t>
            </w: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49"/>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ALG USA Holdings, LLC</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02/28/2019</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4"/>
              </w:rPr>
              <w:t>Hotel, Gaming and Leisure</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7.00%</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L+575</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8,457,500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8,394,246</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8,457,500</w:t>
            </w: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1"/>
                <w:szCs w:val="11"/>
                <w:color w:val="auto"/>
              </w:rPr>
              <w:t xml:space="preserve">Alvogen Pharma US, Inc. </w:t>
            </w:r>
            <w:r>
              <w:rPr>
                <w:rFonts w:ascii="Arial" w:cs="Arial" w:eastAsia="Arial" w:hAnsi="Arial"/>
                <w:sz w:val="17"/>
                <w:szCs w:val="17"/>
                <w:color w:val="auto"/>
                <w:vertAlign w:val="superscript"/>
              </w:rPr>
              <w:t>(8)</w:t>
            </w:r>
          </w:p>
        </w:tc>
        <w:tc>
          <w:tcPr>
            <w:tcW w:w="1140" w:type="dxa"/>
            <w:vAlign w:val="bottom"/>
          </w:tcPr>
          <w:p>
            <w:pPr>
              <w:ind w:left="420"/>
              <w:spacing w:after="0"/>
              <w:rPr>
                <w:sz w:val="20"/>
                <w:szCs w:val="20"/>
                <w:color w:val="auto"/>
              </w:rPr>
            </w:pPr>
            <w:r>
              <w:rPr>
                <w:rFonts w:ascii="Arial" w:cs="Arial" w:eastAsia="Arial" w:hAnsi="Arial"/>
                <w:sz w:val="13"/>
                <w:szCs w:val="13"/>
                <w:color w:val="auto"/>
              </w:rPr>
              <w:t>05/23/2018</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2"/>
              </w:rPr>
              <w:t>Healthcare and Pharmaceuticals</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7.00%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L+575</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1,995,000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1,976,374</w:t>
            </w:r>
          </w:p>
        </w:tc>
        <w:tc>
          <w:tcPr>
            <w:tcW w:w="900" w:type="dxa"/>
            <w:vAlign w:val="bottom"/>
          </w:tcPr>
          <w:p>
            <w:pPr>
              <w:jc w:val="right"/>
              <w:spacing w:after="0"/>
              <w:rPr>
                <w:sz w:val="20"/>
                <w:szCs w:val="20"/>
                <w:color w:val="auto"/>
              </w:rPr>
            </w:pPr>
            <w:r>
              <w:rPr>
                <w:rFonts w:ascii="Arial" w:cs="Arial" w:eastAsia="Arial" w:hAnsi="Arial"/>
                <w:sz w:val="13"/>
                <w:szCs w:val="13"/>
                <w:color w:val="auto"/>
              </w:rPr>
              <w:t>1,980,037</w:t>
            </w:r>
          </w:p>
        </w:tc>
      </w:tr>
      <w:tr>
        <w:trPr>
          <w:trHeight w:val="148"/>
        </w:trPr>
        <w:tc>
          <w:tcPr>
            <w:tcW w:w="3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AMF Bowling Centers, Inc. </w:t>
            </w:r>
            <w:r>
              <w:rPr>
                <w:rFonts w:ascii="Arial" w:cs="Arial" w:eastAsia="Arial" w:hAnsi="Arial"/>
                <w:sz w:val="17"/>
                <w:szCs w:val="17"/>
                <w:color w:val="auto"/>
                <w:vertAlign w:val="superscript"/>
              </w:rPr>
              <w:t>(8)</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06/29/2018</w:t>
            </w:r>
          </w:p>
        </w:tc>
        <w:tc>
          <w:tcPr>
            <w:tcW w:w="2080" w:type="dxa"/>
            <w:vAlign w:val="bottom"/>
            <w:shd w:val="clear" w:color="auto" w:fill="CCEEFF"/>
          </w:tcPr>
          <w:p>
            <w:pPr>
              <w:jc w:val="center"/>
              <w:ind w:right="13"/>
              <w:spacing w:after="0"/>
              <w:rPr>
                <w:sz w:val="20"/>
                <w:szCs w:val="20"/>
                <w:color w:val="auto"/>
              </w:rPr>
            </w:pPr>
            <w:r>
              <w:rPr>
                <w:rFonts w:ascii="Arial" w:cs="Arial" w:eastAsia="Arial" w:hAnsi="Arial"/>
                <w:sz w:val="13"/>
                <w:szCs w:val="13"/>
                <w:color w:val="auto"/>
                <w:w w:val="96"/>
              </w:rPr>
              <w:t>Retail</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8.75%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L+750</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7,950,000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7,711,500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7,870,500</w:t>
            </w:r>
          </w:p>
        </w:tc>
      </w:tr>
      <w:tr>
        <w:trPr>
          <w:trHeight w:val="148"/>
        </w:trPr>
        <w:tc>
          <w:tcPr>
            <w:tcW w:w="3080" w:type="dxa"/>
            <w:vAlign w:val="bottom"/>
          </w:tcPr>
          <w:p>
            <w:pPr>
              <w:spacing w:after="0"/>
              <w:rPr>
                <w:sz w:val="20"/>
                <w:szCs w:val="20"/>
                <w:color w:val="auto"/>
              </w:rPr>
            </w:pPr>
            <w:r>
              <w:rPr>
                <w:rFonts w:ascii="Arial" w:cs="Arial" w:eastAsia="Arial" w:hAnsi="Arial"/>
                <w:sz w:val="13"/>
                <w:szCs w:val="13"/>
                <w:color w:val="auto"/>
              </w:rPr>
              <w:t>Ancile Solutions, Inc.</w:t>
            </w:r>
          </w:p>
        </w:tc>
        <w:tc>
          <w:tcPr>
            <w:tcW w:w="1140" w:type="dxa"/>
            <w:vAlign w:val="bottom"/>
          </w:tcPr>
          <w:p>
            <w:pPr>
              <w:ind w:left="420"/>
              <w:spacing w:after="0"/>
              <w:rPr>
                <w:sz w:val="20"/>
                <w:szCs w:val="20"/>
                <w:color w:val="auto"/>
              </w:rPr>
            </w:pPr>
            <w:r>
              <w:rPr>
                <w:rFonts w:ascii="Arial" w:cs="Arial" w:eastAsia="Arial" w:hAnsi="Arial"/>
                <w:sz w:val="13"/>
                <w:szCs w:val="13"/>
                <w:color w:val="auto"/>
              </w:rPr>
              <w:t>07/16/2018</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5"/>
              </w:rPr>
              <w:t>High Tech Industries</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6.25%</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L+500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5,000,000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4,951,516</w:t>
            </w:r>
          </w:p>
        </w:tc>
        <w:tc>
          <w:tcPr>
            <w:tcW w:w="900" w:type="dxa"/>
            <w:vAlign w:val="bottom"/>
          </w:tcPr>
          <w:p>
            <w:pPr>
              <w:jc w:val="right"/>
              <w:spacing w:after="0"/>
              <w:rPr>
                <w:sz w:val="20"/>
                <w:szCs w:val="20"/>
                <w:color w:val="auto"/>
              </w:rPr>
            </w:pPr>
            <w:r>
              <w:rPr>
                <w:rFonts w:ascii="Arial" w:cs="Arial" w:eastAsia="Arial" w:hAnsi="Arial"/>
                <w:sz w:val="13"/>
                <w:szCs w:val="13"/>
                <w:color w:val="auto"/>
              </w:rPr>
              <w:t>4,962,500</w:t>
            </w:r>
          </w:p>
        </w:tc>
      </w:tr>
      <w:tr>
        <w:trPr>
          <w:trHeight w:val="148"/>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ARC Automotive Group,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11/15/2018</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rPr>
              <w:t>Automotive</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6.25%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L+500</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2,530,875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2,510,159</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2,530,875</w:t>
            </w:r>
          </w:p>
        </w:tc>
      </w:tr>
      <w:tr>
        <w:trPr>
          <w:trHeight w:val="148"/>
        </w:trPr>
        <w:tc>
          <w:tcPr>
            <w:tcW w:w="3080" w:type="dxa"/>
            <w:vAlign w:val="bottom"/>
          </w:tcPr>
          <w:p>
            <w:pPr>
              <w:spacing w:after="0"/>
              <w:rPr>
                <w:sz w:val="20"/>
                <w:szCs w:val="20"/>
                <w:color w:val="auto"/>
              </w:rPr>
            </w:pPr>
            <w:r>
              <w:rPr>
                <w:rFonts w:ascii="Arial" w:cs="Arial" w:eastAsia="Arial" w:hAnsi="Arial"/>
                <w:sz w:val="13"/>
                <w:szCs w:val="13"/>
                <w:color w:val="auto"/>
              </w:rPr>
              <w:t>Aspen Dental Management, Inc.</w:t>
            </w:r>
          </w:p>
        </w:tc>
        <w:tc>
          <w:tcPr>
            <w:tcW w:w="1140" w:type="dxa"/>
            <w:vAlign w:val="bottom"/>
          </w:tcPr>
          <w:p>
            <w:pPr>
              <w:ind w:left="420"/>
              <w:spacing w:after="0"/>
              <w:rPr>
                <w:sz w:val="20"/>
                <w:szCs w:val="20"/>
                <w:color w:val="auto"/>
              </w:rPr>
            </w:pPr>
            <w:r>
              <w:rPr>
                <w:rFonts w:ascii="Arial" w:cs="Arial" w:eastAsia="Arial" w:hAnsi="Arial"/>
                <w:sz w:val="13"/>
                <w:szCs w:val="13"/>
                <w:color w:val="auto"/>
              </w:rPr>
              <w:t>10/06/2016</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3"/>
              </w:rPr>
              <w:t>Consumer Services</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7.00%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L+550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2,947,500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2,916,715</w:t>
            </w:r>
          </w:p>
        </w:tc>
        <w:tc>
          <w:tcPr>
            <w:tcW w:w="900" w:type="dxa"/>
            <w:vAlign w:val="bottom"/>
          </w:tcPr>
          <w:p>
            <w:pPr>
              <w:jc w:val="right"/>
              <w:spacing w:after="0"/>
              <w:rPr>
                <w:sz w:val="20"/>
                <w:szCs w:val="20"/>
                <w:color w:val="auto"/>
              </w:rPr>
            </w:pPr>
            <w:r>
              <w:rPr>
                <w:rFonts w:ascii="Arial" w:cs="Arial" w:eastAsia="Arial" w:hAnsi="Arial"/>
                <w:sz w:val="13"/>
                <w:szCs w:val="13"/>
                <w:color w:val="auto"/>
              </w:rPr>
              <w:t>2,829,600</w:t>
            </w:r>
          </w:p>
        </w:tc>
      </w:tr>
      <w:tr>
        <w:trPr>
          <w:trHeight w:val="149"/>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ATI Holdings, Inc.</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12/20/2019</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5.75%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L+450</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2,977,500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2,951,133</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2,999,831</w:t>
            </w:r>
          </w:p>
        </w:tc>
      </w:tr>
      <w:tr>
        <w:trPr>
          <w:trHeight w:val="148"/>
        </w:trPr>
        <w:tc>
          <w:tcPr>
            <w:tcW w:w="3080" w:type="dxa"/>
            <w:vAlign w:val="bottom"/>
          </w:tcPr>
          <w:p>
            <w:pPr>
              <w:spacing w:after="0"/>
              <w:rPr>
                <w:sz w:val="20"/>
                <w:szCs w:val="20"/>
                <w:color w:val="auto"/>
              </w:rPr>
            </w:pPr>
            <w:r>
              <w:rPr>
                <w:rFonts w:ascii="Arial" w:cs="Arial" w:eastAsia="Arial" w:hAnsi="Arial"/>
                <w:sz w:val="13"/>
                <w:szCs w:val="13"/>
                <w:color w:val="auto"/>
              </w:rPr>
              <w:t>BBB Industries, LLC</w:t>
            </w:r>
          </w:p>
        </w:tc>
        <w:tc>
          <w:tcPr>
            <w:tcW w:w="1140" w:type="dxa"/>
            <w:vAlign w:val="bottom"/>
          </w:tcPr>
          <w:p>
            <w:pPr>
              <w:ind w:left="420"/>
              <w:spacing w:after="0"/>
              <w:rPr>
                <w:sz w:val="20"/>
                <w:szCs w:val="20"/>
                <w:color w:val="auto"/>
              </w:rPr>
            </w:pPr>
            <w:r>
              <w:rPr>
                <w:rFonts w:ascii="Arial" w:cs="Arial" w:eastAsia="Arial" w:hAnsi="Arial"/>
                <w:sz w:val="13"/>
                <w:szCs w:val="13"/>
                <w:color w:val="auto"/>
              </w:rPr>
              <w:t>03/27/2019</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rPr>
              <w:t>Automotive</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5.50%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L+425</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2,925,000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2,903,031</w:t>
            </w:r>
          </w:p>
        </w:tc>
        <w:tc>
          <w:tcPr>
            <w:tcW w:w="900" w:type="dxa"/>
            <w:vAlign w:val="bottom"/>
          </w:tcPr>
          <w:p>
            <w:pPr>
              <w:jc w:val="right"/>
              <w:spacing w:after="0"/>
              <w:rPr>
                <w:sz w:val="20"/>
                <w:szCs w:val="20"/>
                <w:color w:val="auto"/>
              </w:rPr>
            </w:pPr>
            <w:r>
              <w:rPr>
                <w:rFonts w:ascii="Arial" w:cs="Arial" w:eastAsia="Arial" w:hAnsi="Arial"/>
                <w:sz w:val="13"/>
                <w:szCs w:val="13"/>
                <w:color w:val="auto"/>
              </w:rPr>
              <w:t>2,917,687</w:t>
            </w:r>
          </w:p>
        </w:tc>
      </w:tr>
      <w:tr>
        <w:trPr>
          <w:trHeight w:val="148"/>
        </w:trPr>
        <w:tc>
          <w:tcPr>
            <w:tcW w:w="3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BBTS Borrower LP </w:t>
            </w:r>
            <w:r>
              <w:rPr>
                <w:rFonts w:ascii="Arial" w:cs="Arial" w:eastAsia="Arial" w:hAnsi="Arial"/>
                <w:sz w:val="17"/>
                <w:szCs w:val="17"/>
                <w:color w:val="auto"/>
                <w:vertAlign w:val="superscript"/>
              </w:rPr>
              <w:t>(8)</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06/04/2019</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3"/>
              </w:rPr>
              <w:t>Energy: Oil and Gas</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7.75%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L+650</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6,965,000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6,899,024</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7,034,650</w:t>
            </w:r>
          </w:p>
        </w:tc>
      </w:tr>
      <w:tr>
        <w:trPr>
          <w:trHeight w:val="148"/>
        </w:trPr>
        <w:tc>
          <w:tcPr>
            <w:tcW w:w="3080" w:type="dxa"/>
            <w:vAlign w:val="bottom"/>
          </w:tcPr>
          <w:p>
            <w:pPr>
              <w:spacing w:after="0"/>
              <w:rPr>
                <w:sz w:val="20"/>
                <w:szCs w:val="20"/>
                <w:color w:val="auto"/>
              </w:rPr>
            </w:pPr>
            <w:r>
              <w:rPr>
                <w:rFonts w:ascii="Arial" w:cs="Arial" w:eastAsia="Arial" w:hAnsi="Arial"/>
                <w:sz w:val="13"/>
                <w:szCs w:val="13"/>
                <w:color w:val="auto"/>
              </w:rPr>
              <w:t>Bellisio Foods, Inc.</w:t>
            </w:r>
          </w:p>
        </w:tc>
        <w:tc>
          <w:tcPr>
            <w:tcW w:w="1140" w:type="dxa"/>
            <w:vAlign w:val="bottom"/>
          </w:tcPr>
          <w:p>
            <w:pPr>
              <w:ind w:left="420"/>
              <w:spacing w:after="0"/>
              <w:rPr>
                <w:sz w:val="20"/>
                <w:szCs w:val="20"/>
                <w:color w:val="auto"/>
              </w:rPr>
            </w:pPr>
            <w:r>
              <w:rPr>
                <w:rFonts w:ascii="Arial" w:cs="Arial" w:eastAsia="Arial" w:hAnsi="Arial"/>
                <w:sz w:val="13"/>
                <w:szCs w:val="13"/>
                <w:color w:val="auto"/>
              </w:rPr>
              <w:t>08/01/2019</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2"/>
              </w:rPr>
              <w:t>Beverage, Food and Tobacco</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5.25%</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L+425</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4,237,288</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4,216,574</w:t>
            </w:r>
          </w:p>
        </w:tc>
        <w:tc>
          <w:tcPr>
            <w:tcW w:w="900" w:type="dxa"/>
            <w:vAlign w:val="bottom"/>
          </w:tcPr>
          <w:p>
            <w:pPr>
              <w:jc w:val="right"/>
              <w:spacing w:after="0"/>
              <w:rPr>
                <w:sz w:val="20"/>
                <w:szCs w:val="20"/>
                <w:color w:val="auto"/>
              </w:rPr>
            </w:pPr>
            <w:r>
              <w:rPr>
                <w:rFonts w:ascii="Arial" w:cs="Arial" w:eastAsia="Arial" w:hAnsi="Arial"/>
                <w:sz w:val="13"/>
                <w:szCs w:val="13"/>
                <w:color w:val="auto"/>
              </w:rPr>
              <w:t>4,216,102</w:t>
            </w:r>
          </w:p>
        </w:tc>
      </w:tr>
      <w:tr>
        <w:trPr>
          <w:trHeight w:val="148"/>
        </w:trPr>
        <w:tc>
          <w:tcPr>
            <w:tcW w:w="3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Bellisio Foods, Inc. </w:t>
            </w:r>
            <w:r>
              <w:rPr>
                <w:rFonts w:ascii="Arial" w:cs="Arial" w:eastAsia="Arial" w:hAnsi="Arial"/>
                <w:sz w:val="17"/>
                <w:szCs w:val="17"/>
                <w:color w:val="auto"/>
                <w:vertAlign w:val="superscript"/>
              </w:rPr>
              <w:t>(10)</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08/01/2019</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2"/>
              </w:rPr>
              <w:t>Beverage, Food and Tobacco</w:t>
            </w:r>
          </w:p>
        </w:tc>
        <w:tc>
          <w:tcPr>
            <w:tcW w:w="11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762,712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759,021</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758,898</w:t>
            </w:r>
          </w:p>
        </w:tc>
      </w:tr>
      <w:tr>
        <w:trPr>
          <w:trHeight w:val="149"/>
        </w:trPr>
        <w:tc>
          <w:tcPr>
            <w:tcW w:w="3080" w:type="dxa"/>
            <w:vAlign w:val="bottom"/>
          </w:tcPr>
          <w:p>
            <w:pPr>
              <w:spacing w:after="0"/>
              <w:rPr>
                <w:sz w:val="20"/>
                <w:szCs w:val="20"/>
                <w:color w:val="auto"/>
              </w:rPr>
            </w:pPr>
            <w:r>
              <w:rPr>
                <w:rFonts w:ascii="Arial" w:cs="Arial" w:eastAsia="Arial" w:hAnsi="Arial"/>
                <w:sz w:val="13"/>
                <w:szCs w:val="13"/>
                <w:color w:val="auto"/>
              </w:rPr>
              <w:t>BioScrip, Inc.</w:t>
            </w:r>
          </w:p>
        </w:tc>
        <w:tc>
          <w:tcPr>
            <w:tcW w:w="1140" w:type="dxa"/>
            <w:vAlign w:val="bottom"/>
          </w:tcPr>
          <w:p>
            <w:pPr>
              <w:ind w:left="420"/>
              <w:spacing w:after="0"/>
              <w:rPr>
                <w:sz w:val="20"/>
                <w:szCs w:val="20"/>
                <w:color w:val="auto"/>
              </w:rPr>
            </w:pPr>
            <w:r>
              <w:rPr>
                <w:rFonts w:ascii="Arial" w:cs="Arial" w:eastAsia="Arial" w:hAnsi="Arial"/>
                <w:sz w:val="13"/>
                <w:szCs w:val="13"/>
                <w:color w:val="auto"/>
              </w:rPr>
              <w:t>07/31/2020</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2"/>
              </w:rPr>
              <w:t>Healthcare and Pharmaceuticals</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6.50%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L+525</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2,000,000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1,970,525</w:t>
            </w:r>
          </w:p>
        </w:tc>
        <w:tc>
          <w:tcPr>
            <w:tcW w:w="900" w:type="dxa"/>
            <w:vAlign w:val="bottom"/>
          </w:tcPr>
          <w:p>
            <w:pPr>
              <w:jc w:val="right"/>
              <w:spacing w:after="0"/>
              <w:rPr>
                <w:sz w:val="20"/>
                <w:szCs w:val="20"/>
                <w:color w:val="auto"/>
              </w:rPr>
            </w:pPr>
            <w:r>
              <w:rPr>
                <w:rFonts w:ascii="Arial" w:cs="Arial" w:eastAsia="Arial" w:hAnsi="Arial"/>
                <w:sz w:val="13"/>
                <w:szCs w:val="13"/>
                <w:color w:val="auto"/>
              </w:rPr>
              <w:t>2,010,000</w:t>
            </w:r>
          </w:p>
        </w:tc>
      </w:tr>
      <w:tr>
        <w:trPr>
          <w:trHeight w:val="148"/>
        </w:trPr>
        <w:tc>
          <w:tcPr>
            <w:tcW w:w="3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CBAC Borrower, LLC </w:t>
            </w:r>
            <w:r>
              <w:rPr>
                <w:rFonts w:ascii="Arial" w:cs="Arial" w:eastAsia="Arial" w:hAnsi="Arial"/>
                <w:sz w:val="17"/>
                <w:szCs w:val="17"/>
                <w:color w:val="auto"/>
                <w:vertAlign w:val="superscript"/>
              </w:rPr>
              <w:t>(8)</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07/02/2020</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4"/>
              </w:rPr>
              <w:t>Hotel, Gaming and Leisure</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8.25%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L+700</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4,950,774</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5,137,500</w:t>
            </w:r>
          </w:p>
        </w:tc>
      </w:tr>
      <w:tr>
        <w:trPr>
          <w:trHeight w:val="138"/>
        </w:trPr>
        <w:tc>
          <w:tcPr>
            <w:tcW w:w="3080" w:type="dxa"/>
            <w:vAlign w:val="bottom"/>
          </w:tcPr>
          <w:p>
            <w:pPr>
              <w:spacing w:after="0" w:line="138" w:lineRule="exact"/>
              <w:rPr>
                <w:sz w:val="20"/>
                <w:szCs w:val="20"/>
                <w:color w:val="auto"/>
              </w:rPr>
            </w:pPr>
            <w:r>
              <w:rPr>
                <w:rFonts w:ascii="Arial" w:cs="Arial" w:eastAsia="Arial" w:hAnsi="Arial"/>
                <w:sz w:val="10"/>
                <w:szCs w:val="10"/>
                <w:color w:val="auto"/>
              </w:rPr>
              <w:t xml:space="preserve">Cetera Financial Group, Inc. </w:t>
            </w:r>
            <w:r>
              <w:rPr>
                <w:rFonts w:ascii="Arial" w:cs="Arial" w:eastAsia="Arial" w:hAnsi="Arial"/>
                <w:sz w:val="15"/>
                <w:szCs w:val="15"/>
                <w:color w:val="auto"/>
                <w:vertAlign w:val="superscript"/>
              </w:rPr>
              <w:t>(8)</w:t>
            </w:r>
          </w:p>
        </w:tc>
        <w:tc>
          <w:tcPr>
            <w:tcW w:w="1140" w:type="dxa"/>
            <w:vAlign w:val="bottom"/>
          </w:tcPr>
          <w:p>
            <w:pPr>
              <w:ind w:left="420"/>
              <w:spacing w:after="0" w:line="138" w:lineRule="exact"/>
              <w:rPr>
                <w:sz w:val="20"/>
                <w:szCs w:val="20"/>
                <w:color w:val="auto"/>
              </w:rPr>
            </w:pPr>
            <w:r>
              <w:rPr>
                <w:rFonts w:ascii="Arial" w:cs="Arial" w:eastAsia="Arial" w:hAnsi="Arial"/>
                <w:sz w:val="13"/>
                <w:szCs w:val="13"/>
                <w:color w:val="auto"/>
              </w:rPr>
              <w:t>08/07/2019</w:t>
            </w:r>
          </w:p>
        </w:tc>
        <w:tc>
          <w:tcPr>
            <w:tcW w:w="2080" w:type="dxa"/>
            <w:vAlign w:val="bottom"/>
          </w:tcPr>
          <w:p>
            <w:pPr>
              <w:jc w:val="center"/>
              <w:spacing w:after="0" w:line="138" w:lineRule="exact"/>
              <w:rPr>
                <w:sz w:val="20"/>
                <w:szCs w:val="20"/>
                <w:color w:val="auto"/>
              </w:rPr>
            </w:pPr>
            <w:r>
              <w:rPr>
                <w:rFonts w:ascii="Arial" w:cs="Arial" w:eastAsia="Arial" w:hAnsi="Arial"/>
                <w:sz w:val="13"/>
                <w:szCs w:val="13"/>
                <w:color w:val="auto"/>
                <w:w w:val="93"/>
              </w:rPr>
              <w:t>Banking, Finance, Insurance and</w:t>
            </w:r>
          </w:p>
        </w:tc>
        <w:tc>
          <w:tcPr>
            <w:tcW w:w="1140" w:type="dxa"/>
            <w:vAlign w:val="bottom"/>
          </w:tcPr>
          <w:p>
            <w:pPr>
              <w:jc w:val="right"/>
              <w:ind w:right="193"/>
              <w:spacing w:after="0" w:line="138" w:lineRule="exact"/>
              <w:rPr>
                <w:sz w:val="20"/>
                <w:szCs w:val="20"/>
                <w:color w:val="auto"/>
              </w:rPr>
            </w:pPr>
            <w:r>
              <w:rPr>
                <w:rFonts w:ascii="Arial" w:cs="Arial" w:eastAsia="Arial" w:hAnsi="Arial"/>
                <w:sz w:val="13"/>
                <w:szCs w:val="13"/>
                <w:color w:val="auto"/>
              </w:rPr>
              <w:t>6.50%</w:t>
            </w:r>
          </w:p>
        </w:tc>
        <w:tc>
          <w:tcPr>
            <w:tcW w:w="1100" w:type="dxa"/>
            <w:vAlign w:val="bottom"/>
          </w:tcPr>
          <w:p>
            <w:pPr>
              <w:jc w:val="right"/>
              <w:ind w:right="113"/>
              <w:spacing w:after="0" w:line="138" w:lineRule="exact"/>
              <w:rPr>
                <w:sz w:val="20"/>
                <w:szCs w:val="20"/>
                <w:color w:val="auto"/>
              </w:rPr>
            </w:pPr>
            <w:r>
              <w:rPr>
                <w:rFonts w:ascii="Arial" w:cs="Arial" w:eastAsia="Arial" w:hAnsi="Arial"/>
                <w:sz w:val="13"/>
                <w:szCs w:val="13"/>
                <w:color w:val="auto"/>
              </w:rPr>
              <w:t>L+550</w:t>
            </w:r>
          </w:p>
        </w:tc>
        <w:tc>
          <w:tcPr>
            <w:tcW w:w="8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5,000,000</w:t>
            </w:r>
          </w:p>
        </w:tc>
        <w:tc>
          <w:tcPr>
            <w:tcW w:w="200" w:type="dxa"/>
            <w:vAlign w:val="bottom"/>
          </w:tcPr>
          <w:p>
            <w:pPr>
              <w:spacing w:after="0"/>
              <w:rPr>
                <w:sz w:val="11"/>
                <w:szCs w:val="11"/>
                <w:color w:val="auto"/>
              </w:rPr>
            </w:pPr>
          </w:p>
        </w:tc>
        <w:tc>
          <w:tcPr>
            <w:tcW w:w="7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4,902,298</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4,954,150</w:t>
            </w:r>
          </w:p>
        </w:tc>
      </w:tr>
      <w:tr>
        <w:trPr>
          <w:trHeight w:val="159"/>
        </w:trPr>
        <w:tc>
          <w:tcPr>
            <w:tcW w:w="3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2"/>
              </w:rPr>
              <w:t>Real Estate</w:t>
            </w: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8"/>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CPG International Inc.</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09/30/2020</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5"/>
              </w:rPr>
              <w:t>Construction and Building</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4.75%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L+375</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4,975,000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4,975,000</w:t>
            </w:r>
          </w:p>
        </w:tc>
      </w:tr>
      <w:tr>
        <w:trPr>
          <w:trHeight w:val="148"/>
        </w:trPr>
        <w:tc>
          <w:tcPr>
            <w:tcW w:w="3080" w:type="dxa"/>
            <w:vAlign w:val="bottom"/>
          </w:tcPr>
          <w:p>
            <w:pPr>
              <w:spacing w:after="0"/>
              <w:rPr>
                <w:sz w:val="20"/>
                <w:szCs w:val="20"/>
                <w:color w:val="auto"/>
              </w:rPr>
            </w:pPr>
            <w:r>
              <w:rPr>
                <w:rFonts w:ascii="Arial" w:cs="Arial" w:eastAsia="Arial" w:hAnsi="Arial"/>
                <w:sz w:val="13"/>
                <w:szCs w:val="13"/>
                <w:color w:val="auto"/>
              </w:rPr>
              <w:t>Cydcor LLC</w:t>
            </w:r>
          </w:p>
        </w:tc>
        <w:tc>
          <w:tcPr>
            <w:tcW w:w="1140" w:type="dxa"/>
            <w:vAlign w:val="bottom"/>
          </w:tcPr>
          <w:p>
            <w:pPr>
              <w:ind w:left="420"/>
              <w:spacing w:after="0"/>
              <w:rPr>
                <w:sz w:val="20"/>
                <w:szCs w:val="20"/>
                <w:color w:val="auto"/>
              </w:rPr>
            </w:pPr>
            <w:r>
              <w:rPr>
                <w:rFonts w:ascii="Arial" w:cs="Arial" w:eastAsia="Arial" w:hAnsi="Arial"/>
                <w:sz w:val="13"/>
                <w:szCs w:val="13"/>
                <w:color w:val="auto"/>
              </w:rPr>
              <w:t>06/12/2017</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2"/>
              </w:rPr>
              <w:t>Business Services</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9.75%</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L+725</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1,958,125</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1,958,125</w:t>
            </w:r>
          </w:p>
        </w:tc>
        <w:tc>
          <w:tcPr>
            <w:tcW w:w="900" w:type="dxa"/>
            <w:vAlign w:val="bottom"/>
          </w:tcPr>
          <w:p>
            <w:pPr>
              <w:jc w:val="right"/>
              <w:spacing w:after="0"/>
              <w:rPr>
                <w:sz w:val="20"/>
                <w:szCs w:val="20"/>
                <w:color w:val="auto"/>
              </w:rPr>
            </w:pPr>
            <w:r>
              <w:rPr>
                <w:rFonts w:ascii="Arial" w:cs="Arial" w:eastAsia="Arial" w:hAnsi="Arial"/>
                <w:sz w:val="13"/>
                <w:szCs w:val="13"/>
                <w:color w:val="auto"/>
              </w:rPr>
              <w:t>1,958,125</w:t>
            </w:r>
          </w:p>
        </w:tc>
      </w:tr>
      <w:tr>
        <w:trPr>
          <w:trHeight w:val="149"/>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DCS Business Services, Inc.</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03/19/2018</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2"/>
              </w:rPr>
              <w:t>Business Services</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7.25%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L+575</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3,603,061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3,554,898</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3,603,061</w:t>
            </w:r>
          </w:p>
        </w:tc>
      </w:tr>
      <w:tr>
        <w:trPr>
          <w:trHeight w:val="148"/>
        </w:trPr>
        <w:tc>
          <w:tcPr>
            <w:tcW w:w="3080" w:type="dxa"/>
            <w:vAlign w:val="bottom"/>
          </w:tcPr>
          <w:p>
            <w:pPr>
              <w:spacing w:after="0" w:line="149" w:lineRule="exact"/>
              <w:rPr>
                <w:sz w:val="20"/>
                <w:szCs w:val="20"/>
                <w:color w:val="auto"/>
              </w:rPr>
            </w:pPr>
            <w:r>
              <w:rPr>
                <w:rFonts w:ascii="Arial" w:cs="Arial" w:eastAsia="Arial" w:hAnsi="Arial"/>
                <w:sz w:val="11"/>
                <w:szCs w:val="11"/>
                <w:color w:val="auto"/>
              </w:rPr>
              <w:t xml:space="preserve">Document Technologies, Inc. </w:t>
            </w:r>
            <w:r>
              <w:rPr>
                <w:rFonts w:ascii="Arial" w:cs="Arial" w:eastAsia="Arial" w:hAnsi="Arial"/>
                <w:sz w:val="17"/>
                <w:szCs w:val="17"/>
                <w:color w:val="auto"/>
                <w:vertAlign w:val="superscript"/>
              </w:rPr>
              <w:t>(8)</w:t>
            </w:r>
          </w:p>
        </w:tc>
        <w:tc>
          <w:tcPr>
            <w:tcW w:w="1140" w:type="dxa"/>
            <w:vAlign w:val="bottom"/>
          </w:tcPr>
          <w:p>
            <w:pPr>
              <w:ind w:left="420"/>
              <w:spacing w:after="0"/>
              <w:rPr>
                <w:sz w:val="20"/>
                <w:szCs w:val="20"/>
                <w:color w:val="auto"/>
              </w:rPr>
            </w:pPr>
            <w:r>
              <w:rPr>
                <w:rFonts w:ascii="Arial" w:cs="Arial" w:eastAsia="Arial" w:hAnsi="Arial"/>
                <w:sz w:val="13"/>
                <w:szCs w:val="13"/>
                <w:color w:val="auto"/>
              </w:rPr>
              <w:t>12/03/2018</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2"/>
              </w:rPr>
              <w:t>Business Services</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5.50%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L+425</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961,264</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954,199</w:t>
            </w:r>
          </w:p>
        </w:tc>
        <w:tc>
          <w:tcPr>
            <w:tcW w:w="900" w:type="dxa"/>
            <w:vAlign w:val="bottom"/>
          </w:tcPr>
          <w:p>
            <w:pPr>
              <w:jc w:val="right"/>
              <w:spacing w:after="0"/>
              <w:rPr>
                <w:sz w:val="20"/>
                <w:szCs w:val="20"/>
                <w:color w:val="auto"/>
              </w:rPr>
            </w:pPr>
            <w:r>
              <w:rPr>
                <w:rFonts w:ascii="Arial" w:cs="Arial" w:eastAsia="Arial" w:hAnsi="Arial"/>
                <w:sz w:val="13"/>
                <w:szCs w:val="13"/>
                <w:color w:val="auto"/>
              </w:rPr>
              <w:t>961,263</w:t>
            </w:r>
          </w:p>
        </w:tc>
      </w:tr>
      <w:tr>
        <w:trPr>
          <w:trHeight w:val="148"/>
        </w:trPr>
        <w:tc>
          <w:tcPr>
            <w:tcW w:w="3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EAG, Inc. </w:t>
            </w:r>
            <w:r>
              <w:rPr>
                <w:rFonts w:ascii="Arial" w:cs="Arial" w:eastAsia="Arial" w:hAnsi="Arial"/>
                <w:sz w:val="17"/>
                <w:szCs w:val="17"/>
                <w:color w:val="auto"/>
                <w:vertAlign w:val="superscript"/>
              </w:rPr>
              <w:t>(8)</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07/28/2017</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2"/>
              </w:rPr>
              <w:t>Business Services</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6.00%</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L+450</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888,721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888,721</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888,721</w:t>
            </w:r>
          </w:p>
        </w:tc>
      </w:tr>
      <w:tr>
        <w:trPr>
          <w:trHeight w:val="138"/>
        </w:trPr>
        <w:tc>
          <w:tcPr>
            <w:tcW w:w="3080" w:type="dxa"/>
            <w:vAlign w:val="bottom"/>
          </w:tcPr>
          <w:p>
            <w:pPr>
              <w:spacing w:after="0" w:line="138" w:lineRule="exact"/>
              <w:rPr>
                <w:sz w:val="20"/>
                <w:szCs w:val="20"/>
                <w:color w:val="auto"/>
              </w:rPr>
            </w:pPr>
            <w:r>
              <w:rPr>
                <w:rFonts w:ascii="Arial" w:cs="Arial" w:eastAsia="Arial" w:hAnsi="Arial"/>
                <w:sz w:val="13"/>
                <w:szCs w:val="13"/>
                <w:color w:val="auto"/>
              </w:rPr>
              <w:t>Edmentum, Inc.</w:t>
            </w:r>
          </w:p>
        </w:tc>
        <w:tc>
          <w:tcPr>
            <w:tcW w:w="1140" w:type="dxa"/>
            <w:vAlign w:val="bottom"/>
          </w:tcPr>
          <w:p>
            <w:pPr>
              <w:ind w:left="420"/>
              <w:spacing w:after="0" w:line="138" w:lineRule="exact"/>
              <w:rPr>
                <w:sz w:val="20"/>
                <w:szCs w:val="20"/>
                <w:color w:val="auto"/>
              </w:rPr>
            </w:pPr>
            <w:r>
              <w:rPr>
                <w:rFonts w:ascii="Arial" w:cs="Arial" w:eastAsia="Arial" w:hAnsi="Arial"/>
                <w:sz w:val="13"/>
                <w:szCs w:val="13"/>
                <w:color w:val="auto"/>
              </w:rPr>
              <w:t>05/17/2018</w:t>
            </w:r>
          </w:p>
        </w:tc>
        <w:tc>
          <w:tcPr>
            <w:tcW w:w="2080" w:type="dxa"/>
            <w:vAlign w:val="bottom"/>
          </w:tcPr>
          <w:p>
            <w:pPr>
              <w:jc w:val="center"/>
              <w:ind w:right="13"/>
              <w:spacing w:after="0" w:line="138" w:lineRule="exact"/>
              <w:rPr>
                <w:sz w:val="20"/>
                <w:szCs w:val="20"/>
                <w:color w:val="auto"/>
              </w:rPr>
            </w:pPr>
            <w:r>
              <w:rPr>
                <w:rFonts w:ascii="Arial" w:cs="Arial" w:eastAsia="Arial" w:hAnsi="Arial"/>
                <w:sz w:val="13"/>
                <w:szCs w:val="13"/>
                <w:color w:val="auto"/>
                <w:w w:val="94"/>
              </w:rPr>
              <w:t>Media: Broadcasting and</w:t>
            </w:r>
          </w:p>
        </w:tc>
        <w:tc>
          <w:tcPr>
            <w:tcW w:w="1140" w:type="dxa"/>
            <w:vAlign w:val="bottom"/>
          </w:tcPr>
          <w:p>
            <w:pPr>
              <w:jc w:val="right"/>
              <w:ind w:right="193"/>
              <w:spacing w:after="0" w:line="138" w:lineRule="exact"/>
              <w:rPr>
                <w:sz w:val="20"/>
                <w:szCs w:val="20"/>
                <w:color w:val="auto"/>
              </w:rPr>
            </w:pPr>
            <w:r>
              <w:rPr>
                <w:rFonts w:ascii="Arial" w:cs="Arial" w:eastAsia="Arial" w:hAnsi="Arial"/>
                <w:sz w:val="13"/>
                <w:szCs w:val="13"/>
                <w:color w:val="auto"/>
              </w:rPr>
              <w:t>6.00%</w:t>
            </w:r>
          </w:p>
        </w:tc>
        <w:tc>
          <w:tcPr>
            <w:tcW w:w="1100" w:type="dxa"/>
            <w:vAlign w:val="bottom"/>
          </w:tcPr>
          <w:p>
            <w:pPr>
              <w:jc w:val="right"/>
              <w:ind w:right="113"/>
              <w:spacing w:after="0" w:line="138" w:lineRule="exact"/>
              <w:rPr>
                <w:sz w:val="20"/>
                <w:szCs w:val="20"/>
                <w:color w:val="auto"/>
              </w:rPr>
            </w:pPr>
            <w:r>
              <w:rPr>
                <w:rFonts w:ascii="Arial" w:cs="Arial" w:eastAsia="Arial" w:hAnsi="Arial"/>
                <w:sz w:val="13"/>
                <w:szCs w:val="13"/>
                <w:color w:val="auto"/>
              </w:rPr>
              <w:t>L+475</w:t>
            </w:r>
          </w:p>
        </w:tc>
        <w:tc>
          <w:tcPr>
            <w:tcW w:w="8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938,438</w:t>
            </w:r>
          </w:p>
        </w:tc>
        <w:tc>
          <w:tcPr>
            <w:tcW w:w="200" w:type="dxa"/>
            <w:vAlign w:val="bottom"/>
          </w:tcPr>
          <w:p>
            <w:pPr>
              <w:spacing w:after="0"/>
              <w:rPr>
                <w:sz w:val="11"/>
                <w:szCs w:val="11"/>
                <w:color w:val="auto"/>
              </w:rPr>
            </w:pPr>
          </w:p>
        </w:tc>
        <w:tc>
          <w:tcPr>
            <w:tcW w:w="7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938,438</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941,563</w:t>
            </w:r>
          </w:p>
        </w:tc>
      </w:tr>
      <w:tr>
        <w:trPr>
          <w:trHeight w:val="159"/>
        </w:trPr>
        <w:tc>
          <w:tcPr>
            <w:tcW w:w="3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80" w:type="dxa"/>
            <w:vAlign w:val="bottom"/>
          </w:tcPr>
          <w:p>
            <w:pPr>
              <w:jc w:val="center"/>
              <w:ind w:right="13"/>
              <w:spacing w:after="0"/>
              <w:rPr>
                <w:sz w:val="20"/>
                <w:szCs w:val="20"/>
                <w:color w:val="auto"/>
              </w:rPr>
            </w:pPr>
            <w:r>
              <w:rPr>
                <w:rFonts w:ascii="Arial" w:cs="Arial" w:eastAsia="Arial" w:hAnsi="Arial"/>
                <w:sz w:val="13"/>
                <w:szCs w:val="13"/>
                <w:color w:val="auto"/>
                <w:w w:val="95"/>
              </w:rPr>
              <w:t>Subscription</w:t>
            </w: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9"/>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EIG Investors Corp.</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11/12/2019</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5"/>
              </w:rPr>
              <w:t>High Tech Industries</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6.25%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L+500</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2,209,435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2,191,417</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2,216,350</w:t>
            </w:r>
          </w:p>
        </w:tc>
      </w:tr>
      <w:tr>
        <w:trPr>
          <w:trHeight w:val="148"/>
        </w:trPr>
        <w:tc>
          <w:tcPr>
            <w:tcW w:w="3080" w:type="dxa"/>
            <w:vAlign w:val="bottom"/>
          </w:tcPr>
          <w:p>
            <w:pPr>
              <w:spacing w:after="0"/>
              <w:rPr>
                <w:sz w:val="20"/>
                <w:szCs w:val="20"/>
                <w:color w:val="auto"/>
              </w:rPr>
            </w:pPr>
            <w:r>
              <w:rPr>
                <w:rFonts w:ascii="Arial" w:cs="Arial" w:eastAsia="Arial" w:hAnsi="Arial"/>
                <w:sz w:val="13"/>
                <w:szCs w:val="13"/>
                <w:color w:val="auto"/>
              </w:rPr>
              <w:t>Emerald Performance Materials, LLC</w:t>
            </w:r>
          </w:p>
        </w:tc>
        <w:tc>
          <w:tcPr>
            <w:tcW w:w="1140" w:type="dxa"/>
            <w:vAlign w:val="bottom"/>
          </w:tcPr>
          <w:p>
            <w:pPr>
              <w:ind w:left="420"/>
              <w:spacing w:after="0"/>
              <w:rPr>
                <w:sz w:val="20"/>
                <w:szCs w:val="20"/>
                <w:color w:val="auto"/>
              </w:rPr>
            </w:pPr>
            <w:r>
              <w:rPr>
                <w:rFonts w:ascii="Arial" w:cs="Arial" w:eastAsia="Arial" w:hAnsi="Arial"/>
                <w:sz w:val="13"/>
                <w:szCs w:val="13"/>
                <w:color w:val="auto"/>
              </w:rPr>
              <w:t>05/18/2018</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2"/>
              </w:rPr>
              <w:t>Chemicals, Plastics and Rubber</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6.75%</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L+550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2,469,992</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2,451,906</w:t>
            </w:r>
          </w:p>
        </w:tc>
        <w:tc>
          <w:tcPr>
            <w:tcW w:w="900" w:type="dxa"/>
            <w:vAlign w:val="bottom"/>
          </w:tcPr>
          <w:p>
            <w:pPr>
              <w:jc w:val="right"/>
              <w:spacing w:after="0"/>
              <w:rPr>
                <w:sz w:val="20"/>
                <w:szCs w:val="20"/>
                <w:color w:val="auto"/>
              </w:rPr>
            </w:pPr>
            <w:r>
              <w:rPr>
                <w:rFonts w:ascii="Arial" w:cs="Arial" w:eastAsia="Arial" w:hAnsi="Arial"/>
                <w:sz w:val="13"/>
                <w:szCs w:val="13"/>
                <w:color w:val="auto"/>
              </w:rPr>
              <w:t>2,482,342</w:t>
            </w:r>
          </w:p>
        </w:tc>
      </w:tr>
      <w:tr>
        <w:trPr>
          <w:trHeight w:val="148"/>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eResearchtechnology, Inc.</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05/02/2018</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2"/>
              </w:rPr>
              <w:t>Healthcare and Pharmaceuticals</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6.00%</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L+475</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2,970,056</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2,955,416</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2,970,056</w:t>
            </w:r>
          </w:p>
        </w:tc>
      </w:tr>
      <w:tr>
        <w:trPr>
          <w:trHeight w:val="148"/>
        </w:trPr>
        <w:tc>
          <w:tcPr>
            <w:tcW w:w="3080" w:type="dxa"/>
            <w:vAlign w:val="bottom"/>
          </w:tcPr>
          <w:p>
            <w:pPr>
              <w:spacing w:after="0"/>
              <w:rPr>
                <w:sz w:val="20"/>
                <w:szCs w:val="20"/>
                <w:color w:val="auto"/>
              </w:rPr>
            </w:pPr>
            <w:r>
              <w:rPr>
                <w:rFonts w:ascii="Arial" w:cs="Arial" w:eastAsia="Arial" w:hAnsi="Arial"/>
                <w:sz w:val="13"/>
                <w:szCs w:val="13"/>
                <w:color w:val="auto"/>
              </w:rPr>
              <w:t>FHC Health Systems, Inc.</w:t>
            </w:r>
          </w:p>
        </w:tc>
        <w:tc>
          <w:tcPr>
            <w:tcW w:w="1140" w:type="dxa"/>
            <w:vAlign w:val="bottom"/>
          </w:tcPr>
          <w:p>
            <w:pPr>
              <w:ind w:left="420"/>
              <w:spacing w:after="0"/>
              <w:rPr>
                <w:sz w:val="20"/>
                <w:szCs w:val="20"/>
                <w:color w:val="auto"/>
              </w:rPr>
            </w:pPr>
            <w:r>
              <w:rPr>
                <w:rFonts w:ascii="Arial" w:cs="Arial" w:eastAsia="Arial" w:hAnsi="Arial"/>
                <w:sz w:val="13"/>
                <w:szCs w:val="13"/>
                <w:color w:val="auto"/>
              </w:rPr>
              <w:t>01/09/2018</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2"/>
              </w:rPr>
              <w:t>Healthcare and Pharmaceuticals</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5.75%</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L+475</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4,937,500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4,890,024</w:t>
            </w:r>
          </w:p>
        </w:tc>
        <w:tc>
          <w:tcPr>
            <w:tcW w:w="900" w:type="dxa"/>
            <w:vAlign w:val="bottom"/>
          </w:tcPr>
          <w:p>
            <w:pPr>
              <w:jc w:val="right"/>
              <w:spacing w:after="0"/>
              <w:rPr>
                <w:sz w:val="20"/>
                <w:szCs w:val="20"/>
                <w:color w:val="auto"/>
              </w:rPr>
            </w:pPr>
            <w:r>
              <w:rPr>
                <w:rFonts w:ascii="Arial" w:cs="Arial" w:eastAsia="Arial" w:hAnsi="Arial"/>
                <w:sz w:val="13"/>
                <w:szCs w:val="13"/>
                <w:color w:val="auto"/>
              </w:rPr>
              <w:t>4,962,187</w:t>
            </w:r>
          </w:p>
        </w:tc>
      </w:tr>
      <w:tr>
        <w:trPr>
          <w:trHeight w:val="149"/>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Fishnet Security,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11/30/2017</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5"/>
              </w:rPr>
              <w:t>High Tech Industries</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6.25%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L+500</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3,647,438</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3,623,608</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3,632,228</w:t>
            </w:r>
          </w:p>
        </w:tc>
      </w:tr>
      <w:tr>
        <w:trPr>
          <w:trHeight w:val="138"/>
        </w:trPr>
        <w:tc>
          <w:tcPr>
            <w:tcW w:w="3080" w:type="dxa"/>
            <w:vAlign w:val="bottom"/>
          </w:tcPr>
          <w:p>
            <w:pPr>
              <w:spacing w:after="0" w:line="138" w:lineRule="exact"/>
              <w:rPr>
                <w:sz w:val="20"/>
                <w:szCs w:val="20"/>
                <w:color w:val="auto"/>
              </w:rPr>
            </w:pPr>
            <w:r>
              <w:rPr>
                <w:rFonts w:ascii="Arial" w:cs="Arial" w:eastAsia="Arial" w:hAnsi="Arial"/>
                <w:sz w:val="13"/>
                <w:szCs w:val="13"/>
                <w:color w:val="auto"/>
              </w:rPr>
              <w:t>Granite Broadcasting Corporation</w:t>
            </w:r>
          </w:p>
        </w:tc>
        <w:tc>
          <w:tcPr>
            <w:tcW w:w="1140" w:type="dxa"/>
            <w:vAlign w:val="bottom"/>
          </w:tcPr>
          <w:p>
            <w:pPr>
              <w:ind w:left="420"/>
              <w:spacing w:after="0" w:line="138" w:lineRule="exact"/>
              <w:rPr>
                <w:sz w:val="20"/>
                <w:szCs w:val="20"/>
                <w:color w:val="auto"/>
              </w:rPr>
            </w:pPr>
            <w:r>
              <w:rPr>
                <w:rFonts w:ascii="Arial" w:cs="Arial" w:eastAsia="Arial" w:hAnsi="Arial"/>
                <w:sz w:val="13"/>
                <w:szCs w:val="13"/>
                <w:color w:val="auto"/>
              </w:rPr>
              <w:t>05/23/2018</w:t>
            </w:r>
          </w:p>
        </w:tc>
        <w:tc>
          <w:tcPr>
            <w:tcW w:w="2080" w:type="dxa"/>
            <w:vAlign w:val="bottom"/>
          </w:tcPr>
          <w:p>
            <w:pPr>
              <w:jc w:val="center"/>
              <w:ind w:right="13"/>
              <w:spacing w:after="0" w:line="138" w:lineRule="exact"/>
              <w:rPr>
                <w:sz w:val="20"/>
                <w:szCs w:val="20"/>
                <w:color w:val="auto"/>
              </w:rPr>
            </w:pPr>
            <w:r>
              <w:rPr>
                <w:rFonts w:ascii="Arial" w:cs="Arial" w:eastAsia="Arial" w:hAnsi="Arial"/>
                <w:sz w:val="13"/>
                <w:szCs w:val="13"/>
                <w:color w:val="auto"/>
                <w:w w:val="94"/>
              </w:rPr>
              <w:t>Media: Broadcasting and</w:t>
            </w:r>
          </w:p>
        </w:tc>
        <w:tc>
          <w:tcPr>
            <w:tcW w:w="1140" w:type="dxa"/>
            <w:vAlign w:val="bottom"/>
          </w:tcPr>
          <w:p>
            <w:pPr>
              <w:jc w:val="right"/>
              <w:ind w:right="193"/>
              <w:spacing w:after="0" w:line="138" w:lineRule="exact"/>
              <w:rPr>
                <w:sz w:val="20"/>
                <w:szCs w:val="20"/>
                <w:color w:val="auto"/>
              </w:rPr>
            </w:pPr>
            <w:r>
              <w:rPr>
                <w:rFonts w:ascii="Arial" w:cs="Arial" w:eastAsia="Arial" w:hAnsi="Arial"/>
                <w:sz w:val="13"/>
                <w:szCs w:val="13"/>
                <w:color w:val="auto"/>
              </w:rPr>
              <w:t>6.75%</w:t>
            </w:r>
          </w:p>
        </w:tc>
        <w:tc>
          <w:tcPr>
            <w:tcW w:w="1100" w:type="dxa"/>
            <w:vAlign w:val="bottom"/>
          </w:tcPr>
          <w:p>
            <w:pPr>
              <w:jc w:val="right"/>
              <w:ind w:right="113"/>
              <w:spacing w:after="0" w:line="138" w:lineRule="exact"/>
              <w:rPr>
                <w:sz w:val="20"/>
                <w:szCs w:val="20"/>
                <w:color w:val="auto"/>
              </w:rPr>
            </w:pPr>
            <w:r>
              <w:rPr>
                <w:rFonts w:ascii="Arial" w:cs="Arial" w:eastAsia="Arial" w:hAnsi="Arial"/>
                <w:sz w:val="13"/>
                <w:szCs w:val="13"/>
                <w:color w:val="auto"/>
              </w:rPr>
              <w:t>L+550</w:t>
            </w:r>
          </w:p>
        </w:tc>
        <w:tc>
          <w:tcPr>
            <w:tcW w:w="8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2,985,000</w:t>
            </w:r>
          </w:p>
        </w:tc>
        <w:tc>
          <w:tcPr>
            <w:tcW w:w="200" w:type="dxa"/>
            <w:vAlign w:val="bottom"/>
          </w:tcPr>
          <w:p>
            <w:pPr>
              <w:spacing w:after="0"/>
              <w:rPr>
                <w:sz w:val="11"/>
                <w:szCs w:val="11"/>
                <w:color w:val="auto"/>
              </w:rPr>
            </w:pPr>
          </w:p>
        </w:tc>
        <w:tc>
          <w:tcPr>
            <w:tcW w:w="7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2,978,216</w:t>
            </w:r>
          </w:p>
        </w:tc>
        <w:tc>
          <w:tcPr>
            <w:tcW w:w="900" w:type="dxa"/>
            <w:vAlign w:val="bottom"/>
          </w:tcPr>
          <w:p>
            <w:pPr>
              <w:jc w:val="right"/>
              <w:spacing w:after="0" w:line="138" w:lineRule="exact"/>
              <w:rPr>
                <w:sz w:val="20"/>
                <w:szCs w:val="20"/>
                <w:color w:val="auto"/>
              </w:rPr>
            </w:pPr>
            <w:r>
              <w:rPr>
                <w:rFonts w:ascii="Arial" w:cs="Arial" w:eastAsia="Arial" w:hAnsi="Arial"/>
                <w:sz w:val="13"/>
                <w:szCs w:val="13"/>
                <w:color w:val="auto"/>
              </w:rPr>
              <w:t>2,987,478</w:t>
            </w:r>
          </w:p>
        </w:tc>
      </w:tr>
      <w:tr>
        <w:trPr>
          <w:trHeight w:val="159"/>
        </w:trPr>
        <w:tc>
          <w:tcPr>
            <w:tcW w:w="3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80" w:type="dxa"/>
            <w:vAlign w:val="bottom"/>
          </w:tcPr>
          <w:p>
            <w:pPr>
              <w:jc w:val="center"/>
              <w:ind w:right="13"/>
              <w:spacing w:after="0"/>
              <w:rPr>
                <w:sz w:val="20"/>
                <w:szCs w:val="20"/>
                <w:color w:val="auto"/>
              </w:rPr>
            </w:pPr>
            <w:r>
              <w:rPr>
                <w:rFonts w:ascii="Arial" w:cs="Arial" w:eastAsia="Arial" w:hAnsi="Arial"/>
                <w:sz w:val="13"/>
                <w:szCs w:val="13"/>
                <w:color w:val="auto"/>
                <w:w w:val="95"/>
              </w:rPr>
              <w:t>Subscription</w:t>
            </w: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09/02/2019</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4"/>
              </w:rPr>
              <w:t>Hotel, Gaming and Leisure</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9.63%</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3,000,000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3,300,000</w:t>
            </w:r>
          </w:p>
        </w:tc>
      </w:tr>
      <w:tr>
        <w:trPr>
          <w:trHeight w:val="148"/>
        </w:trPr>
        <w:tc>
          <w:tcPr>
            <w:tcW w:w="3080" w:type="dxa"/>
            <w:vAlign w:val="bottom"/>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w:t>
            </w:r>
          </w:p>
        </w:tc>
        <w:tc>
          <w:tcPr>
            <w:tcW w:w="1140" w:type="dxa"/>
            <w:vAlign w:val="bottom"/>
          </w:tcPr>
          <w:p>
            <w:pPr>
              <w:ind w:left="420"/>
              <w:spacing w:after="0"/>
              <w:rPr>
                <w:sz w:val="20"/>
                <w:szCs w:val="20"/>
                <w:color w:val="auto"/>
              </w:rPr>
            </w:pPr>
            <w:r>
              <w:rPr>
                <w:rFonts w:ascii="Arial" w:cs="Arial" w:eastAsia="Arial" w:hAnsi="Arial"/>
                <w:sz w:val="13"/>
                <w:szCs w:val="13"/>
                <w:color w:val="auto"/>
              </w:rPr>
              <w:t>05/27/2016</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6"/>
              </w:rPr>
              <w:t>Environmental Industries</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8.99%</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L+750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2,934,372</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2,926,116</w:t>
            </w:r>
          </w:p>
        </w:tc>
        <w:tc>
          <w:tcPr>
            <w:tcW w:w="900" w:type="dxa"/>
            <w:vAlign w:val="bottom"/>
          </w:tcPr>
          <w:p>
            <w:pPr>
              <w:jc w:val="right"/>
              <w:spacing w:after="0"/>
              <w:rPr>
                <w:sz w:val="20"/>
                <w:szCs w:val="20"/>
                <w:color w:val="auto"/>
              </w:rPr>
            </w:pPr>
            <w:r>
              <w:rPr>
                <w:rFonts w:ascii="Arial" w:cs="Arial" w:eastAsia="Arial" w:hAnsi="Arial"/>
                <w:sz w:val="13"/>
                <w:szCs w:val="13"/>
                <w:color w:val="auto"/>
              </w:rPr>
              <w:t>2,567,575</w:t>
            </w: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 (10)</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10/31/2013</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6"/>
              </w:rPr>
              <w:t>Environmental Industries</w:t>
            </w:r>
          </w:p>
        </w:tc>
        <w:tc>
          <w:tcPr>
            <w:tcW w:w="114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175,657</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175,657</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153,700</w:t>
            </w:r>
          </w:p>
        </w:tc>
      </w:tr>
      <w:tr>
        <w:trPr>
          <w:trHeight w:val="148"/>
        </w:trPr>
        <w:tc>
          <w:tcPr>
            <w:tcW w:w="3080" w:type="dxa"/>
            <w:vAlign w:val="bottom"/>
          </w:tcPr>
          <w:p>
            <w:pPr>
              <w:spacing w:after="0" w:line="149" w:lineRule="exact"/>
              <w:rPr>
                <w:sz w:val="20"/>
                <w:szCs w:val="20"/>
                <w:color w:val="auto"/>
              </w:rPr>
            </w:pPr>
            <w:r>
              <w:rPr>
                <w:rFonts w:ascii="Arial" w:cs="Arial" w:eastAsia="Arial" w:hAnsi="Arial"/>
                <w:sz w:val="11"/>
                <w:szCs w:val="11"/>
                <w:color w:val="auto"/>
              </w:rPr>
              <w:t xml:space="preserve">Help/Systems Holdings, Inc. </w:t>
            </w:r>
            <w:r>
              <w:rPr>
                <w:rFonts w:ascii="Arial" w:cs="Arial" w:eastAsia="Arial" w:hAnsi="Arial"/>
                <w:sz w:val="17"/>
                <w:szCs w:val="17"/>
                <w:color w:val="auto"/>
                <w:vertAlign w:val="superscript"/>
              </w:rPr>
              <w:t>(8)</w:t>
            </w:r>
          </w:p>
        </w:tc>
        <w:tc>
          <w:tcPr>
            <w:tcW w:w="1140" w:type="dxa"/>
            <w:vAlign w:val="bottom"/>
          </w:tcPr>
          <w:p>
            <w:pPr>
              <w:ind w:left="420"/>
              <w:spacing w:after="0"/>
              <w:rPr>
                <w:sz w:val="20"/>
                <w:szCs w:val="20"/>
                <w:color w:val="auto"/>
              </w:rPr>
            </w:pPr>
            <w:r>
              <w:rPr>
                <w:rFonts w:ascii="Arial" w:cs="Arial" w:eastAsia="Arial" w:hAnsi="Arial"/>
                <w:sz w:val="13"/>
                <w:szCs w:val="13"/>
                <w:color w:val="auto"/>
              </w:rPr>
              <w:t>06/28/2019</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5"/>
              </w:rPr>
              <w:t>High Tech Industries</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5.50%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L+450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5,000,000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4,952,010</w:t>
            </w:r>
          </w:p>
        </w:tc>
        <w:tc>
          <w:tcPr>
            <w:tcW w:w="900" w:type="dxa"/>
            <w:vAlign w:val="bottom"/>
          </w:tcPr>
          <w:p>
            <w:pPr>
              <w:jc w:val="right"/>
              <w:spacing w:after="0"/>
              <w:rPr>
                <w:sz w:val="20"/>
                <w:szCs w:val="20"/>
                <w:color w:val="auto"/>
              </w:rPr>
            </w:pPr>
            <w:r>
              <w:rPr>
                <w:rFonts w:ascii="Arial" w:cs="Arial" w:eastAsia="Arial" w:hAnsi="Arial"/>
                <w:sz w:val="13"/>
                <w:szCs w:val="13"/>
                <w:color w:val="auto"/>
              </w:rPr>
              <w:t>4,962,500</w:t>
            </w:r>
          </w:p>
        </w:tc>
      </w:tr>
      <w:tr>
        <w:trPr>
          <w:trHeight w:val="148"/>
        </w:trPr>
        <w:tc>
          <w:tcPr>
            <w:tcW w:w="3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Howard Berger Co. LLC </w:t>
            </w:r>
            <w:r>
              <w:rPr>
                <w:rFonts w:ascii="Arial" w:cs="Arial" w:eastAsia="Arial" w:hAnsi="Arial"/>
                <w:sz w:val="17"/>
                <w:szCs w:val="17"/>
                <w:color w:val="auto"/>
                <w:vertAlign w:val="superscript"/>
              </w:rPr>
              <w:t>(8)</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08/03/2017</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5"/>
              </w:rPr>
              <w:t>Wholesale</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7.00%</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L+575</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2,585,993</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2,555,979</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2,456,693</w:t>
            </w: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140" w:type="dxa"/>
            <w:vAlign w:val="bottom"/>
          </w:tcPr>
          <w:p>
            <w:pPr>
              <w:ind w:left="420"/>
              <w:spacing w:after="0"/>
              <w:rPr>
                <w:sz w:val="20"/>
                <w:szCs w:val="20"/>
                <w:color w:val="auto"/>
              </w:rPr>
            </w:pPr>
            <w:r>
              <w:rPr>
                <w:rFonts w:ascii="Arial" w:cs="Arial" w:eastAsia="Arial" w:hAnsi="Arial"/>
                <w:sz w:val="13"/>
                <w:szCs w:val="13"/>
                <w:color w:val="auto"/>
              </w:rPr>
              <w:t>03/30/2017</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rPr>
              <w:t>Automotive</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11.50%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2,000,000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1,969,758</w:t>
            </w:r>
          </w:p>
        </w:tc>
        <w:tc>
          <w:tcPr>
            <w:tcW w:w="900" w:type="dxa"/>
            <w:vAlign w:val="bottom"/>
          </w:tcPr>
          <w:p>
            <w:pPr>
              <w:jc w:val="right"/>
              <w:spacing w:after="0"/>
              <w:rPr>
                <w:sz w:val="20"/>
                <w:szCs w:val="20"/>
                <w:color w:val="auto"/>
              </w:rPr>
            </w:pPr>
            <w:r>
              <w:rPr>
                <w:rFonts w:ascii="Arial" w:cs="Arial" w:eastAsia="Arial" w:hAnsi="Arial"/>
                <w:sz w:val="13"/>
                <w:szCs w:val="13"/>
                <w:color w:val="auto"/>
              </w:rPr>
              <w:t>2,155,000</w:t>
            </w:r>
          </w:p>
        </w:tc>
      </w:tr>
      <w:tr>
        <w:trPr>
          <w:trHeight w:val="148"/>
        </w:trPr>
        <w:tc>
          <w:tcPr>
            <w:tcW w:w="3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iEnergizer Limited and Aptara, Inc. </w:t>
            </w:r>
            <w:r>
              <w:rPr>
                <w:rFonts w:ascii="Arial" w:cs="Arial" w:eastAsia="Arial" w:hAnsi="Arial"/>
                <w:sz w:val="17"/>
                <w:szCs w:val="17"/>
                <w:color w:val="auto"/>
                <w:vertAlign w:val="superscript"/>
              </w:rPr>
              <w:t>(6)</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05/01/2019</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2"/>
              </w:rPr>
              <w:t>Business Services</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7.25%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L+600</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8,775,000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8,632,866</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8,687,250</w:t>
            </w:r>
          </w:p>
        </w:tc>
      </w:tr>
      <w:tr>
        <w:trPr>
          <w:trHeight w:val="148"/>
        </w:trPr>
        <w:tc>
          <w:tcPr>
            <w:tcW w:w="3080" w:type="dxa"/>
            <w:vAlign w:val="bottom"/>
          </w:tcPr>
          <w:p>
            <w:pPr>
              <w:spacing w:after="0"/>
              <w:rPr>
                <w:sz w:val="20"/>
                <w:szCs w:val="20"/>
                <w:color w:val="auto"/>
              </w:rPr>
            </w:pPr>
            <w:r>
              <w:rPr>
                <w:rFonts w:ascii="Arial" w:cs="Arial" w:eastAsia="Arial" w:hAnsi="Arial"/>
                <w:sz w:val="13"/>
                <w:szCs w:val="13"/>
                <w:color w:val="auto"/>
              </w:rPr>
              <w:t>InfuSystem Holdings, Inc.</w:t>
            </w:r>
          </w:p>
        </w:tc>
        <w:tc>
          <w:tcPr>
            <w:tcW w:w="1140" w:type="dxa"/>
            <w:vAlign w:val="bottom"/>
          </w:tcPr>
          <w:p>
            <w:pPr>
              <w:ind w:left="440"/>
              <w:spacing w:after="0"/>
              <w:rPr>
                <w:sz w:val="20"/>
                <w:szCs w:val="20"/>
                <w:color w:val="auto"/>
              </w:rPr>
            </w:pPr>
            <w:r>
              <w:rPr>
                <w:rFonts w:ascii="Arial" w:cs="Arial" w:eastAsia="Arial" w:hAnsi="Arial"/>
                <w:sz w:val="13"/>
                <w:szCs w:val="13"/>
                <w:color w:val="auto"/>
              </w:rPr>
              <w:t>11/30/2016</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2"/>
              </w:rPr>
              <w:t>Healthcare and Pharmaceuticals</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11.95%</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P+625</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2,175,000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2,175,000</w:t>
            </w:r>
          </w:p>
        </w:tc>
        <w:tc>
          <w:tcPr>
            <w:tcW w:w="900" w:type="dxa"/>
            <w:vAlign w:val="bottom"/>
          </w:tcPr>
          <w:p>
            <w:pPr>
              <w:jc w:val="right"/>
              <w:spacing w:after="0"/>
              <w:rPr>
                <w:sz w:val="20"/>
                <w:szCs w:val="20"/>
                <w:color w:val="auto"/>
              </w:rPr>
            </w:pPr>
            <w:r>
              <w:rPr>
                <w:rFonts w:ascii="Arial" w:cs="Arial" w:eastAsia="Arial" w:hAnsi="Arial"/>
                <w:sz w:val="13"/>
                <w:szCs w:val="13"/>
                <w:color w:val="auto"/>
              </w:rPr>
              <w:t>2,195,331</w:t>
            </w:r>
          </w:p>
        </w:tc>
      </w:tr>
      <w:tr>
        <w:trPr>
          <w:trHeight w:val="138"/>
        </w:trPr>
        <w:tc>
          <w:tcPr>
            <w:tcW w:w="308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(8)</w:t>
            </w:r>
          </w:p>
        </w:tc>
        <w:tc>
          <w:tcPr>
            <w:tcW w:w="114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08/07/2014</w:t>
            </w:r>
          </w:p>
        </w:tc>
        <w:tc>
          <w:tcPr>
            <w:tcW w:w="2080" w:type="dxa"/>
            <w:vAlign w:val="bottom"/>
            <w:shd w:val="clear" w:color="auto" w:fill="CCEEFF"/>
          </w:tcPr>
          <w:p>
            <w:pPr>
              <w:jc w:val="center"/>
              <w:ind w:right="33"/>
              <w:spacing w:after="0" w:line="138" w:lineRule="exact"/>
              <w:rPr>
                <w:sz w:val="20"/>
                <w:szCs w:val="20"/>
                <w:color w:val="auto"/>
              </w:rPr>
            </w:pPr>
            <w:r>
              <w:rPr>
                <w:rFonts w:ascii="Arial" w:cs="Arial" w:eastAsia="Arial" w:hAnsi="Arial"/>
                <w:sz w:val="13"/>
                <w:szCs w:val="13"/>
                <w:color w:val="auto"/>
                <w:w w:val="96"/>
              </w:rPr>
              <w:t>Media: Advertising, Printing and</w:t>
            </w:r>
          </w:p>
        </w:tc>
        <w:tc>
          <w:tcPr>
            <w:tcW w:w="1140" w:type="dxa"/>
            <w:vAlign w:val="bottom"/>
            <w:shd w:val="clear" w:color="auto" w:fill="CCEEFF"/>
          </w:tcPr>
          <w:p>
            <w:pPr>
              <w:jc w:val="right"/>
              <w:ind w:right="53"/>
              <w:spacing w:after="0" w:line="138" w:lineRule="exact"/>
              <w:rPr>
                <w:sz w:val="20"/>
                <w:szCs w:val="20"/>
                <w:color w:val="auto"/>
              </w:rPr>
            </w:pPr>
            <w:r>
              <w:rPr>
                <w:rFonts w:ascii="Arial" w:cs="Arial" w:eastAsia="Arial" w:hAnsi="Arial"/>
                <w:sz w:val="10"/>
                <w:szCs w:val="10"/>
                <w:color w:val="auto"/>
              </w:rPr>
              <w:t>3.55%</w:t>
            </w:r>
            <w:r>
              <w:rPr>
                <w:rFonts w:ascii="Arial" w:cs="Arial" w:eastAsia="Arial" w:hAnsi="Arial"/>
                <w:sz w:val="15"/>
                <w:szCs w:val="15"/>
                <w:color w:val="auto"/>
                <w:vertAlign w:val="superscript"/>
              </w:rPr>
              <w:t>(9)</w:t>
            </w:r>
          </w:p>
        </w:tc>
        <w:tc>
          <w:tcPr>
            <w:tcW w:w="110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L+338</w:t>
            </w:r>
          </w:p>
        </w:tc>
        <w:tc>
          <w:tcPr>
            <w:tcW w:w="8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6,836,389</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6,698,584</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5,469,111</w:t>
            </w:r>
          </w:p>
        </w:tc>
      </w:tr>
      <w:tr>
        <w:trPr>
          <w:trHeight w:val="159"/>
        </w:trPr>
        <w:tc>
          <w:tcPr>
            <w:tcW w:w="3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6"/>
              </w:rPr>
              <w:t>Publishing</w:t>
            </w:r>
          </w:p>
        </w:tc>
        <w:tc>
          <w:tcPr>
            <w:tcW w:w="1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3"/>
                <w:szCs w:val="13"/>
                <w:color w:val="auto"/>
              </w:rPr>
              <w:t>Jackson Hewitt Tax Service Inc.</w:t>
            </w:r>
          </w:p>
        </w:tc>
        <w:tc>
          <w:tcPr>
            <w:tcW w:w="1140" w:type="dxa"/>
            <w:vAlign w:val="bottom"/>
          </w:tcPr>
          <w:p>
            <w:pPr>
              <w:ind w:left="420"/>
              <w:spacing w:after="0"/>
              <w:rPr>
                <w:sz w:val="20"/>
                <w:szCs w:val="20"/>
                <w:color w:val="auto"/>
              </w:rPr>
            </w:pPr>
            <w:r>
              <w:rPr>
                <w:rFonts w:ascii="Arial" w:cs="Arial" w:eastAsia="Arial" w:hAnsi="Arial"/>
                <w:sz w:val="13"/>
                <w:szCs w:val="13"/>
                <w:color w:val="auto"/>
              </w:rPr>
              <w:t>10/16/2017</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3"/>
              </w:rPr>
              <w:t>Consumer Services</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10.00%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L+850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5,521,875</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5,406,642</w:t>
            </w:r>
          </w:p>
        </w:tc>
        <w:tc>
          <w:tcPr>
            <w:tcW w:w="900" w:type="dxa"/>
            <w:vAlign w:val="bottom"/>
          </w:tcPr>
          <w:p>
            <w:pPr>
              <w:jc w:val="right"/>
              <w:spacing w:after="0"/>
              <w:rPr>
                <w:sz w:val="20"/>
                <w:szCs w:val="20"/>
                <w:color w:val="auto"/>
              </w:rPr>
            </w:pPr>
            <w:r>
              <w:rPr>
                <w:rFonts w:ascii="Arial" w:cs="Arial" w:eastAsia="Arial" w:hAnsi="Arial"/>
                <w:sz w:val="13"/>
                <w:szCs w:val="13"/>
                <w:color w:val="auto"/>
              </w:rPr>
              <w:t>5,439,047</w:t>
            </w:r>
          </w:p>
        </w:tc>
      </w:tr>
      <w:tr>
        <w:trPr>
          <w:trHeight w:val="148"/>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JHCI Acquisition,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07/11/2019</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3"/>
              </w:rPr>
              <w:t>Transportation: Cargo</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7.00%</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L+575</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1,995,000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1,965,824</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1,981,454</w:t>
            </w:r>
          </w:p>
        </w:tc>
      </w:tr>
      <w:tr>
        <w:trPr>
          <w:trHeight w:val="148"/>
        </w:trPr>
        <w:tc>
          <w:tcPr>
            <w:tcW w:w="3080" w:type="dxa"/>
            <w:vAlign w:val="bottom"/>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(8)</w:t>
            </w:r>
          </w:p>
        </w:tc>
        <w:tc>
          <w:tcPr>
            <w:tcW w:w="1140" w:type="dxa"/>
            <w:vAlign w:val="bottom"/>
          </w:tcPr>
          <w:p>
            <w:pPr>
              <w:ind w:left="420"/>
              <w:spacing w:after="0"/>
              <w:rPr>
                <w:sz w:val="20"/>
                <w:szCs w:val="20"/>
                <w:color w:val="auto"/>
              </w:rPr>
            </w:pPr>
            <w:r>
              <w:rPr>
                <w:rFonts w:ascii="Arial" w:cs="Arial" w:eastAsia="Arial" w:hAnsi="Arial"/>
                <w:sz w:val="13"/>
                <w:szCs w:val="13"/>
                <w:color w:val="auto"/>
              </w:rPr>
              <w:t>08/19/2019</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2"/>
              </w:rPr>
              <w:t>Chemicals, Plastics and Rubber</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10.00%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L+900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6,157,648</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6,034,495</w:t>
            </w:r>
          </w:p>
        </w:tc>
        <w:tc>
          <w:tcPr>
            <w:tcW w:w="900" w:type="dxa"/>
            <w:vAlign w:val="bottom"/>
          </w:tcPr>
          <w:p>
            <w:pPr>
              <w:jc w:val="right"/>
              <w:spacing w:after="0"/>
              <w:rPr>
                <w:sz w:val="20"/>
                <w:szCs w:val="20"/>
                <w:color w:val="auto"/>
              </w:rPr>
            </w:pPr>
            <w:r>
              <w:rPr>
                <w:rFonts w:ascii="Arial" w:cs="Arial" w:eastAsia="Arial" w:hAnsi="Arial"/>
                <w:sz w:val="13"/>
                <w:szCs w:val="13"/>
                <w:color w:val="auto"/>
              </w:rPr>
              <w:t>6,065,283</w:t>
            </w: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17"/>
                <w:szCs w:val="17"/>
                <w:color w:val="auto"/>
                <w:vertAlign w:val="superscript"/>
              </w:rPr>
              <w:t>(8)</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11/30/2018</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2"/>
              </w:rPr>
              <w:t>Healthcare and Pharmaceuticals</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6.50%</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L+525</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5,985,000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5,900,289</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5,865,300</w:t>
            </w:r>
          </w:p>
        </w:tc>
      </w:tr>
      <w:tr>
        <w:trPr>
          <w:trHeight w:val="148"/>
        </w:trPr>
        <w:tc>
          <w:tcPr>
            <w:tcW w:w="3080" w:type="dxa"/>
            <w:vAlign w:val="bottom"/>
          </w:tcPr>
          <w:p>
            <w:pPr>
              <w:spacing w:after="0"/>
              <w:rPr>
                <w:sz w:val="20"/>
                <w:szCs w:val="20"/>
                <w:color w:val="auto"/>
              </w:rPr>
            </w:pPr>
            <w:r>
              <w:rPr>
                <w:rFonts w:ascii="Arial" w:cs="Arial" w:eastAsia="Arial" w:hAnsi="Arial"/>
                <w:sz w:val="13"/>
                <w:szCs w:val="13"/>
                <w:color w:val="auto"/>
              </w:rPr>
              <w:t>Meritas Schools Holdings, LLC</w:t>
            </w:r>
          </w:p>
        </w:tc>
        <w:tc>
          <w:tcPr>
            <w:tcW w:w="1140" w:type="dxa"/>
            <w:vAlign w:val="bottom"/>
          </w:tcPr>
          <w:p>
            <w:pPr>
              <w:ind w:left="420"/>
              <w:spacing w:after="0"/>
              <w:rPr>
                <w:sz w:val="20"/>
                <w:szCs w:val="20"/>
                <w:color w:val="auto"/>
              </w:rPr>
            </w:pPr>
            <w:r>
              <w:rPr>
                <w:rFonts w:ascii="Arial" w:cs="Arial" w:eastAsia="Arial" w:hAnsi="Arial"/>
                <w:sz w:val="13"/>
                <w:szCs w:val="13"/>
                <w:color w:val="auto"/>
              </w:rPr>
              <w:t>06/25/2019</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3"/>
              </w:rPr>
              <w:t>Consumer Services</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7.00%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L+575</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2,992,500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2,963,605</w:t>
            </w:r>
          </w:p>
        </w:tc>
        <w:tc>
          <w:tcPr>
            <w:tcW w:w="900" w:type="dxa"/>
            <w:vAlign w:val="bottom"/>
          </w:tcPr>
          <w:p>
            <w:pPr>
              <w:jc w:val="right"/>
              <w:spacing w:after="0"/>
              <w:rPr>
                <w:sz w:val="20"/>
                <w:szCs w:val="20"/>
                <w:color w:val="auto"/>
              </w:rPr>
            </w:pPr>
            <w:r>
              <w:rPr>
                <w:rFonts w:ascii="Arial" w:cs="Arial" w:eastAsia="Arial" w:hAnsi="Arial"/>
                <w:sz w:val="13"/>
                <w:szCs w:val="13"/>
                <w:color w:val="auto"/>
              </w:rPr>
              <w:t>2,987,503</w:t>
            </w:r>
          </w:p>
        </w:tc>
      </w:tr>
      <w:tr>
        <w:trPr>
          <w:trHeight w:val="148"/>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Milk Specialties Company</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11/09/2018</w:t>
            </w:r>
          </w:p>
        </w:tc>
        <w:tc>
          <w:tcPr>
            <w:tcW w:w="2080" w:type="dxa"/>
            <w:vAlign w:val="bottom"/>
            <w:shd w:val="clear" w:color="auto" w:fill="CCEEFF"/>
          </w:tcPr>
          <w:p>
            <w:pPr>
              <w:jc w:val="center"/>
              <w:ind w:right="13"/>
              <w:spacing w:after="0"/>
              <w:rPr>
                <w:sz w:val="20"/>
                <w:szCs w:val="20"/>
                <w:color w:val="auto"/>
              </w:rPr>
            </w:pPr>
            <w:r>
              <w:rPr>
                <w:rFonts w:ascii="Arial" w:cs="Arial" w:eastAsia="Arial" w:hAnsi="Arial"/>
                <w:sz w:val="13"/>
                <w:szCs w:val="13"/>
                <w:color w:val="auto"/>
                <w:w w:val="94"/>
              </w:rPr>
              <w:t>Consumer Goods: Non-Durable</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7.00%</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L+575</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3,383,000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3,354,728</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3,374,542</w:t>
            </w: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3220" w:type="dxa"/>
            <w:vAlign w:val="bottom"/>
            <w:gridSpan w:val="2"/>
          </w:tcPr>
          <w:p>
            <w:pPr>
              <w:ind w:left="420"/>
              <w:spacing w:after="0"/>
              <w:rPr>
                <w:sz w:val="20"/>
                <w:szCs w:val="20"/>
                <w:color w:val="auto"/>
              </w:rPr>
            </w:pPr>
            <w:r>
              <w:rPr>
                <w:rFonts w:ascii="Arial" w:cs="Arial" w:eastAsia="Arial" w:hAnsi="Arial"/>
                <w:sz w:val="13"/>
                <w:szCs w:val="13"/>
                <w:color w:val="auto"/>
              </w:rPr>
              <w:t>05/07/2018  Media: Diversified and Production</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7.00%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L+550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2,348,510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2,344,859</w:t>
            </w:r>
          </w:p>
        </w:tc>
        <w:tc>
          <w:tcPr>
            <w:tcW w:w="900" w:type="dxa"/>
            <w:vAlign w:val="bottom"/>
          </w:tcPr>
          <w:p>
            <w:pPr>
              <w:jc w:val="right"/>
              <w:spacing w:after="0"/>
              <w:rPr>
                <w:sz w:val="20"/>
                <w:szCs w:val="20"/>
                <w:color w:val="auto"/>
              </w:rPr>
            </w:pPr>
            <w:r>
              <w:rPr>
                <w:rFonts w:ascii="Arial" w:cs="Arial" w:eastAsia="Arial" w:hAnsi="Arial"/>
                <w:sz w:val="13"/>
                <w:szCs w:val="13"/>
                <w:color w:val="auto"/>
              </w:rPr>
              <w:t>2,345,574</w:t>
            </w:r>
          </w:p>
        </w:tc>
      </w:tr>
      <w:tr>
        <w:trPr>
          <w:trHeight w:val="138"/>
        </w:trPr>
        <w:tc>
          <w:tcPr>
            <w:tcW w:w="3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NAB Holdings, LLC</w:t>
            </w:r>
          </w:p>
        </w:tc>
        <w:tc>
          <w:tcPr>
            <w:tcW w:w="32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3"/>
                <w:szCs w:val="13"/>
                <w:color w:val="auto"/>
              </w:rPr>
              <w:t>04/24/2018   Banking, Finance, Insurance and</w:t>
            </w:r>
          </w:p>
        </w:tc>
        <w:tc>
          <w:tcPr>
            <w:tcW w:w="114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3"/>
                <w:szCs w:val="13"/>
                <w:color w:val="auto"/>
              </w:rPr>
              <w:t>7.00%</w:t>
            </w:r>
          </w:p>
        </w:tc>
        <w:tc>
          <w:tcPr>
            <w:tcW w:w="110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L+550</w:t>
            </w:r>
          </w:p>
        </w:tc>
        <w:tc>
          <w:tcPr>
            <w:tcW w:w="8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937,500</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926,724</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941,016</w:t>
            </w:r>
          </w:p>
        </w:tc>
      </w:tr>
      <w:tr>
        <w:trPr>
          <w:trHeight w:val="159"/>
        </w:trPr>
        <w:tc>
          <w:tcPr>
            <w:tcW w:w="3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2"/>
              </w:rPr>
              <w:t>Real Estate</w:t>
            </w:r>
          </w:p>
        </w:tc>
        <w:tc>
          <w:tcPr>
            <w:tcW w:w="1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3"/>
                <w:szCs w:val="13"/>
                <w:color w:val="auto"/>
              </w:rPr>
              <w:t>National Surgical Hospitals, Inc.</w:t>
            </w:r>
          </w:p>
        </w:tc>
        <w:tc>
          <w:tcPr>
            <w:tcW w:w="1140" w:type="dxa"/>
            <w:vAlign w:val="bottom"/>
          </w:tcPr>
          <w:p>
            <w:pPr>
              <w:ind w:left="420"/>
              <w:spacing w:after="0"/>
              <w:rPr>
                <w:sz w:val="20"/>
                <w:szCs w:val="20"/>
                <w:color w:val="auto"/>
              </w:rPr>
            </w:pPr>
            <w:r>
              <w:rPr>
                <w:rFonts w:ascii="Arial" w:cs="Arial" w:eastAsia="Arial" w:hAnsi="Arial"/>
                <w:sz w:val="13"/>
                <w:szCs w:val="13"/>
                <w:color w:val="auto"/>
              </w:rPr>
              <w:t>08/01/2019</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2"/>
              </w:rPr>
              <w:t>Healthcare and Pharmaceuticals</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5.75%</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L+450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6,500,000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6,436,491</w:t>
            </w:r>
          </w:p>
        </w:tc>
        <w:tc>
          <w:tcPr>
            <w:tcW w:w="900" w:type="dxa"/>
            <w:vAlign w:val="bottom"/>
          </w:tcPr>
          <w:p>
            <w:pPr>
              <w:jc w:val="right"/>
              <w:spacing w:after="0"/>
              <w:rPr>
                <w:sz w:val="20"/>
                <w:szCs w:val="20"/>
                <w:color w:val="auto"/>
              </w:rPr>
            </w:pPr>
            <w:r>
              <w:rPr>
                <w:rFonts w:ascii="Arial" w:cs="Arial" w:eastAsia="Arial" w:hAnsi="Arial"/>
                <w:sz w:val="13"/>
                <w:szCs w:val="13"/>
                <w:color w:val="auto"/>
              </w:rPr>
              <w:t>6,475,625</w:t>
            </w:r>
          </w:p>
        </w:tc>
      </w:tr>
      <w:tr>
        <w:trPr>
          <w:trHeight w:val="148"/>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New Trident HoldCorp, Inc.</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07/31/2019</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2"/>
              </w:rPr>
              <w:t>Healthcare and Pharmaceuticals</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6.50%</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L+525</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9,903,508</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9,975,000</w:t>
            </w:r>
          </w:p>
        </w:tc>
      </w:tr>
      <w:tr>
        <w:trPr>
          <w:trHeight w:val="149"/>
        </w:trPr>
        <w:tc>
          <w:tcPr>
            <w:tcW w:w="3080" w:type="dxa"/>
            <w:vAlign w:val="bottom"/>
          </w:tcPr>
          <w:p>
            <w:pPr>
              <w:spacing w:after="0"/>
              <w:rPr>
                <w:sz w:val="20"/>
                <w:szCs w:val="20"/>
                <w:color w:val="auto"/>
              </w:rPr>
            </w:pPr>
            <w:r>
              <w:rPr>
                <w:rFonts w:ascii="Arial" w:cs="Arial" w:eastAsia="Arial" w:hAnsi="Arial"/>
                <w:sz w:val="13"/>
                <w:szCs w:val="13"/>
                <w:color w:val="auto"/>
              </w:rPr>
              <w:t>Northfield Park Associates LLC</w:t>
            </w:r>
          </w:p>
        </w:tc>
        <w:tc>
          <w:tcPr>
            <w:tcW w:w="1140" w:type="dxa"/>
            <w:vAlign w:val="bottom"/>
          </w:tcPr>
          <w:p>
            <w:pPr>
              <w:ind w:left="420"/>
              <w:spacing w:after="0"/>
              <w:rPr>
                <w:sz w:val="20"/>
                <w:szCs w:val="20"/>
                <w:color w:val="auto"/>
              </w:rPr>
            </w:pPr>
            <w:r>
              <w:rPr>
                <w:rFonts w:ascii="Arial" w:cs="Arial" w:eastAsia="Arial" w:hAnsi="Arial"/>
                <w:sz w:val="13"/>
                <w:szCs w:val="13"/>
                <w:color w:val="auto"/>
              </w:rPr>
              <w:t>12/19/2018</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4"/>
              </w:rPr>
              <w:t>Hotel, Gaming and Leisure</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9.00%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L+775</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4,500,000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4,421,591</w:t>
            </w:r>
          </w:p>
        </w:tc>
        <w:tc>
          <w:tcPr>
            <w:tcW w:w="900" w:type="dxa"/>
            <w:vAlign w:val="bottom"/>
          </w:tcPr>
          <w:p>
            <w:pPr>
              <w:jc w:val="right"/>
              <w:spacing w:after="0"/>
              <w:rPr>
                <w:sz w:val="20"/>
                <w:szCs w:val="20"/>
                <w:color w:val="auto"/>
              </w:rPr>
            </w:pPr>
            <w:r>
              <w:rPr>
                <w:rFonts w:ascii="Arial" w:cs="Arial" w:eastAsia="Arial" w:hAnsi="Arial"/>
                <w:sz w:val="13"/>
                <w:szCs w:val="13"/>
                <w:color w:val="auto"/>
              </w:rPr>
              <w:t>4,635,000</w:t>
            </w:r>
          </w:p>
        </w:tc>
      </w:tr>
      <w:tr>
        <w:trPr>
          <w:trHeight w:val="148"/>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OCI Beaumont LLC, Term B-1 Loan</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08/20/2019</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2"/>
              </w:rPr>
              <w:t>Chemicals, Plastics and Rubber</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6.25%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L+500</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3,125,000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3,079,073</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3,125,000</w:t>
            </w:r>
          </w:p>
        </w:tc>
      </w:tr>
      <w:tr>
        <w:trPr>
          <w:trHeight w:val="148"/>
        </w:trPr>
        <w:tc>
          <w:tcPr>
            <w:tcW w:w="3080" w:type="dxa"/>
            <w:vAlign w:val="bottom"/>
          </w:tcPr>
          <w:p>
            <w:pPr>
              <w:spacing w:after="0"/>
              <w:rPr>
                <w:sz w:val="20"/>
                <w:szCs w:val="20"/>
                <w:color w:val="auto"/>
              </w:rPr>
            </w:pPr>
            <w:r>
              <w:rPr>
                <w:rFonts w:ascii="Arial" w:cs="Arial" w:eastAsia="Arial" w:hAnsi="Arial"/>
                <w:sz w:val="13"/>
                <w:szCs w:val="13"/>
                <w:color w:val="auto"/>
              </w:rPr>
              <w:t>OCI Beaumont LLC, Term B-2 Loan</w:t>
            </w:r>
          </w:p>
        </w:tc>
        <w:tc>
          <w:tcPr>
            <w:tcW w:w="1140" w:type="dxa"/>
            <w:vAlign w:val="bottom"/>
          </w:tcPr>
          <w:p>
            <w:pPr>
              <w:ind w:left="420"/>
              <w:spacing w:after="0"/>
              <w:rPr>
                <w:sz w:val="20"/>
                <w:szCs w:val="20"/>
                <w:color w:val="auto"/>
              </w:rPr>
            </w:pPr>
            <w:r>
              <w:rPr>
                <w:rFonts w:ascii="Arial" w:cs="Arial" w:eastAsia="Arial" w:hAnsi="Arial"/>
                <w:sz w:val="13"/>
                <w:szCs w:val="13"/>
                <w:color w:val="auto"/>
              </w:rPr>
              <w:t>08/20/2019</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2"/>
              </w:rPr>
              <w:t>Chemicals, Plastics and Rubber</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6.25%</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L+500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5,875,000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5,788,657</w:t>
            </w:r>
          </w:p>
        </w:tc>
        <w:tc>
          <w:tcPr>
            <w:tcW w:w="900" w:type="dxa"/>
            <w:vAlign w:val="bottom"/>
          </w:tcPr>
          <w:p>
            <w:pPr>
              <w:jc w:val="right"/>
              <w:spacing w:after="0"/>
              <w:rPr>
                <w:sz w:val="20"/>
                <w:szCs w:val="20"/>
                <w:color w:val="auto"/>
              </w:rPr>
            </w:pPr>
            <w:r>
              <w:rPr>
                <w:rFonts w:ascii="Arial" w:cs="Arial" w:eastAsia="Arial" w:hAnsi="Arial"/>
                <w:sz w:val="13"/>
                <w:szCs w:val="13"/>
                <w:color w:val="auto"/>
              </w:rPr>
              <w:t>5,875,000</w:t>
            </w:r>
          </w:p>
        </w:tc>
      </w:tr>
      <w:tr>
        <w:trPr>
          <w:trHeight w:val="149"/>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Orbitz Worldwide, Inc., Term Loan C</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03/25/2019</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4"/>
              </w:rPr>
              <w:t>Transportation: Consumer</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5.75%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L+475</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3,990,000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3,990,000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4,003,287</w:t>
            </w:r>
          </w:p>
        </w:tc>
      </w:tr>
      <w:tr>
        <w:trPr>
          <w:trHeight w:val="148"/>
        </w:trPr>
        <w:tc>
          <w:tcPr>
            <w:tcW w:w="3080" w:type="dxa"/>
            <w:vAlign w:val="bottom"/>
          </w:tcPr>
          <w:p>
            <w:pPr>
              <w:spacing w:after="0"/>
              <w:rPr>
                <w:sz w:val="20"/>
                <w:szCs w:val="20"/>
                <w:color w:val="auto"/>
              </w:rPr>
            </w:pPr>
            <w:r>
              <w:rPr>
                <w:rFonts w:ascii="Arial" w:cs="Arial" w:eastAsia="Arial" w:hAnsi="Arial"/>
                <w:sz w:val="13"/>
                <w:szCs w:val="13"/>
                <w:color w:val="auto"/>
              </w:rPr>
              <w:t>Packaging Coordinators, Inc.</w:t>
            </w:r>
          </w:p>
        </w:tc>
        <w:tc>
          <w:tcPr>
            <w:tcW w:w="1140" w:type="dxa"/>
            <w:vAlign w:val="bottom"/>
          </w:tcPr>
          <w:p>
            <w:pPr>
              <w:ind w:left="440"/>
              <w:spacing w:after="0"/>
              <w:rPr>
                <w:sz w:val="20"/>
                <w:szCs w:val="20"/>
                <w:color w:val="auto"/>
              </w:rPr>
            </w:pPr>
            <w:r>
              <w:rPr>
                <w:rFonts w:ascii="Arial" w:cs="Arial" w:eastAsia="Arial" w:hAnsi="Arial"/>
                <w:sz w:val="13"/>
                <w:szCs w:val="13"/>
                <w:color w:val="auto"/>
              </w:rPr>
              <w:t>05/11/2020</w:t>
            </w:r>
          </w:p>
        </w:tc>
        <w:tc>
          <w:tcPr>
            <w:tcW w:w="2080" w:type="dxa"/>
            <w:vAlign w:val="bottom"/>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5.50%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L+425</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2,500,000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2,488,883</w:t>
            </w:r>
          </w:p>
        </w:tc>
        <w:tc>
          <w:tcPr>
            <w:tcW w:w="900" w:type="dxa"/>
            <w:vAlign w:val="bottom"/>
          </w:tcPr>
          <w:p>
            <w:pPr>
              <w:jc w:val="right"/>
              <w:spacing w:after="0"/>
              <w:rPr>
                <w:sz w:val="20"/>
                <w:szCs w:val="20"/>
                <w:color w:val="auto"/>
              </w:rPr>
            </w:pPr>
            <w:r>
              <w:rPr>
                <w:rFonts w:ascii="Arial" w:cs="Arial" w:eastAsia="Arial" w:hAnsi="Arial"/>
                <w:sz w:val="13"/>
                <w:szCs w:val="13"/>
                <w:color w:val="auto"/>
              </w:rPr>
              <w:t>2,500,000</w:t>
            </w:r>
          </w:p>
        </w:tc>
      </w:tr>
      <w:tr>
        <w:trPr>
          <w:trHeight w:val="148"/>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Paladin Brands Holding, Inc.</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08/16/2019</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5"/>
              </w:rPr>
              <w:t>Capital Equipment</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6.75%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L+550</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2,956,071</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2,964,390</w:t>
            </w:r>
          </w:p>
        </w:tc>
      </w:tr>
      <w:tr>
        <w:trPr>
          <w:trHeight w:val="149"/>
        </w:trPr>
        <w:tc>
          <w:tcPr>
            <w:tcW w:w="3080" w:type="dxa"/>
            <w:vAlign w:val="bottom"/>
          </w:tcPr>
          <w:p>
            <w:pPr>
              <w:spacing w:after="0"/>
              <w:rPr>
                <w:sz w:val="20"/>
                <w:szCs w:val="20"/>
                <w:color w:val="auto"/>
              </w:rPr>
            </w:pPr>
            <w:r>
              <w:rPr>
                <w:rFonts w:ascii="Arial" w:cs="Arial" w:eastAsia="Arial" w:hAnsi="Arial"/>
                <w:sz w:val="13"/>
                <w:szCs w:val="13"/>
                <w:color w:val="auto"/>
              </w:rPr>
              <w:t>Pelican Products, Inc.</w:t>
            </w:r>
          </w:p>
        </w:tc>
        <w:tc>
          <w:tcPr>
            <w:tcW w:w="3220" w:type="dxa"/>
            <w:vAlign w:val="bottom"/>
            <w:gridSpan w:val="2"/>
          </w:tcPr>
          <w:p>
            <w:pPr>
              <w:ind w:left="440"/>
              <w:spacing w:after="0"/>
              <w:rPr>
                <w:sz w:val="20"/>
                <w:szCs w:val="20"/>
                <w:color w:val="auto"/>
              </w:rPr>
            </w:pPr>
            <w:r>
              <w:rPr>
                <w:rFonts w:ascii="Arial" w:cs="Arial" w:eastAsia="Arial" w:hAnsi="Arial"/>
                <w:sz w:val="13"/>
                <w:szCs w:val="13"/>
                <w:color w:val="auto"/>
              </w:rPr>
              <w:t>07/11/2018   Containers, Packaging and Glass</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7.00%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L+550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1,481,250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1,456,674</w:t>
            </w:r>
          </w:p>
        </w:tc>
        <w:tc>
          <w:tcPr>
            <w:tcW w:w="900" w:type="dxa"/>
            <w:vAlign w:val="bottom"/>
          </w:tcPr>
          <w:p>
            <w:pPr>
              <w:jc w:val="right"/>
              <w:spacing w:after="0"/>
              <w:rPr>
                <w:sz w:val="20"/>
                <w:szCs w:val="20"/>
                <w:color w:val="auto"/>
              </w:rPr>
            </w:pPr>
            <w:r>
              <w:rPr>
                <w:rFonts w:ascii="Arial" w:cs="Arial" w:eastAsia="Arial" w:hAnsi="Arial"/>
                <w:sz w:val="13"/>
                <w:szCs w:val="13"/>
                <w:color w:val="auto"/>
              </w:rPr>
              <w:t>1,473,844</w:t>
            </w:r>
          </w:p>
        </w:tc>
      </w:tr>
      <w:tr>
        <w:trPr>
          <w:trHeight w:val="138"/>
        </w:trPr>
        <w:tc>
          <w:tcPr>
            <w:tcW w:w="3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Penton Media, Inc.</w:t>
            </w:r>
          </w:p>
        </w:tc>
        <w:tc>
          <w:tcPr>
            <w:tcW w:w="32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3"/>
                <w:szCs w:val="13"/>
                <w:color w:val="auto"/>
              </w:rPr>
              <w:t>08/01/2014  Media: Diversified and Production</w:t>
            </w:r>
          </w:p>
        </w:tc>
        <w:tc>
          <w:tcPr>
            <w:tcW w:w="114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3"/>
                <w:szCs w:val="13"/>
                <w:color w:val="auto"/>
              </w:rPr>
              <w:t>6.00%</w:t>
            </w:r>
          </w:p>
        </w:tc>
        <w:tc>
          <w:tcPr>
            <w:tcW w:w="110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L+500</w:t>
            </w:r>
          </w:p>
        </w:tc>
        <w:tc>
          <w:tcPr>
            <w:tcW w:w="8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7,517,838</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7,234,538</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7,433,263</w:t>
            </w:r>
          </w:p>
        </w:tc>
      </w:tr>
      <w:tr>
        <w:trPr>
          <w:trHeight w:val="173"/>
        </w:trPr>
        <w:tc>
          <w:tcPr>
            <w:tcW w:w="30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(PIK 2.00%)</w:t>
            </w:r>
          </w:p>
        </w:tc>
        <w:tc>
          <w:tcPr>
            <w:tcW w:w="1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3"/>
                <w:szCs w:val="13"/>
                <w:color w:val="auto"/>
              </w:rPr>
              <w:t>Polyconcept Finance B.V.</w:t>
            </w:r>
          </w:p>
        </w:tc>
        <w:tc>
          <w:tcPr>
            <w:tcW w:w="1140" w:type="dxa"/>
            <w:vAlign w:val="bottom"/>
          </w:tcPr>
          <w:p>
            <w:pPr>
              <w:ind w:left="420"/>
              <w:spacing w:after="0"/>
              <w:rPr>
                <w:sz w:val="20"/>
                <w:szCs w:val="20"/>
                <w:color w:val="auto"/>
              </w:rPr>
            </w:pPr>
            <w:r>
              <w:rPr>
                <w:rFonts w:ascii="Arial" w:cs="Arial" w:eastAsia="Arial" w:hAnsi="Arial"/>
                <w:sz w:val="13"/>
                <w:szCs w:val="13"/>
                <w:color w:val="auto"/>
              </w:rPr>
              <w:t>06/28/2019</w:t>
            </w:r>
          </w:p>
        </w:tc>
        <w:tc>
          <w:tcPr>
            <w:tcW w:w="2080" w:type="dxa"/>
            <w:vAlign w:val="bottom"/>
          </w:tcPr>
          <w:p>
            <w:pPr>
              <w:jc w:val="center"/>
              <w:ind w:right="13"/>
              <w:spacing w:after="0"/>
              <w:rPr>
                <w:sz w:val="20"/>
                <w:szCs w:val="20"/>
                <w:color w:val="auto"/>
              </w:rPr>
            </w:pPr>
            <w:r>
              <w:rPr>
                <w:rFonts w:ascii="Arial" w:cs="Arial" w:eastAsia="Arial" w:hAnsi="Arial"/>
                <w:sz w:val="13"/>
                <w:szCs w:val="13"/>
                <w:color w:val="auto"/>
                <w:w w:val="94"/>
              </w:rPr>
              <w:t>Consumer Goods: Non-Durable</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6.00%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L+475</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7,832,755</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7,757,882</w:t>
            </w:r>
          </w:p>
        </w:tc>
        <w:tc>
          <w:tcPr>
            <w:tcW w:w="900" w:type="dxa"/>
            <w:vAlign w:val="bottom"/>
          </w:tcPr>
          <w:p>
            <w:pPr>
              <w:jc w:val="right"/>
              <w:spacing w:after="0"/>
              <w:rPr>
                <w:sz w:val="20"/>
                <w:szCs w:val="20"/>
                <w:color w:val="auto"/>
              </w:rPr>
            </w:pPr>
            <w:r>
              <w:rPr>
                <w:rFonts w:ascii="Arial" w:cs="Arial" w:eastAsia="Arial" w:hAnsi="Arial"/>
                <w:sz w:val="13"/>
                <w:szCs w:val="13"/>
                <w:color w:val="auto"/>
              </w:rPr>
              <w:t>7,744,636</w:t>
            </w:r>
          </w:p>
        </w:tc>
      </w:tr>
      <w:tr>
        <w:trPr>
          <w:trHeight w:val="148"/>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Premier Dental Services,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11/01/2018</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3"/>
              </w:rPr>
              <w:t>Consumer Services</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8.25%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L+700</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3,374,503</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3,286,903</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3,382,939</w:t>
            </w: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1"/>
                <w:szCs w:val="11"/>
                <w:color w:val="auto"/>
              </w:rPr>
              <w:t xml:space="preserve">RiverBoat Corporation of Mississippi </w:t>
            </w:r>
            <w:r>
              <w:rPr>
                <w:rFonts w:ascii="Arial" w:cs="Arial" w:eastAsia="Arial" w:hAnsi="Arial"/>
                <w:sz w:val="17"/>
                <w:szCs w:val="17"/>
                <w:color w:val="auto"/>
                <w:vertAlign w:val="superscript"/>
              </w:rPr>
              <w:t>(8)</w:t>
            </w:r>
          </w:p>
        </w:tc>
        <w:tc>
          <w:tcPr>
            <w:tcW w:w="1140" w:type="dxa"/>
            <w:vAlign w:val="bottom"/>
          </w:tcPr>
          <w:p>
            <w:pPr>
              <w:ind w:left="440"/>
              <w:spacing w:after="0"/>
              <w:rPr>
                <w:sz w:val="20"/>
                <w:szCs w:val="20"/>
                <w:color w:val="auto"/>
              </w:rPr>
            </w:pPr>
            <w:r>
              <w:rPr>
                <w:rFonts w:ascii="Arial" w:cs="Arial" w:eastAsia="Arial" w:hAnsi="Arial"/>
                <w:sz w:val="13"/>
                <w:szCs w:val="13"/>
                <w:color w:val="auto"/>
              </w:rPr>
              <w:t>11/29/2016</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4"/>
              </w:rPr>
              <w:t>Hotel, Gaming and Leisure</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10.00%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L+875</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4,250,000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4,188,136</w:t>
            </w:r>
          </w:p>
        </w:tc>
        <w:tc>
          <w:tcPr>
            <w:tcW w:w="900" w:type="dxa"/>
            <w:vAlign w:val="bottom"/>
          </w:tcPr>
          <w:p>
            <w:pPr>
              <w:jc w:val="right"/>
              <w:spacing w:after="0"/>
              <w:rPr>
                <w:sz w:val="20"/>
                <w:szCs w:val="20"/>
                <w:color w:val="auto"/>
              </w:rPr>
            </w:pPr>
            <w:r>
              <w:rPr>
                <w:rFonts w:ascii="Arial" w:cs="Arial" w:eastAsia="Arial" w:hAnsi="Arial"/>
                <w:sz w:val="13"/>
                <w:szCs w:val="13"/>
                <w:color w:val="auto"/>
              </w:rPr>
              <w:t>4,250,000</w:t>
            </w:r>
          </w:p>
        </w:tc>
      </w:tr>
      <w:tr>
        <w:trPr>
          <w:trHeight w:val="149"/>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Sabre Industries, Inc.</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08/24/2018</w:t>
            </w:r>
          </w:p>
        </w:tc>
        <w:tc>
          <w:tcPr>
            <w:tcW w:w="208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5"/>
              </w:rPr>
              <w:t>Construction and Building</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5.75%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L+475</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4,972,500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4,923,269</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5,009,794</w:t>
            </w:r>
          </w:p>
        </w:tc>
      </w:tr>
      <w:tr>
        <w:trPr>
          <w:trHeight w:val="149"/>
        </w:trPr>
        <w:tc>
          <w:tcPr>
            <w:tcW w:w="3080" w:type="dxa"/>
            <w:vAlign w:val="bottom"/>
          </w:tcPr>
          <w:p>
            <w:pPr>
              <w:spacing w:after="0"/>
              <w:rPr>
                <w:sz w:val="20"/>
                <w:szCs w:val="20"/>
                <w:color w:val="auto"/>
              </w:rPr>
            </w:pPr>
            <w:r>
              <w:rPr>
                <w:rFonts w:ascii="Arial" w:cs="Arial" w:eastAsia="Arial" w:hAnsi="Arial"/>
                <w:sz w:val="13"/>
                <w:szCs w:val="13"/>
                <w:color w:val="auto"/>
              </w:rPr>
              <w:t>SCE Partners, LLC</w:t>
            </w:r>
          </w:p>
        </w:tc>
        <w:tc>
          <w:tcPr>
            <w:tcW w:w="1140" w:type="dxa"/>
            <w:vAlign w:val="bottom"/>
          </w:tcPr>
          <w:p>
            <w:pPr>
              <w:ind w:left="420"/>
              <w:spacing w:after="0"/>
              <w:rPr>
                <w:sz w:val="20"/>
                <w:szCs w:val="20"/>
                <w:color w:val="auto"/>
              </w:rPr>
            </w:pPr>
            <w:r>
              <w:rPr>
                <w:rFonts w:ascii="Arial" w:cs="Arial" w:eastAsia="Arial" w:hAnsi="Arial"/>
                <w:sz w:val="13"/>
                <w:szCs w:val="13"/>
                <w:color w:val="auto"/>
              </w:rPr>
              <w:t>08/14/2019</w:t>
            </w:r>
          </w:p>
        </w:tc>
        <w:tc>
          <w:tcPr>
            <w:tcW w:w="2080" w:type="dxa"/>
            <w:vAlign w:val="bottom"/>
          </w:tcPr>
          <w:p>
            <w:pPr>
              <w:jc w:val="center"/>
              <w:ind w:right="33"/>
              <w:spacing w:after="0"/>
              <w:rPr>
                <w:sz w:val="20"/>
                <w:szCs w:val="20"/>
                <w:color w:val="auto"/>
              </w:rPr>
            </w:pPr>
            <w:r>
              <w:rPr>
                <w:rFonts w:ascii="Arial" w:cs="Arial" w:eastAsia="Arial" w:hAnsi="Arial"/>
                <w:sz w:val="13"/>
                <w:szCs w:val="13"/>
                <w:color w:val="auto"/>
                <w:w w:val="94"/>
              </w:rPr>
              <w:t>Hotel, Gaming and Leisure</w:t>
            </w:r>
          </w:p>
        </w:tc>
        <w:tc>
          <w:tcPr>
            <w:tcW w:w="1140" w:type="dxa"/>
            <w:vAlign w:val="bottom"/>
          </w:tcPr>
          <w:p>
            <w:pPr>
              <w:jc w:val="right"/>
              <w:ind w:right="193"/>
              <w:spacing w:after="0"/>
              <w:rPr>
                <w:sz w:val="20"/>
                <w:szCs w:val="20"/>
                <w:color w:val="auto"/>
              </w:rPr>
            </w:pPr>
            <w:r>
              <w:rPr>
                <w:rFonts w:ascii="Arial" w:cs="Arial" w:eastAsia="Arial" w:hAnsi="Arial"/>
                <w:sz w:val="13"/>
                <w:szCs w:val="13"/>
                <w:color w:val="auto"/>
              </w:rPr>
              <w:t>8.25%</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L+725</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12,000,000</w:t>
            </w:r>
          </w:p>
        </w:tc>
        <w:tc>
          <w:tcPr>
            <w:tcW w:w="20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w w:val="98"/>
              </w:rPr>
              <w:t>11,881,935</w:t>
            </w:r>
          </w:p>
        </w:tc>
        <w:tc>
          <w:tcPr>
            <w:tcW w:w="900" w:type="dxa"/>
            <w:vAlign w:val="bottom"/>
          </w:tcPr>
          <w:p>
            <w:pPr>
              <w:jc w:val="right"/>
              <w:spacing w:after="0"/>
              <w:rPr>
                <w:sz w:val="20"/>
                <w:szCs w:val="20"/>
                <w:color w:val="auto"/>
              </w:rPr>
            </w:pPr>
            <w:r>
              <w:rPr>
                <w:rFonts w:ascii="Arial" w:cs="Arial" w:eastAsia="Arial" w:hAnsi="Arial"/>
                <w:sz w:val="13"/>
                <w:szCs w:val="13"/>
                <w:color w:val="auto"/>
              </w:rPr>
              <w:t>11,880,000</w:t>
            </w:r>
          </w:p>
        </w:tc>
      </w:tr>
      <w:tr>
        <w:trPr>
          <w:trHeight w:val="148"/>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Securus Technologies Holdings, Inc.</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04/30/2020</w:t>
            </w:r>
          </w:p>
        </w:tc>
        <w:tc>
          <w:tcPr>
            <w:tcW w:w="2080" w:type="dxa"/>
            <w:vAlign w:val="bottom"/>
            <w:shd w:val="clear" w:color="auto" w:fill="CCEEFF"/>
          </w:tcPr>
          <w:p>
            <w:pPr>
              <w:jc w:val="center"/>
              <w:ind w:right="13"/>
              <w:spacing w:after="0"/>
              <w:rPr>
                <w:sz w:val="20"/>
                <w:szCs w:val="20"/>
                <w:color w:val="auto"/>
              </w:rPr>
            </w:pPr>
            <w:r>
              <w:rPr>
                <w:rFonts w:ascii="Arial" w:cs="Arial" w:eastAsia="Arial" w:hAnsi="Arial"/>
                <w:sz w:val="13"/>
                <w:szCs w:val="13"/>
                <w:color w:val="auto"/>
                <w:w w:val="93"/>
              </w:rPr>
              <w:t>Telecommunications</w:t>
            </w: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4.75%</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L+350</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1,981,121</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1,962,500</w:t>
            </w: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INVESTMENTS—(Continued)</w:t>
      </w:r>
    </w:p>
    <w:p>
      <w:pPr>
        <w:jc w:val="center"/>
        <w:spacing w:after="0"/>
        <w:rPr>
          <w:sz w:val="20"/>
          <w:szCs w:val="20"/>
          <w:color w:val="auto"/>
        </w:rPr>
      </w:pPr>
      <w:r>
        <w:rPr>
          <w:rFonts w:ascii="Arial" w:cs="Arial" w:eastAsia="Arial" w:hAnsi="Arial"/>
          <w:sz w:val="13"/>
          <w:szCs w:val="13"/>
          <w:b w:val="1"/>
          <w:bCs w:val="1"/>
          <w:color w:val="auto"/>
        </w:rPr>
        <w:t>SEPTEMBER 30, 2013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Basis Point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Spread</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413"/>
              <w:spacing w:after="0" w:line="134" w:lineRule="exact"/>
              <w:rPr>
                <w:sz w:val="20"/>
                <w:szCs w:val="20"/>
                <w:color w:val="auto"/>
              </w:rPr>
            </w:pPr>
            <w:r>
              <w:rPr>
                <w:rFonts w:ascii="Arial" w:cs="Arial" w:eastAsia="Arial" w:hAnsi="Arial"/>
                <w:sz w:val="13"/>
                <w:szCs w:val="13"/>
                <w:b w:val="1"/>
                <w:bCs w:val="1"/>
                <w:color w:val="auto"/>
              </w:rPr>
              <w:t>Current</w:t>
            </w:r>
          </w:p>
        </w:tc>
        <w:tc>
          <w:tcPr>
            <w:tcW w:w="114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90"/>
              </w:rPr>
              <w:t>Above</w:t>
            </w:r>
          </w:p>
        </w:tc>
        <w:tc>
          <w:tcPr>
            <w:tcW w:w="88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9"/>
              </w:rPr>
              <w:t>Par /</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22"/>
                <w:szCs w:val="22"/>
                <w:b w:val="1"/>
                <w:bCs w:val="1"/>
                <w:color w:val="auto"/>
                <w:w w:val="97"/>
                <w:vertAlign w:val="superscript"/>
              </w:rPr>
              <w:t>(2)</w:t>
            </w:r>
          </w:p>
        </w:tc>
        <w:tc>
          <w:tcPr>
            <w:tcW w:w="0" w:type="dxa"/>
            <w:vAlign w:val="bottom"/>
          </w:tcPr>
          <w:p>
            <w:pPr>
              <w:spacing w:after="0"/>
              <w:rPr>
                <w:sz w:val="1"/>
                <w:szCs w:val="1"/>
                <w:color w:val="auto"/>
              </w:rPr>
            </w:pPr>
          </w:p>
        </w:tc>
      </w:tr>
      <w:tr>
        <w:trPr>
          <w:trHeight w:val="175"/>
        </w:trPr>
        <w:tc>
          <w:tcPr>
            <w:tcW w:w="2920" w:type="dxa"/>
            <w:vAlign w:val="bottom"/>
            <w:gridSpan w:val="3"/>
          </w:tcPr>
          <w:p>
            <w:pPr>
              <w:spacing w:after="0"/>
              <w:rPr>
                <w:sz w:val="20"/>
                <w:szCs w:val="20"/>
                <w:color w:val="auto"/>
              </w:rPr>
            </w:pPr>
            <w:r>
              <w:rPr>
                <w:rFonts w:ascii="Arial" w:cs="Arial" w:eastAsia="Arial" w:hAnsi="Arial"/>
                <w:sz w:val="13"/>
                <w:szCs w:val="13"/>
                <w:b w:val="1"/>
                <w:bCs w:val="1"/>
                <w:color w:val="auto"/>
              </w:rPr>
              <w:t>Issuer Name</w:t>
            </w: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Maturity</w:t>
            </w:r>
          </w:p>
        </w:tc>
        <w:tc>
          <w:tcPr>
            <w:tcW w:w="1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Industry</w:t>
            </w:r>
          </w:p>
        </w:tc>
        <w:tc>
          <w:tcPr>
            <w:tcW w:w="1100" w:type="dxa"/>
            <w:vAlign w:val="bottom"/>
            <w:gridSpan w:val="2"/>
          </w:tcPr>
          <w:p>
            <w:pPr>
              <w:jc w:val="right"/>
              <w:ind w:right="433"/>
              <w:spacing w:after="0"/>
              <w:rPr>
                <w:sz w:val="20"/>
                <w:szCs w:val="20"/>
                <w:color w:val="auto"/>
              </w:rPr>
            </w:pPr>
            <w:r>
              <w:rPr>
                <w:rFonts w:ascii="Arial" w:cs="Arial" w:eastAsia="Arial" w:hAnsi="Arial"/>
                <w:sz w:val="13"/>
                <w:szCs w:val="13"/>
                <w:b w:val="1"/>
                <w:bCs w:val="1"/>
                <w:color w:val="auto"/>
              </w:rPr>
              <w:t>Coupon</w:t>
            </w:r>
          </w:p>
        </w:tc>
        <w:tc>
          <w:tcPr>
            <w:tcW w:w="1140" w:type="dxa"/>
            <w:vAlign w:val="bottom"/>
            <w:gridSpan w:val="2"/>
          </w:tcPr>
          <w:p>
            <w:pPr>
              <w:jc w:val="center"/>
              <w:ind w:right="220"/>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(1)</w:t>
            </w: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Sotera Defense Solutions, Inc.</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2"/>
              </w:rPr>
              <w:t>04/21/2017</w:t>
            </w:r>
          </w:p>
        </w:tc>
        <w:tc>
          <w:tcPr>
            <w:tcW w:w="36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1"/>
              </w:rPr>
              <w:t>Aerospace and Defense</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7.50</w:t>
            </w:r>
          </w:p>
        </w:tc>
        <w:tc>
          <w:tcPr>
            <w:tcW w:w="360" w:type="dxa"/>
            <w:vAlign w:val="bottom"/>
            <w:tcBorders>
              <w:top w:val="single" w:sz="8" w:color="CCEEFF"/>
            </w:tcBorders>
            <w:shd w:val="clear" w:color="auto" w:fill="CCEEFF"/>
          </w:tcPr>
          <w:p>
            <w:pPr>
              <w:jc w:val="right"/>
              <w:ind w:right="173"/>
              <w:spacing w:after="0" w:line="142" w:lineRule="exact"/>
              <w:rPr>
                <w:sz w:val="20"/>
                <w:szCs w:val="20"/>
                <w:color w:val="auto"/>
              </w:rPr>
            </w:pPr>
            <w:r>
              <w:rPr>
                <w:rFonts w:ascii="Arial" w:cs="Arial" w:eastAsia="Arial" w:hAnsi="Arial"/>
                <w:sz w:val="13"/>
                <w:szCs w:val="13"/>
                <w:color w:val="auto"/>
                <w:w w:val="8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L+600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2,646,725</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2,629,647</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2,382,052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gridSpan w:val="3"/>
          </w:tcPr>
          <w:p>
            <w:pPr>
              <w:spacing w:after="0"/>
              <w:rPr>
                <w:sz w:val="20"/>
                <w:szCs w:val="20"/>
                <w:color w:val="auto"/>
              </w:rPr>
            </w:pPr>
            <w:r>
              <w:rPr>
                <w:rFonts w:ascii="Arial" w:cs="Arial" w:eastAsia="Arial" w:hAnsi="Arial"/>
                <w:sz w:val="13"/>
                <w:szCs w:val="13"/>
                <w:color w:val="auto"/>
              </w:rPr>
              <w:t>St. George’s University Scholastic Services LLC</w:t>
            </w:r>
          </w:p>
        </w:tc>
        <w:tc>
          <w:tcPr>
            <w:tcW w:w="620" w:type="dxa"/>
            <w:vAlign w:val="bottom"/>
          </w:tcPr>
          <w:p>
            <w:pPr>
              <w:jc w:val="right"/>
              <w:spacing w:after="0"/>
              <w:rPr>
                <w:sz w:val="20"/>
                <w:szCs w:val="20"/>
                <w:color w:val="auto"/>
              </w:rPr>
            </w:pPr>
            <w:r>
              <w:rPr>
                <w:rFonts w:ascii="Arial" w:cs="Arial" w:eastAsia="Arial" w:hAnsi="Arial"/>
                <w:sz w:val="13"/>
                <w:szCs w:val="13"/>
                <w:color w:val="auto"/>
                <w:w w:val="92"/>
              </w:rPr>
              <w:t>12/20/2017</w:t>
            </w:r>
          </w:p>
        </w:tc>
        <w:tc>
          <w:tcPr>
            <w:tcW w:w="360" w:type="dxa"/>
            <w:vAlign w:val="bottom"/>
          </w:tcPr>
          <w:p>
            <w:pPr>
              <w:spacing w:after="0"/>
              <w:rPr>
                <w:sz w:val="12"/>
                <w:szCs w:val="12"/>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Consumer Services</w:t>
            </w:r>
          </w:p>
        </w:tc>
        <w:tc>
          <w:tcPr>
            <w:tcW w:w="1100" w:type="dxa"/>
            <w:vAlign w:val="bottom"/>
            <w:gridSpan w:val="2"/>
          </w:tcPr>
          <w:p>
            <w:pPr>
              <w:jc w:val="right"/>
              <w:ind w:right="173"/>
              <w:spacing w:after="0"/>
              <w:rPr>
                <w:sz w:val="20"/>
                <w:szCs w:val="20"/>
                <w:color w:val="auto"/>
              </w:rPr>
            </w:pPr>
            <w:r>
              <w:rPr>
                <w:rFonts w:ascii="Arial" w:cs="Arial" w:eastAsia="Arial" w:hAnsi="Arial"/>
                <w:sz w:val="13"/>
                <w:szCs w:val="13"/>
                <w:color w:val="auto"/>
              </w:rPr>
              <w:t>8.50%</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L+700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1,948,471</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1,915,350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1,955,778</w:t>
            </w:r>
          </w:p>
        </w:tc>
        <w:tc>
          <w:tcPr>
            <w:tcW w:w="0" w:type="dxa"/>
            <w:vAlign w:val="bottom"/>
          </w:tcPr>
          <w:p>
            <w:pPr>
              <w:spacing w:after="0"/>
              <w:rPr>
                <w:sz w:val="1"/>
                <w:szCs w:val="1"/>
                <w:color w:val="auto"/>
              </w:rPr>
            </w:pPr>
          </w:p>
        </w:tc>
      </w:tr>
      <w:tr>
        <w:trPr>
          <w:trHeight w:val="138"/>
        </w:trPr>
        <w:tc>
          <w:tcPr>
            <w:tcW w:w="292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Surgical Specialties Corporation</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2"/>
              </w:rPr>
              <w:t>08/22/2018</w:t>
            </w:r>
          </w:p>
        </w:tc>
        <w:tc>
          <w:tcPr>
            <w:tcW w:w="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3"/>
                <w:szCs w:val="13"/>
                <w:color w:val="auto"/>
                <w:w w:val="92"/>
              </w:rPr>
              <w:t>Healthcare and Pharmaceuticals</w:t>
            </w:r>
          </w:p>
        </w:tc>
        <w:tc>
          <w:tcPr>
            <w:tcW w:w="1100" w:type="dxa"/>
            <w:vAlign w:val="bottom"/>
            <w:gridSpan w:val="2"/>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7.25%</w:t>
            </w:r>
          </w:p>
        </w:tc>
        <w:tc>
          <w:tcPr>
            <w:tcW w:w="11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L+575</w:t>
            </w:r>
          </w:p>
        </w:tc>
        <w:tc>
          <w:tcPr>
            <w:tcW w:w="8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3,555,000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3,520,302</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3,590,550</w:t>
            </w:r>
          </w:p>
        </w:tc>
        <w:tc>
          <w:tcPr>
            <w:tcW w:w="0" w:type="dxa"/>
            <w:vAlign w:val="bottom"/>
          </w:tcPr>
          <w:p>
            <w:pPr>
              <w:spacing w:after="0"/>
              <w:rPr>
                <w:sz w:val="1"/>
                <w:szCs w:val="1"/>
                <w:color w:val="auto"/>
              </w:rPr>
            </w:pPr>
          </w:p>
        </w:tc>
      </w:tr>
      <w:tr>
        <w:trPr>
          <w:trHeight w:val="159"/>
        </w:trPr>
        <w:tc>
          <w:tcPr>
            <w:tcW w:w="292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(US), Inc.</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20" w:type="dxa"/>
            <w:vAlign w:val="bottom"/>
            <w:gridSpan w:val="3"/>
          </w:tcPr>
          <w:p>
            <w:pPr>
              <w:spacing w:after="0"/>
              <w:rPr>
                <w:sz w:val="20"/>
                <w:szCs w:val="20"/>
                <w:color w:val="auto"/>
              </w:rPr>
            </w:pPr>
            <w:r>
              <w:rPr>
                <w:rFonts w:ascii="Arial" w:cs="Arial" w:eastAsia="Arial" w:hAnsi="Arial"/>
                <w:sz w:val="13"/>
                <w:szCs w:val="13"/>
                <w:color w:val="auto"/>
              </w:rPr>
              <w:t>Sutherland Global Services, Inc.</w:t>
            </w:r>
          </w:p>
        </w:tc>
        <w:tc>
          <w:tcPr>
            <w:tcW w:w="620" w:type="dxa"/>
            <w:vAlign w:val="bottom"/>
          </w:tcPr>
          <w:p>
            <w:pPr>
              <w:jc w:val="right"/>
              <w:spacing w:after="0"/>
              <w:rPr>
                <w:sz w:val="20"/>
                <w:szCs w:val="20"/>
                <w:color w:val="auto"/>
              </w:rPr>
            </w:pPr>
            <w:r>
              <w:rPr>
                <w:rFonts w:ascii="Arial" w:cs="Arial" w:eastAsia="Arial" w:hAnsi="Arial"/>
                <w:sz w:val="13"/>
                <w:szCs w:val="13"/>
                <w:color w:val="auto"/>
                <w:w w:val="92"/>
              </w:rPr>
              <w:t>03/06/2019</w:t>
            </w:r>
          </w:p>
        </w:tc>
        <w:tc>
          <w:tcPr>
            <w:tcW w:w="360" w:type="dxa"/>
            <w:vAlign w:val="bottom"/>
          </w:tcPr>
          <w:p>
            <w:pPr>
              <w:spacing w:after="0"/>
              <w:rPr>
                <w:sz w:val="12"/>
                <w:szCs w:val="12"/>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Business Services</w:t>
            </w:r>
          </w:p>
        </w:tc>
        <w:tc>
          <w:tcPr>
            <w:tcW w:w="1100" w:type="dxa"/>
            <w:vAlign w:val="bottom"/>
            <w:gridSpan w:val="2"/>
          </w:tcPr>
          <w:p>
            <w:pPr>
              <w:jc w:val="right"/>
              <w:ind w:right="173"/>
              <w:spacing w:after="0"/>
              <w:rPr>
                <w:sz w:val="20"/>
                <w:szCs w:val="20"/>
                <w:color w:val="auto"/>
              </w:rPr>
            </w:pPr>
            <w:r>
              <w:rPr>
                <w:rFonts w:ascii="Arial" w:cs="Arial" w:eastAsia="Arial" w:hAnsi="Arial"/>
                <w:sz w:val="13"/>
                <w:szCs w:val="13"/>
                <w:color w:val="auto"/>
              </w:rPr>
              <w:t>7.25%</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L+600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975,000</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957,196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971,344</w:t>
            </w:r>
          </w:p>
        </w:tc>
        <w:tc>
          <w:tcPr>
            <w:tcW w:w="0" w:type="dxa"/>
            <w:vAlign w:val="bottom"/>
          </w:tcPr>
          <w:p>
            <w:pPr>
              <w:spacing w:after="0"/>
              <w:rPr>
                <w:sz w:val="1"/>
                <w:szCs w:val="1"/>
                <w:color w:val="auto"/>
              </w:rPr>
            </w:pPr>
          </w:p>
        </w:tc>
      </w:tr>
      <w:tr>
        <w:trPr>
          <w:trHeight w:val="138"/>
        </w:trPr>
        <w:tc>
          <w:tcPr>
            <w:tcW w:w="292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The National Underwriter Company</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2"/>
              </w:rPr>
              <w:t>05/31/2018</w:t>
            </w:r>
          </w:p>
        </w:tc>
        <w:tc>
          <w:tcPr>
            <w:tcW w:w="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3"/>
                <w:szCs w:val="13"/>
                <w:color w:val="auto"/>
                <w:w w:val="96"/>
              </w:rPr>
              <w:t>Media: Advertising, Printing and</w:t>
            </w:r>
          </w:p>
        </w:tc>
        <w:tc>
          <w:tcPr>
            <w:tcW w:w="1100" w:type="dxa"/>
            <w:vAlign w:val="bottom"/>
            <w:gridSpan w:val="2"/>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6.00%</w:t>
            </w:r>
          </w:p>
        </w:tc>
        <w:tc>
          <w:tcPr>
            <w:tcW w:w="11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L+475</w:t>
            </w:r>
          </w:p>
        </w:tc>
        <w:tc>
          <w:tcPr>
            <w:tcW w:w="8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4,415,625</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4,374,813</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4,393,547</w:t>
            </w:r>
          </w:p>
        </w:tc>
        <w:tc>
          <w:tcPr>
            <w:tcW w:w="0" w:type="dxa"/>
            <w:vAlign w:val="bottom"/>
          </w:tcPr>
          <w:p>
            <w:pPr>
              <w:spacing w:after="0"/>
              <w:rPr>
                <w:sz w:val="1"/>
                <w:szCs w:val="1"/>
                <w:color w:val="auto"/>
              </w:rPr>
            </w:pPr>
          </w:p>
        </w:tc>
      </w:tr>
      <w:tr>
        <w:trPr>
          <w:trHeight w:val="159"/>
        </w:trPr>
        <w:tc>
          <w:tcPr>
            <w:tcW w:w="2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Publishing</w:t>
            </w: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gridSpan w:val="3"/>
          </w:tcPr>
          <w:p>
            <w:pPr>
              <w:spacing w:after="0"/>
              <w:rPr>
                <w:sz w:val="20"/>
                <w:szCs w:val="20"/>
                <w:color w:val="auto"/>
              </w:rPr>
            </w:pPr>
            <w:r>
              <w:rPr>
                <w:rFonts w:ascii="Arial" w:cs="Arial" w:eastAsia="Arial" w:hAnsi="Arial"/>
                <w:sz w:val="13"/>
                <w:szCs w:val="13"/>
                <w:color w:val="auto"/>
              </w:rPr>
              <w:t>Therakos, Inc.</w:t>
            </w:r>
          </w:p>
        </w:tc>
        <w:tc>
          <w:tcPr>
            <w:tcW w:w="620" w:type="dxa"/>
            <w:vAlign w:val="bottom"/>
          </w:tcPr>
          <w:p>
            <w:pPr>
              <w:jc w:val="right"/>
              <w:spacing w:after="0"/>
              <w:rPr>
                <w:sz w:val="20"/>
                <w:szCs w:val="20"/>
                <w:color w:val="auto"/>
              </w:rPr>
            </w:pPr>
            <w:r>
              <w:rPr>
                <w:rFonts w:ascii="Arial" w:cs="Arial" w:eastAsia="Arial" w:hAnsi="Arial"/>
                <w:sz w:val="13"/>
                <w:szCs w:val="13"/>
                <w:color w:val="auto"/>
                <w:w w:val="92"/>
              </w:rPr>
              <w:t>12/27/2017</w:t>
            </w:r>
          </w:p>
        </w:tc>
        <w:tc>
          <w:tcPr>
            <w:tcW w:w="360" w:type="dxa"/>
            <w:vAlign w:val="bottom"/>
          </w:tcPr>
          <w:p>
            <w:pPr>
              <w:spacing w:after="0"/>
              <w:rPr>
                <w:sz w:val="12"/>
                <w:szCs w:val="12"/>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Healthcare and Pharmaceuticals</w:t>
            </w:r>
          </w:p>
        </w:tc>
        <w:tc>
          <w:tcPr>
            <w:tcW w:w="1100" w:type="dxa"/>
            <w:vAlign w:val="bottom"/>
            <w:gridSpan w:val="2"/>
          </w:tcPr>
          <w:p>
            <w:pPr>
              <w:jc w:val="right"/>
              <w:ind w:right="173"/>
              <w:spacing w:after="0"/>
              <w:rPr>
                <w:sz w:val="20"/>
                <w:szCs w:val="20"/>
                <w:color w:val="auto"/>
              </w:rPr>
            </w:pPr>
            <w:r>
              <w:rPr>
                <w:rFonts w:ascii="Arial" w:cs="Arial" w:eastAsia="Arial" w:hAnsi="Arial"/>
                <w:sz w:val="13"/>
                <w:szCs w:val="13"/>
                <w:color w:val="auto"/>
              </w:rPr>
              <w:t>7.50%</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L+625</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2,977,500</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2,899,121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2,973,778</w:t>
            </w:r>
          </w:p>
        </w:tc>
        <w:tc>
          <w:tcPr>
            <w:tcW w:w="0" w:type="dxa"/>
            <w:vAlign w:val="bottom"/>
          </w:tcPr>
          <w:p>
            <w:pPr>
              <w:spacing w:after="0"/>
              <w:rPr>
                <w:sz w:val="1"/>
                <w:szCs w:val="1"/>
                <w:color w:val="auto"/>
              </w:rPr>
            </w:pPr>
          </w:p>
        </w:tc>
      </w:tr>
      <w:tr>
        <w:trPr>
          <w:trHeight w:val="138"/>
        </w:trPr>
        <w:tc>
          <w:tcPr>
            <w:tcW w:w="2920" w:type="dxa"/>
            <w:vAlign w:val="bottom"/>
            <w:gridSpan w:val="3"/>
            <w:shd w:val="clear" w:color="auto" w:fill="CCEEFF"/>
          </w:tcPr>
          <w:p>
            <w:pPr>
              <w:spacing w:after="0" w:line="138" w:lineRule="exact"/>
              <w:rPr>
                <w:sz w:val="20"/>
                <w:szCs w:val="20"/>
                <w:color w:val="auto"/>
              </w:rPr>
            </w:pPr>
            <w:r>
              <w:rPr>
                <w:rFonts w:ascii="Arial" w:cs="Arial" w:eastAsia="Arial" w:hAnsi="Arial"/>
                <w:sz w:val="10"/>
                <w:szCs w:val="10"/>
                <w:color w:val="auto"/>
              </w:rPr>
              <w:t xml:space="preserve">UniTek Global Services, Inc. </w:t>
            </w:r>
            <w:r>
              <w:rPr>
                <w:rFonts w:ascii="Arial" w:cs="Arial" w:eastAsia="Arial" w:hAnsi="Arial"/>
                <w:sz w:val="15"/>
                <w:szCs w:val="15"/>
                <w:color w:val="auto"/>
                <w:vertAlign w:val="superscript"/>
              </w:rPr>
              <w:t>(8)</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2"/>
              </w:rPr>
              <w:t>04/16/2018</w:t>
            </w:r>
          </w:p>
        </w:tc>
        <w:tc>
          <w:tcPr>
            <w:tcW w:w="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3"/>
              </w:rPr>
              <w:t>Telecommunications</w:t>
            </w:r>
          </w:p>
        </w:tc>
        <w:tc>
          <w:tcPr>
            <w:tcW w:w="1100" w:type="dxa"/>
            <w:vAlign w:val="bottom"/>
            <w:gridSpan w:val="2"/>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15.00%</w:t>
            </w:r>
          </w:p>
        </w:tc>
        <w:tc>
          <w:tcPr>
            <w:tcW w:w="11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L+1,350</w:t>
            </w:r>
          </w:p>
        </w:tc>
        <w:tc>
          <w:tcPr>
            <w:tcW w:w="8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2,112,349</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2,074,200</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2,096,507</w:t>
            </w:r>
          </w:p>
        </w:tc>
        <w:tc>
          <w:tcPr>
            <w:tcW w:w="0" w:type="dxa"/>
            <w:vAlign w:val="bottom"/>
          </w:tcPr>
          <w:p>
            <w:pPr>
              <w:spacing w:after="0"/>
              <w:rPr>
                <w:sz w:val="1"/>
                <w:szCs w:val="1"/>
                <w:color w:val="auto"/>
              </w:rPr>
            </w:pPr>
          </w:p>
        </w:tc>
      </w:tr>
      <w:tr>
        <w:trPr>
          <w:trHeight w:val="173"/>
        </w:trPr>
        <w:tc>
          <w:tcPr>
            <w:tcW w:w="2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(PIK 4.00%)</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920" w:type="dxa"/>
            <w:vAlign w:val="bottom"/>
            <w:gridSpan w:val="3"/>
          </w:tcPr>
          <w:p>
            <w:pPr>
              <w:spacing w:after="0"/>
              <w:rPr>
                <w:sz w:val="20"/>
                <w:szCs w:val="20"/>
                <w:color w:val="auto"/>
              </w:rPr>
            </w:pPr>
            <w:r>
              <w:rPr>
                <w:rFonts w:ascii="Arial" w:cs="Arial" w:eastAsia="Arial" w:hAnsi="Arial"/>
                <w:sz w:val="13"/>
                <w:szCs w:val="13"/>
                <w:color w:val="auto"/>
              </w:rPr>
              <w:t>Univita Health Inc.</w:t>
            </w:r>
          </w:p>
        </w:tc>
        <w:tc>
          <w:tcPr>
            <w:tcW w:w="620" w:type="dxa"/>
            <w:vAlign w:val="bottom"/>
          </w:tcPr>
          <w:p>
            <w:pPr>
              <w:jc w:val="right"/>
              <w:spacing w:after="0"/>
              <w:rPr>
                <w:sz w:val="20"/>
                <w:szCs w:val="20"/>
                <w:color w:val="auto"/>
              </w:rPr>
            </w:pPr>
            <w:r>
              <w:rPr>
                <w:rFonts w:ascii="Arial" w:cs="Arial" w:eastAsia="Arial" w:hAnsi="Arial"/>
                <w:sz w:val="13"/>
                <w:szCs w:val="13"/>
                <w:color w:val="auto"/>
                <w:w w:val="92"/>
              </w:rPr>
              <w:t>06/19/2017</w:t>
            </w:r>
          </w:p>
        </w:tc>
        <w:tc>
          <w:tcPr>
            <w:tcW w:w="360" w:type="dxa"/>
            <w:vAlign w:val="bottom"/>
          </w:tcPr>
          <w:p>
            <w:pPr>
              <w:spacing w:after="0"/>
              <w:rPr>
                <w:sz w:val="12"/>
                <w:szCs w:val="12"/>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Consumer Services</w:t>
            </w:r>
          </w:p>
        </w:tc>
        <w:tc>
          <w:tcPr>
            <w:tcW w:w="1100" w:type="dxa"/>
            <w:vAlign w:val="bottom"/>
            <w:gridSpan w:val="2"/>
          </w:tcPr>
          <w:p>
            <w:pPr>
              <w:jc w:val="right"/>
              <w:ind w:right="173"/>
              <w:spacing w:after="0"/>
              <w:rPr>
                <w:sz w:val="20"/>
                <w:szCs w:val="20"/>
                <w:color w:val="auto"/>
              </w:rPr>
            </w:pPr>
            <w:r>
              <w:rPr>
                <w:rFonts w:ascii="Arial" w:cs="Arial" w:eastAsia="Arial" w:hAnsi="Arial"/>
                <w:sz w:val="13"/>
                <w:szCs w:val="13"/>
                <w:color w:val="auto"/>
              </w:rPr>
              <w:t>6.50%</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L+500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2,932,500</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2,912,802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2,800,538</w:t>
            </w:r>
          </w:p>
        </w:tc>
        <w:tc>
          <w:tcPr>
            <w:tcW w:w="0" w:type="dxa"/>
            <w:vAlign w:val="bottom"/>
          </w:tcPr>
          <w:p>
            <w:pPr>
              <w:spacing w:after="0"/>
              <w:rPr>
                <w:sz w:val="1"/>
                <w:szCs w:val="1"/>
                <w:color w:val="auto"/>
              </w:rPr>
            </w:pPr>
          </w:p>
        </w:tc>
      </w:tr>
      <w:tr>
        <w:trPr>
          <w:trHeight w:val="138"/>
        </w:trPr>
        <w:tc>
          <w:tcPr>
            <w:tcW w:w="292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Viamedia Services Corp.</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2"/>
              </w:rPr>
              <w:t>04/19/2016</w:t>
            </w:r>
          </w:p>
        </w:tc>
        <w:tc>
          <w:tcPr>
            <w:tcW w:w="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3"/>
                <w:szCs w:val="13"/>
                <w:color w:val="auto"/>
                <w:w w:val="96"/>
              </w:rPr>
              <w:t>Media: Advertising, Printing and</w:t>
            </w:r>
          </w:p>
        </w:tc>
        <w:tc>
          <w:tcPr>
            <w:tcW w:w="1100" w:type="dxa"/>
            <w:vAlign w:val="bottom"/>
            <w:gridSpan w:val="2"/>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7.00%</w:t>
            </w:r>
          </w:p>
        </w:tc>
        <w:tc>
          <w:tcPr>
            <w:tcW w:w="11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L+550</w:t>
            </w:r>
          </w:p>
        </w:tc>
        <w:tc>
          <w:tcPr>
            <w:tcW w:w="8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3,304,277</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3,280,480</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3,304,277</w:t>
            </w:r>
          </w:p>
        </w:tc>
        <w:tc>
          <w:tcPr>
            <w:tcW w:w="0" w:type="dxa"/>
            <w:vAlign w:val="bottom"/>
          </w:tcPr>
          <w:p>
            <w:pPr>
              <w:spacing w:after="0"/>
              <w:rPr>
                <w:sz w:val="1"/>
                <w:szCs w:val="1"/>
                <w:color w:val="auto"/>
              </w:rPr>
            </w:pPr>
          </w:p>
        </w:tc>
      </w:tr>
      <w:tr>
        <w:trPr>
          <w:trHeight w:val="159"/>
        </w:trPr>
        <w:tc>
          <w:tcPr>
            <w:tcW w:w="2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Publishing</w:t>
            </w: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gridSpan w:val="3"/>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(8)</w:t>
            </w:r>
          </w:p>
        </w:tc>
        <w:tc>
          <w:tcPr>
            <w:tcW w:w="620" w:type="dxa"/>
            <w:vAlign w:val="bottom"/>
          </w:tcPr>
          <w:p>
            <w:pPr>
              <w:jc w:val="right"/>
              <w:spacing w:after="0"/>
              <w:rPr>
                <w:sz w:val="20"/>
                <w:szCs w:val="20"/>
                <w:color w:val="auto"/>
              </w:rPr>
            </w:pPr>
            <w:r>
              <w:rPr>
                <w:rFonts w:ascii="Arial" w:cs="Arial" w:eastAsia="Arial" w:hAnsi="Arial"/>
                <w:sz w:val="13"/>
                <w:szCs w:val="13"/>
                <w:color w:val="auto"/>
                <w:w w:val="92"/>
              </w:rPr>
              <w:t>12/22/2016</w:t>
            </w:r>
          </w:p>
        </w:tc>
        <w:tc>
          <w:tcPr>
            <w:tcW w:w="360" w:type="dxa"/>
            <w:vAlign w:val="bottom"/>
          </w:tcPr>
          <w:p>
            <w:pPr>
              <w:spacing w:after="0"/>
              <w:rPr>
                <w:sz w:val="12"/>
                <w:szCs w:val="12"/>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Business Services</w:t>
            </w:r>
          </w:p>
        </w:tc>
        <w:tc>
          <w:tcPr>
            <w:tcW w:w="1100" w:type="dxa"/>
            <w:vAlign w:val="bottom"/>
            <w:gridSpan w:val="2"/>
          </w:tcPr>
          <w:p>
            <w:pPr>
              <w:jc w:val="right"/>
              <w:ind w:right="173"/>
              <w:spacing w:after="0"/>
              <w:rPr>
                <w:sz w:val="20"/>
                <w:szCs w:val="20"/>
                <w:color w:val="auto"/>
              </w:rPr>
            </w:pPr>
            <w:r>
              <w:rPr>
                <w:rFonts w:ascii="Arial" w:cs="Arial" w:eastAsia="Arial" w:hAnsi="Arial"/>
                <w:sz w:val="13"/>
                <w:szCs w:val="13"/>
                <w:color w:val="auto"/>
              </w:rPr>
              <w:t>7.25%</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L+550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2,932,500</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2,916,949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1,847,475</w:t>
            </w:r>
          </w:p>
        </w:tc>
        <w:tc>
          <w:tcPr>
            <w:tcW w:w="0" w:type="dxa"/>
            <w:vAlign w:val="bottom"/>
          </w:tcPr>
          <w:p>
            <w:pPr>
              <w:spacing w:after="0"/>
              <w:rPr>
                <w:sz w:val="1"/>
                <w:szCs w:val="1"/>
                <w:color w:val="auto"/>
              </w:rPr>
            </w:pPr>
          </w:p>
        </w:tc>
      </w:tr>
      <w:tr>
        <w:trPr>
          <w:trHeight w:val="149"/>
        </w:trPr>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color w:val="auto"/>
              </w:rPr>
              <w:t xml:space="preserve">Wilton Brands, LLC </w:t>
            </w:r>
            <w:r>
              <w:rPr>
                <w:rFonts w:ascii="Arial" w:cs="Arial" w:eastAsia="Arial" w:hAnsi="Arial"/>
                <w:sz w:val="17"/>
                <w:szCs w:val="17"/>
                <w:color w:val="auto"/>
                <w:vertAlign w:val="superscript"/>
              </w:rPr>
              <w:t>(8)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08/30/2018</w:t>
            </w:r>
          </w:p>
        </w:tc>
        <w:tc>
          <w:tcPr>
            <w:tcW w:w="3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Consumer Goods: Non-Durable</w:t>
            </w:r>
          </w:p>
        </w:tc>
        <w:tc>
          <w:tcPr>
            <w:tcW w:w="110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7.50%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L+625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3,230,000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3,177,789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3,165,400</w:t>
            </w:r>
          </w:p>
        </w:tc>
        <w:tc>
          <w:tcPr>
            <w:tcW w:w="0" w:type="dxa"/>
            <w:vAlign w:val="bottom"/>
          </w:tcPr>
          <w:p>
            <w:pPr>
              <w:spacing w:after="0"/>
              <w:rPr>
                <w:sz w:val="1"/>
                <w:szCs w:val="1"/>
                <w:color w:val="auto"/>
              </w:rPr>
            </w:pPr>
          </w:p>
        </w:tc>
      </w:tr>
      <w:tr>
        <w:trPr>
          <w:trHeight w:val="138"/>
        </w:trPr>
        <w:tc>
          <w:tcPr>
            <w:tcW w:w="2920" w:type="dxa"/>
            <w:vAlign w:val="bottom"/>
            <w:gridSpan w:val="3"/>
          </w:tcPr>
          <w:p>
            <w:pPr>
              <w:spacing w:after="0" w:line="138" w:lineRule="exact"/>
              <w:rPr>
                <w:sz w:val="20"/>
                <w:szCs w:val="20"/>
                <w:color w:val="auto"/>
              </w:rPr>
            </w:pPr>
            <w:r>
              <w:rPr>
                <w:rFonts w:ascii="Arial" w:cs="Arial" w:eastAsia="Arial" w:hAnsi="Arial"/>
                <w:sz w:val="10"/>
                <w:szCs w:val="10"/>
                <w:color w:val="auto"/>
              </w:rPr>
              <w:t xml:space="preserve">YP LLC </w:t>
            </w:r>
            <w:r>
              <w:rPr>
                <w:rFonts w:ascii="Arial" w:cs="Arial" w:eastAsia="Arial" w:hAnsi="Arial"/>
                <w:sz w:val="15"/>
                <w:szCs w:val="15"/>
                <w:color w:val="auto"/>
                <w:vertAlign w:val="superscript"/>
              </w:rPr>
              <w:t>(8)</w:t>
            </w: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w w:val="92"/>
              </w:rPr>
              <w:t>06/04/2018</w:t>
            </w:r>
          </w:p>
        </w:tc>
        <w:tc>
          <w:tcPr>
            <w:tcW w:w="360" w:type="dxa"/>
            <w:vAlign w:val="bottom"/>
          </w:tcPr>
          <w:p>
            <w:pPr>
              <w:spacing w:after="0"/>
              <w:rPr>
                <w:sz w:val="11"/>
                <w:szCs w:val="11"/>
                <w:color w:val="auto"/>
              </w:rPr>
            </w:pPr>
          </w:p>
        </w:tc>
        <w:tc>
          <w:tcPr>
            <w:tcW w:w="1960" w:type="dxa"/>
            <w:vAlign w:val="bottom"/>
            <w:gridSpan w:val="2"/>
          </w:tcPr>
          <w:p>
            <w:pPr>
              <w:jc w:val="center"/>
              <w:ind w:right="140"/>
              <w:spacing w:after="0" w:line="138" w:lineRule="exact"/>
              <w:rPr>
                <w:sz w:val="20"/>
                <w:szCs w:val="20"/>
                <w:color w:val="auto"/>
              </w:rPr>
            </w:pPr>
            <w:r>
              <w:rPr>
                <w:rFonts w:ascii="Arial" w:cs="Arial" w:eastAsia="Arial" w:hAnsi="Arial"/>
                <w:sz w:val="13"/>
                <w:szCs w:val="13"/>
                <w:color w:val="auto"/>
                <w:w w:val="96"/>
              </w:rPr>
              <w:t>Media: Advertising, Printing and</w:t>
            </w:r>
          </w:p>
        </w:tc>
        <w:tc>
          <w:tcPr>
            <w:tcW w:w="1100" w:type="dxa"/>
            <w:vAlign w:val="bottom"/>
            <w:gridSpan w:val="2"/>
          </w:tcPr>
          <w:p>
            <w:pPr>
              <w:jc w:val="right"/>
              <w:ind w:right="173"/>
              <w:spacing w:after="0" w:line="138" w:lineRule="exact"/>
              <w:rPr>
                <w:sz w:val="20"/>
                <w:szCs w:val="20"/>
                <w:color w:val="auto"/>
              </w:rPr>
            </w:pPr>
            <w:r>
              <w:rPr>
                <w:rFonts w:ascii="Arial" w:cs="Arial" w:eastAsia="Arial" w:hAnsi="Arial"/>
                <w:sz w:val="13"/>
                <w:szCs w:val="13"/>
                <w:color w:val="auto"/>
              </w:rPr>
              <w:t>8.06%</w:t>
            </w:r>
          </w:p>
        </w:tc>
        <w:tc>
          <w:tcPr>
            <w:tcW w:w="114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L+675</w:t>
            </w:r>
          </w:p>
        </w:tc>
        <w:tc>
          <w:tcPr>
            <w:tcW w:w="88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5,085,000</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4,964,517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5,046,863</w:t>
            </w:r>
          </w:p>
        </w:tc>
        <w:tc>
          <w:tcPr>
            <w:tcW w:w="0" w:type="dxa"/>
            <w:vAlign w:val="bottom"/>
          </w:tcPr>
          <w:p>
            <w:pPr>
              <w:spacing w:after="0"/>
              <w:rPr>
                <w:sz w:val="1"/>
                <w:szCs w:val="1"/>
                <w:color w:val="auto"/>
              </w:rPr>
            </w:pPr>
          </w:p>
        </w:tc>
      </w:tr>
      <w:tr>
        <w:trPr>
          <w:trHeight w:val="159"/>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Publishing</w:t>
            </w: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Zest Anchors, LLC</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08/17/2020</w:t>
            </w:r>
          </w:p>
        </w:tc>
        <w:tc>
          <w:tcPr>
            <w:tcW w:w="3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Healthcare and Pharmaceuticals</w:t>
            </w:r>
          </w:p>
        </w:tc>
        <w:tc>
          <w:tcPr>
            <w:tcW w:w="110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6.50%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L+550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9,000,000</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8,822,056</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8,887,500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920" w:type="dxa"/>
            <w:vAlign w:val="bottom"/>
            <w:gridSpan w:val="3"/>
          </w:tcPr>
          <w:p>
            <w:pPr>
              <w:spacing w:after="0"/>
              <w:rPr>
                <w:sz w:val="20"/>
                <w:szCs w:val="20"/>
                <w:color w:val="auto"/>
              </w:rPr>
            </w:pPr>
            <w:r>
              <w:rPr>
                <w:rFonts w:ascii="Arial" w:cs="Arial" w:eastAsia="Arial" w:hAnsi="Arial"/>
                <w:sz w:val="13"/>
                <w:szCs w:val="13"/>
                <w:b w:val="1"/>
                <w:bCs w:val="1"/>
                <w:color w:val="auto"/>
              </w:rPr>
              <w:t>Total First Lien Secured Debt</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9"/>
              </w:rPr>
              <w:t>281,260,179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281,046,248</w:t>
            </w:r>
          </w:p>
        </w:tc>
        <w:tc>
          <w:tcPr>
            <w:tcW w:w="0" w:type="dxa"/>
            <w:vAlign w:val="bottom"/>
          </w:tcPr>
          <w:p>
            <w:pPr>
              <w:spacing w:after="0"/>
              <w:rPr>
                <w:sz w:val="1"/>
                <w:szCs w:val="1"/>
                <w:color w:val="auto"/>
              </w:rPr>
            </w:pPr>
          </w:p>
        </w:tc>
      </w:tr>
      <w:tr>
        <w:trPr>
          <w:trHeight w:val="148"/>
        </w:trPr>
        <w:tc>
          <w:tcPr>
            <w:tcW w:w="29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Debt—13.1%</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920" w:type="dxa"/>
            <w:vAlign w:val="bottom"/>
            <w:gridSpan w:val="3"/>
          </w:tcPr>
          <w:p>
            <w:pPr>
              <w:spacing w:after="0" w:line="122" w:lineRule="exact"/>
              <w:rPr>
                <w:sz w:val="20"/>
                <w:szCs w:val="20"/>
                <w:color w:val="auto"/>
              </w:rPr>
            </w:pPr>
            <w:r>
              <w:rPr>
                <w:rFonts w:ascii="Arial" w:cs="Arial" w:eastAsia="Arial" w:hAnsi="Arial"/>
                <w:sz w:val="13"/>
                <w:szCs w:val="13"/>
                <w:color w:val="auto"/>
              </w:rPr>
              <w:t>American Gilsonite</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w w:val="92"/>
              </w:rPr>
              <w:t>09/01/2017</w:t>
            </w:r>
          </w:p>
        </w:tc>
        <w:tc>
          <w:tcPr>
            <w:tcW w:w="360" w:type="dxa"/>
            <w:vAlign w:val="bottom"/>
          </w:tcPr>
          <w:p>
            <w:pPr>
              <w:spacing w:after="0"/>
              <w:rPr>
                <w:sz w:val="10"/>
                <w:szCs w:val="10"/>
                <w:color w:val="auto"/>
              </w:rPr>
            </w:pPr>
          </w:p>
        </w:tc>
        <w:tc>
          <w:tcPr>
            <w:tcW w:w="1960" w:type="dxa"/>
            <w:vAlign w:val="bottom"/>
            <w:gridSpan w:val="2"/>
          </w:tcPr>
          <w:p>
            <w:pPr>
              <w:jc w:val="center"/>
              <w:ind w:right="140"/>
              <w:spacing w:after="0" w:line="122" w:lineRule="exact"/>
              <w:rPr>
                <w:sz w:val="20"/>
                <w:szCs w:val="20"/>
                <w:color w:val="auto"/>
              </w:rPr>
            </w:pPr>
            <w:r>
              <w:rPr>
                <w:rFonts w:ascii="Arial" w:cs="Arial" w:eastAsia="Arial" w:hAnsi="Arial"/>
                <w:sz w:val="13"/>
                <w:szCs w:val="13"/>
                <w:color w:val="auto"/>
                <w:w w:val="96"/>
              </w:rPr>
              <w:t>Metals and Mining</w:t>
            </w:r>
          </w:p>
        </w:tc>
        <w:tc>
          <w:tcPr>
            <w:tcW w:w="1100" w:type="dxa"/>
            <w:vAlign w:val="bottom"/>
            <w:gridSpan w:val="2"/>
          </w:tcPr>
          <w:p>
            <w:pPr>
              <w:jc w:val="right"/>
              <w:ind w:right="173"/>
              <w:spacing w:after="0" w:line="122" w:lineRule="exact"/>
              <w:rPr>
                <w:sz w:val="20"/>
                <w:szCs w:val="20"/>
                <w:color w:val="auto"/>
              </w:rPr>
            </w:pPr>
            <w:r>
              <w:rPr>
                <w:rFonts w:ascii="Arial" w:cs="Arial" w:eastAsia="Arial" w:hAnsi="Arial"/>
                <w:sz w:val="13"/>
                <w:szCs w:val="13"/>
                <w:color w:val="auto"/>
              </w:rPr>
              <w:t>11.50%</w:t>
            </w:r>
          </w:p>
        </w:tc>
        <w:tc>
          <w:tcPr>
            <w:tcW w:w="1140" w:type="dxa"/>
            <w:vAlign w:val="bottom"/>
            <w:gridSpan w:val="2"/>
          </w:tcPr>
          <w:p>
            <w:pPr>
              <w:jc w:val="right"/>
              <w:ind w:right="220"/>
              <w:spacing w:after="0" w:line="122"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3"/>
                <w:szCs w:val="13"/>
                <w:color w:val="auto"/>
              </w:rPr>
              <w:t>3,000,000</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3"/>
                <w:szCs w:val="13"/>
                <w:color w:val="auto"/>
              </w:rPr>
              <w:t>3,000,000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3"/>
                <w:szCs w:val="13"/>
                <w:color w:val="auto"/>
              </w:rPr>
              <w:t>3,067,500</w:t>
            </w:r>
          </w:p>
        </w:tc>
        <w:tc>
          <w:tcPr>
            <w:tcW w:w="0" w:type="dxa"/>
            <w:vAlign w:val="bottom"/>
          </w:tcPr>
          <w:p>
            <w:pPr>
              <w:spacing w:after="0"/>
              <w:rPr>
                <w:sz w:val="1"/>
                <w:szCs w:val="1"/>
                <w:color w:val="auto"/>
              </w:rPr>
            </w:pPr>
          </w:p>
        </w:tc>
      </w:tr>
      <w:tr>
        <w:trPr>
          <w:trHeight w:val="176"/>
        </w:trPr>
        <w:tc>
          <w:tcPr>
            <w:tcW w:w="2920" w:type="dxa"/>
            <w:vAlign w:val="bottom"/>
            <w:gridSpan w:val="3"/>
          </w:tcPr>
          <w:p>
            <w:pPr>
              <w:ind w:left="220"/>
              <w:spacing w:after="0" w:line="176" w:lineRule="exact"/>
              <w:rPr>
                <w:sz w:val="20"/>
                <w:szCs w:val="20"/>
                <w:color w:val="auto"/>
              </w:rPr>
            </w:pPr>
            <w:r>
              <w:rPr>
                <w:rFonts w:ascii="Arial" w:cs="Arial" w:eastAsia="Arial" w:hAnsi="Arial"/>
                <w:sz w:val="20"/>
                <w:szCs w:val="20"/>
                <w:color w:val="auto"/>
                <w:vertAlign w:val="subscript"/>
              </w:rPr>
              <w:t>Company</w:t>
            </w:r>
            <w:r>
              <w:rPr>
                <w:rFonts w:ascii="Arial" w:cs="Arial" w:eastAsia="Arial" w:hAnsi="Arial"/>
                <w:sz w:val="10"/>
                <w:szCs w:val="10"/>
                <w:color w:val="auto"/>
              </w:rPr>
              <w:t xml:space="preserve"> (5), (8)</w:t>
            </w: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9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Arsloane Acquisition, LLC</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10/01/2020</w:t>
            </w:r>
          </w:p>
        </w:tc>
        <w:tc>
          <w:tcPr>
            <w:tcW w:w="3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Business Services</w:t>
            </w:r>
          </w:p>
        </w:tc>
        <w:tc>
          <w:tcPr>
            <w:tcW w:w="110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11.75%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L+1,050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5,000,000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4,983,350</w:t>
            </w:r>
          </w:p>
        </w:tc>
        <w:tc>
          <w:tcPr>
            <w:tcW w:w="0" w:type="dxa"/>
            <w:vAlign w:val="bottom"/>
          </w:tcPr>
          <w:p>
            <w:pPr>
              <w:spacing w:after="0"/>
              <w:rPr>
                <w:sz w:val="1"/>
                <w:szCs w:val="1"/>
                <w:color w:val="auto"/>
              </w:rPr>
            </w:pPr>
          </w:p>
        </w:tc>
      </w:tr>
      <w:tr>
        <w:trPr>
          <w:trHeight w:val="148"/>
        </w:trPr>
        <w:tc>
          <w:tcPr>
            <w:tcW w:w="2920" w:type="dxa"/>
            <w:vAlign w:val="bottom"/>
            <w:gridSpan w:val="3"/>
          </w:tcPr>
          <w:p>
            <w:pPr>
              <w:spacing w:after="0" w:line="149" w:lineRule="exact"/>
              <w:rPr>
                <w:sz w:val="20"/>
                <w:szCs w:val="20"/>
                <w:color w:val="auto"/>
              </w:rPr>
            </w:pPr>
            <w:r>
              <w:rPr>
                <w:rFonts w:ascii="Arial" w:cs="Arial" w:eastAsia="Arial" w:hAnsi="Arial"/>
                <w:sz w:val="11"/>
                <w:szCs w:val="11"/>
                <w:color w:val="auto"/>
              </w:rPr>
              <w:t xml:space="preserve">Brand Energy and Infrastructure Services, Inc. </w:t>
            </w:r>
            <w:r>
              <w:rPr>
                <w:rFonts w:ascii="Arial" w:cs="Arial" w:eastAsia="Arial" w:hAnsi="Arial"/>
                <w:sz w:val="17"/>
                <w:szCs w:val="17"/>
                <w:color w:val="auto"/>
                <w:vertAlign w:val="superscript"/>
              </w:rPr>
              <w:t>(8)</w:t>
            </w:r>
          </w:p>
        </w:tc>
        <w:tc>
          <w:tcPr>
            <w:tcW w:w="620" w:type="dxa"/>
            <w:vAlign w:val="bottom"/>
          </w:tcPr>
          <w:p>
            <w:pPr>
              <w:jc w:val="right"/>
              <w:spacing w:after="0"/>
              <w:rPr>
                <w:sz w:val="20"/>
                <w:szCs w:val="20"/>
                <w:color w:val="auto"/>
              </w:rPr>
            </w:pPr>
            <w:r>
              <w:rPr>
                <w:rFonts w:ascii="Arial" w:cs="Arial" w:eastAsia="Arial" w:hAnsi="Arial"/>
                <w:sz w:val="13"/>
                <w:szCs w:val="13"/>
                <w:color w:val="auto"/>
                <w:w w:val="92"/>
              </w:rPr>
              <w:t>10/23/2019</w:t>
            </w:r>
          </w:p>
        </w:tc>
        <w:tc>
          <w:tcPr>
            <w:tcW w:w="360" w:type="dxa"/>
            <w:vAlign w:val="bottom"/>
          </w:tcPr>
          <w:p>
            <w:pPr>
              <w:spacing w:after="0"/>
              <w:rPr>
                <w:sz w:val="12"/>
                <w:szCs w:val="12"/>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Energy: Oil and Gas</w:t>
            </w:r>
          </w:p>
        </w:tc>
        <w:tc>
          <w:tcPr>
            <w:tcW w:w="1100" w:type="dxa"/>
            <w:vAlign w:val="bottom"/>
            <w:gridSpan w:val="2"/>
          </w:tcPr>
          <w:p>
            <w:pPr>
              <w:jc w:val="right"/>
              <w:ind w:right="173"/>
              <w:spacing w:after="0"/>
              <w:rPr>
                <w:sz w:val="20"/>
                <w:szCs w:val="20"/>
                <w:color w:val="auto"/>
              </w:rPr>
            </w:pPr>
            <w:r>
              <w:rPr>
                <w:rFonts w:ascii="Arial" w:cs="Arial" w:eastAsia="Arial" w:hAnsi="Arial"/>
                <w:sz w:val="13"/>
                <w:szCs w:val="13"/>
                <w:color w:val="auto"/>
              </w:rPr>
              <w:t>11.00%</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L+975</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1,906,607</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1,861,523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1,946,322</w:t>
            </w:r>
          </w:p>
        </w:tc>
        <w:tc>
          <w:tcPr>
            <w:tcW w:w="0" w:type="dxa"/>
            <w:vAlign w:val="bottom"/>
          </w:tcPr>
          <w:p>
            <w:pPr>
              <w:spacing w:after="0"/>
              <w:rPr>
                <w:sz w:val="1"/>
                <w:szCs w:val="1"/>
                <w:color w:val="auto"/>
              </w:rPr>
            </w:pPr>
          </w:p>
        </w:tc>
      </w:tr>
      <w:tr>
        <w:trPr>
          <w:trHeight w:val="148"/>
        </w:trPr>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10/02/2019</w:t>
            </w:r>
          </w:p>
        </w:tc>
        <w:tc>
          <w:tcPr>
            <w:tcW w:w="3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4"/>
              </w:rPr>
              <w:t>Hotel, Gaming and Leisure</w:t>
            </w:r>
          </w:p>
        </w:tc>
        <w:tc>
          <w:tcPr>
            <w:tcW w:w="110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10.00%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L+875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1,700,000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1,671,746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1,576,750</w:t>
            </w:r>
          </w:p>
        </w:tc>
        <w:tc>
          <w:tcPr>
            <w:tcW w:w="0" w:type="dxa"/>
            <w:vAlign w:val="bottom"/>
          </w:tcPr>
          <w:p>
            <w:pPr>
              <w:spacing w:after="0"/>
              <w:rPr>
                <w:sz w:val="1"/>
                <w:szCs w:val="1"/>
                <w:color w:val="auto"/>
              </w:rPr>
            </w:pPr>
          </w:p>
        </w:tc>
      </w:tr>
      <w:tr>
        <w:trPr>
          <w:trHeight w:val="122"/>
        </w:trPr>
        <w:tc>
          <w:tcPr>
            <w:tcW w:w="2920" w:type="dxa"/>
            <w:vAlign w:val="bottom"/>
            <w:gridSpan w:val="3"/>
          </w:tcPr>
          <w:p>
            <w:pPr>
              <w:spacing w:after="0" w:line="122" w:lineRule="exact"/>
              <w:rPr>
                <w:sz w:val="20"/>
                <w:szCs w:val="20"/>
                <w:color w:val="auto"/>
              </w:rPr>
            </w:pPr>
            <w:r>
              <w:rPr>
                <w:rFonts w:ascii="Arial" w:cs="Arial" w:eastAsia="Arial" w:hAnsi="Arial"/>
                <w:sz w:val="13"/>
                <w:szCs w:val="13"/>
                <w:color w:val="auto"/>
              </w:rPr>
              <w:t>Carolina Beverage Group,</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w w:val="92"/>
              </w:rPr>
              <w:t>08/01/2018</w:t>
            </w:r>
          </w:p>
        </w:tc>
        <w:tc>
          <w:tcPr>
            <w:tcW w:w="360" w:type="dxa"/>
            <w:vAlign w:val="bottom"/>
          </w:tcPr>
          <w:p>
            <w:pPr>
              <w:spacing w:after="0"/>
              <w:rPr>
                <w:sz w:val="10"/>
                <w:szCs w:val="10"/>
                <w:color w:val="auto"/>
              </w:rPr>
            </w:pPr>
          </w:p>
        </w:tc>
        <w:tc>
          <w:tcPr>
            <w:tcW w:w="1960" w:type="dxa"/>
            <w:vAlign w:val="bottom"/>
            <w:gridSpan w:val="2"/>
          </w:tcPr>
          <w:p>
            <w:pPr>
              <w:jc w:val="center"/>
              <w:ind w:right="140"/>
              <w:spacing w:after="0" w:line="122" w:lineRule="exact"/>
              <w:rPr>
                <w:sz w:val="20"/>
                <w:szCs w:val="20"/>
                <w:color w:val="auto"/>
              </w:rPr>
            </w:pPr>
            <w:r>
              <w:rPr>
                <w:rFonts w:ascii="Arial" w:cs="Arial" w:eastAsia="Arial" w:hAnsi="Arial"/>
                <w:sz w:val="13"/>
                <w:szCs w:val="13"/>
                <w:color w:val="auto"/>
                <w:w w:val="92"/>
              </w:rPr>
              <w:t>Beverage, Food and Tobacco</w:t>
            </w:r>
          </w:p>
        </w:tc>
        <w:tc>
          <w:tcPr>
            <w:tcW w:w="1100" w:type="dxa"/>
            <w:vAlign w:val="bottom"/>
            <w:gridSpan w:val="2"/>
          </w:tcPr>
          <w:p>
            <w:pPr>
              <w:jc w:val="right"/>
              <w:ind w:right="173"/>
              <w:spacing w:after="0" w:line="122" w:lineRule="exact"/>
              <w:rPr>
                <w:sz w:val="20"/>
                <w:szCs w:val="20"/>
                <w:color w:val="auto"/>
              </w:rPr>
            </w:pPr>
            <w:r>
              <w:rPr>
                <w:rFonts w:ascii="Arial" w:cs="Arial" w:eastAsia="Arial" w:hAnsi="Arial"/>
                <w:sz w:val="13"/>
                <w:szCs w:val="13"/>
                <w:color w:val="auto"/>
              </w:rPr>
              <w:t>10.63%</w:t>
            </w:r>
          </w:p>
        </w:tc>
        <w:tc>
          <w:tcPr>
            <w:tcW w:w="1140" w:type="dxa"/>
            <w:vAlign w:val="bottom"/>
            <w:gridSpan w:val="2"/>
          </w:tcPr>
          <w:p>
            <w:pPr>
              <w:jc w:val="right"/>
              <w:ind w:right="220"/>
              <w:spacing w:after="0" w:line="122"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3"/>
                <w:szCs w:val="13"/>
                <w:color w:val="auto"/>
              </w:rPr>
              <w:t>3,500,000</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3"/>
                <w:szCs w:val="13"/>
                <w:color w:val="auto"/>
              </w:rPr>
              <w:t>3,500,000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3"/>
                <w:szCs w:val="13"/>
                <w:color w:val="auto"/>
              </w:rPr>
              <w:t>3,578,750</w:t>
            </w:r>
          </w:p>
        </w:tc>
        <w:tc>
          <w:tcPr>
            <w:tcW w:w="0" w:type="dxa"/>
            <w:vAlign w:val="bottom"/>
          </w:tcPr>
          <w:p>
            <w:pPr>
              <w:spacing w:after="0"/>
              <w:rPr>
                <w:sz w:val="1"/>
                <w:szCs w:val="1"/>
                <w:color w:val="auto"/>
              </w:rPr>
            </w:pPr>
          </w:p>
        </w:tc>
      </w:tr>
      <w:tr>
        <w:trPr>
          <w:trHeight w:val="176"/>
        </w:trPr>
        <w:tc>
          <w:tcPr>
            <w:tcW w:w="2920" w:type="dxa"/>
            <w:vAlign w:val="bottom"/>
            <w:gridSpan w:val="3"/>
          </w:tcPr>
          <w:p>
            <w:pPr>
              <w:ind w:left="220"/>
              <w:spacing w:after="0" w:line="176" w:lineRule="exact"/>
              <w:rPr>
                <w:sz w:val="20"/>
                <w:szCs w:val="20"/>
                <w:color w:val="auto"/>
              </w:rPr>
            </w:pPr>
            <w:r>
              <w:rPr>
                <w:rFonts w:ascii="Arial" w:cs="Arial" w:eastAsia="Arial" w:hAnsi="Arial"/>
                <w:sz w:val="20"/>
                <w:szCs w:val="20"/>
                <w:color w:val="auto"/>
                <w:vertAlign w:val="subscript"/>
              </w:rPr>
              <w:t>LLC</w:t>
            </w:r>
            <w:r>
              <w:rPr>
                <w:rFonts w:ascii="Arial" w:cs="Arial" w:eastAsia="Arial" w:hAnsi="Arial"/>
                <w:sz w:val="10"/>
                <w:szCs w:val="10"/>
                <w:color w:val="auto"/>
              </w:rPr>
              <w:t xml:space="preserve"> (5), (8)</w:t>
            </w: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color w:val="auto"/>
              </w:rPr>
              <w:t xml:space="preserve">Gastar Exploration USA, Inc. </w:t>
            </w:r>
            <w:r>
              <w:rPr>
                <w:rFonts w:ascii="Arial" w:cs="Arial" w:eastAsia="Arial" w:hAnsi="Arial"/>
                <w:sz w:val="17"/>
                <w:szCs w:val="17"/>
                <w:color w:val="auto"/>
                <w:vertAlign w:val="superscript"/>
              </w:rPr>
              <w:t>(5), (8)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05/15/2018</w:t>
            </w:r>
          </w:p>
        </w:tc>
        <w:tc>
          <w:tcPr>
            <w:tcW w:w="3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3"/>
              </w:rPr>
              <w:t>Energy: Oil and Gas</w:t>
            </w:r>
          </w:p>
        </w:tc>
        <w:tc>
          <w:tcPr>
            <w:tcW w:w="110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8.63%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2,000,000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1,890,000</w:t>
            </w:r>
          </w:p>
        </w:tc>
        <w:tc>
          <w:tcPr>
            <w:tcW w:w="0" w:type="dxa"/>
            <w:vAlign w:val="bottom"/>
          </w:tcPr>
          <w:p>
            <w:pPr>
              <w:spacing w:after="0"/>
              <w:rPr>
                <w:sz w:val="1"/>
                <w:szCs w:val="1"/>
                <w:color w:val="auto"/>
              </w:rPr>
            </w:pPr>
          </w:p>
        </w:tc>
      </w:tr>
      <w:tr>
        <w:trPr>
          <w:trHeight w:val="148"/>
        </w:trPr>
        <w:tc>
          <w:tcPr>
            <w:tcW w:w="2920" w:type="dxa"/>
            <w:vAlign w:val="bottom"/>
            <w:gridSpan w:val="3"/>
          </w:tcPr>
          <w:p>
            <w:pPr>
              <w:spacing w:after="0"/>
              <w:rPr>
                <w:sz w:val="20"/>
                <w:szCs w:val="20"/>
                <w:color w:val="auto"/>
              </w:rPr>
            </w:pPr>
            <w:r>
              <w:rPr>
                <w:rFonts w:ascii="Arial" w:cs="Arial" w:eastAsia="Arial" w:hAnsi="Arial"/>
                <w:sz w:val="13"/>
                <w:szCs w:val="13"/>
                <w:color w:val="auto"/>
              </w:rPr>
              <w:t>ILC Industries, LLC</w:t>
            </w:r>
          </w:p>
        </w:tc>
        <w:tc>
          <w:tcPr>
            <w:tcW w:w="620" w:type="dxa"/>
            <w:vAlign w:val="bottom"/>
          </w:tcPr>
          <w:p>
            <w:pPr>
              <w:jc w:val="right"/>
              <w:spacing w:after="0"/>
              <w:rPr>
                <w:sz w:val="20"/>
                <w:szCs w:val="20"/>
                <w:color w:val="auto"/>
              </w:rPr>
            </w:pPr>
            <w:r>
              <w:rPr>
                <w:rFonts w:ascii="Arial" w:cs="Arial" w:eastAsia="Arial" w:hAnsi="Arial"/>
                <w:sz w:val="13"/>
                <w:szCs w:val="13"/>
                <w:color w:val="auto"/>
                <w:w w:val="92"/>
              </w:rPr>
              <w:t>06/14/2019</w:t>
            </w:r>
          </w:p>
        </w:tc>
        <w:tc>
          <w:tcPr>
            <w:tcW w:w="360" w:type="dxa"/>
            <w:vAlign w:val="bottom"/>
          </w:tcPr>
          <w:p>
            <w:pPr>
              <w:spacing w:after="0"/>
              <w:rPr>
                <w:sz w:val="12"/>
                <w:szCs w:val="12"/>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High Tech Industries</w:t>
            </w:r>
          </w:p>
        </w:tc>
        <w:tc>
          <w:tcPr>
            <w:tcW w:w="1100" w:type="dxa"/>
            <w:vAlign w:val="bottom"/>
            <w:gridSpan w:val="2"/>
          </w:tcPr>
          <w:p>
            <w:pPr>
              <w:jc w:val="right"/>
              <w:ind w:right="173"/>
              <w:spacing w:after="0"/>
              <w:rPr>
                <w:sz w:val="20"/>
                <w:szCs w:val="20"/>
                <w:color w:val="auto"/>
              </w:rPr>
            </w:pPr>
            <w:r>
              <w:rPr>
                <w:rFonts w:ascii="Arial" w:cs="Arial" w:eastAsia="Arial" w:hAnsi="Arial"/>
                <w:sz w:val="13"/>
                <w:szCs w:val="13"/>
                <w:color w:val="auto"/>
              </w:rPr>
              <w:t>11.50%</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L+1,000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2,000,000</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1,920,000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1,840,000</w:t>
            </w:r>
          </w:p>
        </w:tc>
        <w:tc>
          <w:tcPr>
            <w:tcW w:w="0" w:type="dxa"/>
            <w:vAlign w:val="bottom"/>
          </w:tcPr>
          <w:p>
            <w:pPr>
              <w:spacing w:after="0"/>
              <w:rPr>
                <w:sz w:val="1"/>
                <w:szCs w:val="1"/>
                <w:color w:val="auto"/>
              </w:rPr>
            </w:pPr>
          </w:p>
        </w:tc>
      </w:tr>
      <w:tr>
        <w:trPr>
          <w:trHeight w:val="148"/>
        </w:trPr>
        <w:tc>
          <w:tcPr>
            <w:tcW w:w="29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Language Line, LLC</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12/20/2016</w:t>
            </w:r>
          </w:p>
        </w:tc>
        <w:tc>
          <w:tcPr>
            <w:tcW w:w="3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Consumer Services</w:t>
            </w:r>
          </w:p>
        </w:tc>
        <w:tc>
          <w:tcPr>
            <w:tcW w:w="110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10.50%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L+875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7,100,000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6,998,223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6,981,643</w:t>
            </w:r>
          </w:p>
        </w:tc>
        <w:tc>
          <w:tcPr>
            <w:tcW w:w="0" w:type="dxa"/>
            <w:vAlign w:val="bottom"/>
          </w:tcPr>
          <w:p>
            <w:pPr>
              <w:spacing w:after="0"/>
              <w:rPr>
                <w:sz w:val="1"/>
                <w:szCs w:val="1"/>
                <w:color w:val="auto"/>
              </w:rPr>
            </w:pPr>
          </w:p>
        </w:tc>
      </w:tr>
      <w:tr>
        <w:trPr>
          <w:trHeight w:val="156"/>
        </w:trPr>
        <w:tc>
          <w:tcPr>
            <w:tcW w:w="2920" w:type="dxa"/>
            <w:vAlign w:val="bottom"/>
            <w:gridSpan w:val="3"/>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right"/>
              <w:spacing w:after="0"/>
              <w:rPr>
                <w:sz w:val="20"/>
                <w:szCs w:val="20"/>
                <w:color w:val="auto"/>
              </w:rPr>
            </w:pPr>
            <w:r>
              <w:rPr>
                <w:rFonts w:ascii="Arial" w:cs="Arial" w:eastAsia="Arial" w:hAnsi="Arial"/>
                <w:sz w:val="13"/>
                <w:szCs w:val="13"/>
                <w:color w:val="auto"/>
                <w:w w:val="92"/>
              </w:rPr>
              <w:t>05/15/2019</w:t>
            </w:r>
          </w:p>
        </w:tc>
        <w:tc>
          <w:tcPr>
            <w:tcW w:w="360" w:type="dxa"/>
            <w:vAlign w:val="bottom"/>
          </w:tcPr>
          <w:p>
            <w:pPr>
              <w:spacing w:after="0"/>
              <w:rPr>
                <w:sz w:val="13"/>
                <w:szCs w:val="13"/>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3"/>
                <w:szCs w:val="13"/>
                <w:color w:val="auto"/>
                <w:w w:val="94"/>
              </w:rPr>
              <w:t>Hotel, Gaming and Leisure</w:t>
            </w:r>
          </w:p>
        </w:tc>
        <w:tc>
          <w:tcPr>
            <w:tcW w:w="1100" w:type="dxa"/>
            <w:vAlign w:val="bottom"/>
            <w:gridSpan w:val="2"/>
          </w:tcPr>
          <w:p>
            <w:pPr>
              <w:jc w:val="right"/>
              <w:ind w:right="173"/>
              <w:spacing w:after="0"/>
              <w:rPr>
                <w:sz w:val="20"/>
                <w:szCs w:val="20"/>
                <w:color w:val="auto"/>
              </w:rPr>
            </w:pPr>
            <w:r>
              <w:rPr>
                <w:rFonts w:ascii="Arial" w:cs="Arial" w:eastAsia="Arial" w:hAnsi="Arial"/>
                <w:sz w:val="13"/>
                <w:szCs w:val="13"/>
                <w:color w:val="auto"/>
              </w:rPr>
              <w:t>9.13%</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1,500,000</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1,635,000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27,351,492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27,499,315</w:t>
            </w:r>
          </w:p>
        </w:tc>
        <w:tc>
          <w:tcPr>
            <w:tcW w:w="0" w:type="dxa"/>
            <w:vAlign w:val="bottom"/>
          </w:tcPr>
          <w:p>
            <w:pPr>
              <w:spacing w:after="0"/>
              <w:rPr>
                <w:sz w:val="1"/>
                <w:szCs w:val="1"/>
                <w:color w:val="auto"/>
              </w:rPr>
            </w:pPr>
          </w:p>
        </w:tc>
      </w:tr>
      <w:tr>
        <w:trPr>
          <w:trHeight w:val="128"/>
        </w:trPr>
        <w:tc>
          <w:tcPr>
            <w:tcW w:w="292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Subordinated Debt/Corporate</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920" w:type="dxa"/>
            <w:vAlign w:val="bottom"/>
            <w:gridSpan w:val="3"/>
          </w:tcPr>
          <w:p>
            <w:pPr>
              <w:ind w:left="220"/>
              <w:spacing w:after="0" w:line="176" w:lineRule="exact"/>
              <w:rPr>
                <w:sz w:val="20"/>
                <w:szCs w:val="20"/>
                <w:color w:val="auto"/>
              </w:rPr>
            </w:pPr>
            <w:r>
              <w:rPr>
                <w:rFonts w:ascii="Arial" w:cs="Arial" w:eastAsia="Arial" w:hAnsi="Arial"/>
                <w:sz w:val="12"/>
                <w:szCs w:val="12"/>
                <w:b w:val="1"/>
                <w:bCs w:val="1"/>
                <w:color w:val="auto"/>
              </w:rPr>
              <w:t xml:space="preserve">Notes—4.3% </w:t>
            </w:r>
            <w:r>
              <w:rPr>
                <w:rFonts w:ascii="Arial" w:cs="Arial" w:eastAsia="Arial" w:hAnsi="Arial"/>
                <w:sz w:val="20"/>
                <w:szCs w:val="20"/>
                <w:b w:val="1"/>
                <w:bCs w:val="1"/>
                <w:color w:val="auto"/>
                <w:vertAlign w:val="superscript"/>
              </w:rPr>
              <w:t>(8)</w:t>
            </w: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9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11/15/2015</w:t>
            </w:r>
          </w:p>
        </w:tc>
        <w:tc>
          <w:tcPr>
            <w:tcW w:w="3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Consumer Goods: Durable</w:t>
            </w:r>
          </w:p>
        </w:tc>
        <w:tc>
          <w:tcPr>
            <w:tcW w:w="110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11.63%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4,100,000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3,873,657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2,357,500</w:t>
            </w:r>
          </w:p>
        </w:tc>
        <w:tc>
          <w:tcPr>
            <w:tcW w:w="0" w:type="dxa"/>
            <w:vAlign w:val="bottom"/>
          </w:tcPr>
          <w:p>
            <w:pPr>
              <w:spacing w:after="0"/>
              <w:rPr>
                <w:sz w:val="1"/>
                <w:szCs w:val="1"/>
                <w:color w:val="auto"/>
              </w:rPr>
            </w:pPr>
          </w:p>
        </w:tc>
      </w:tr>
      <w:tr>
        <w:trPr>
          <w:trHeight w:val="148"/>
        </w:trPr>
        <w:tc>
          <w:tcPr>
            <w:tcW w:w="2920" w:type="dxa"/>
            <w:vAlign w:val="bottom"/>
            <w:gridSpan w:val="3"/>
          </w:tcPr>
          <w:p>
            <w:pPr>
              <w:spacing w:after="0"/>
              <w:rPr>
                <w:sz w:val="20"/>
                <w:szCs w:val="20"/>
                <w:color w:val="auto"/>
              </w:rPr>
            </w:pPr>
            <w:r>
              <w:rPr>
                <w:rFonts w:ascii="Arial" w:cs="Arial" w:eastAsia="Arial" w:hAnsi="Arial"/>
                <w:sz w:val="13"/>
                <w:szCs w:val="13"/>
                <w:color w:val="auto"/>
              </w:rPr>
              <w:t>Credit Infonet, Inc.</w:t>
            </w:r>
          </w:p>
        </w:tc>
        <w:tc>
          <w:tcPr>
            <w:tcW w:w="620" w:type="dxa"/>
            <w:vAlign w:val="bottom"/>
          </w:tcPr>
          <w:p>
            <w:pPr>
              <w:jc w:val="right"/>
              <w:spacing w:after="0"/>
              <w:rPr>
                <w:sz w:val="20"/>
                <w:szCs w:val="20"/>
                <w:color w:val="auto"/>
              </w:rPr>
            </w:pPr>
            <w:r>
              <w:rPr>
                <w:rFonts w:ascii="Arial" w:cs="Arial" w:eastAsia="Arial" w:hAnsi="Arial"/>
                <w:sz w:val="13"/>
                <w:szCs w:val="13"/>
                <w:color w:val="auto"/>
                <w:w w:val="92"/>
              </w:rPr>
              <w:t>10/26/2018</w:t>
            </w:r>
          </w:p>
        </w:tc>
        <w:tc>
          <w:tcPr>
            <w:tcW w:w="360" w:type="dxa"/>
            <w:vAlign w:val="bottom"/>
          </w:tcPr>
          <w:p>
            <w:pPr>
              <w:spacing w:after="0"/>
              <w:rPr>
                <w:sz w:val="12"/>
                <w:szCs w:val="12"/>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High Tech Industries</w:t>
            </w:r>
          </w:p>
        </w:tc>
        <w:tc>
          <w:tcPr>
            <w:tcW w:w="1100" w:type="dxa"/>
            <w:vAlign w:val="bottom"/>
            <w:gridSpan w:val="2"/>
          </w:tcPr>
          <w:p>
            <w:pPr>
              <w:jc w:val="right"/>
              <w:ind w:right="173"/>
              <w:spacing w:after="0"/>
              <w:rPr>
                <w:sz w:val="20"/>
                <w:szCs w:val="20"/>
                <w:color w:val="auto"/>
              </w:rPr>
            </w:pPr>
            <w:r>
              <w:rPr>
                <w:rFonts w:ascii="Arial" w:cs="Arial" w:eastAsia="Arial" w:hAnsi="Arial"/>
                <w:sz w:val="13"/>
                <w:szCs w:val="13"/>
                <w:color w:val="auto"/>
              </w:rPr>
              <w:t>12.25%</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1,987,500</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1,949,883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1,997,517</w:t>
            </w:r>
          </w:p>
        </w:tc>
        <w:tc>
          <w:tcPr>
            <w:tcW w:w="0" w:type="dxa"/>
            <w:vAlign w:val="bottom"/>
          </w:tcPr>
          <w:p>
            <w:pPr>
              <w:spacing w:after="0"/>
              <w:rPr>
                <w:sz w:val="1"/>
                <w:szCs w:val="1"/>
                <w:color w:val="auto"/>
              </w:rPr>
            </w:pPr>
          </w:p>
        </w:tc>
      </w:tr>
      <w:tr>
        <w:trPr>
          <w:trHeight w:val="138"/>
        </w:trPr>
        <w:tc>
          <w:tcPr>
            <w:tcW w:w="292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Varel International Energy Mezzanine Funding</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2"/>
              </w:rPr>
              <w:t>01/15/2018</w:t>
            </w:r>
          </w:p>
        </w:tc>
        <w:tc>
          <w:tcPr>
            <w:tcW w:w="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3"/>
                <w:szCs w:val="13"/>
                <w:color w:val="auto"/>
                <w:w w:val="93"/>
              </w:rPr>
              <w:t>Energy: Oil and Gas</w:t>
            </w:r>
          </w:p>
        </w:tc>
        <w:tc>
          <w:tcPr>
            <w:tcW w:w="1100" w:type="dxa"/>
            <w:vAlign w:val="bottom"/>
            <w:gridSpan w:val="2"/>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14.00%</w:t>
            </w:r>
          </w:p>
        </w:tc>
        <w:tc>
          <w:tcPr>
            <w:tcW w:w="11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1,810,934</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1,780,211</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1,793,834</w:t>
            </w:r>
          </w:p>
        </w:tc>
        <w:tc>
          <w:tcPr>
            <w:tcW w:w="0" w:type="dxa"/>
            <w:vAlign w:val="bottom"/>
          </w:tcPr>
          <w:p>
            <w:pPr>
              <w:spacing w:after="0"/>
              <w:rPr>
                <w:sz w:val="1"/>
                <w:szCs w:val="1"/>
                <w:color w:val="auto"/>
              </w:rPr>
            </w:pPr>
          </w:p>
        </w:tc>
      </w:tr>
      <w:tr>
        <w:trPr>
          <w:trHeight w:val="173"/>
        </w:trPr>
        <w:tc>
          <w:tcPr>
            <w:tcW w:w="292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Corp.</w:t>
            </w: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(PIK 4.00%)</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920" w:type="dxa"/>
            <w:vAlign w:val="bottom"/>
            <w:gridSpan w:val="3"/>
          </w:tcPr>
          <w:p>
            <w:pPr>
              <w:spacing w:after="0" w:line="138" w:lineRule="exact"/>
              <w:rPr>
                <w:sz w:val="20"/>
                <w:szCs w:val="20"/>
                <w:color w:val="auto"/>
              </w:rPr>
            </w:pPr>
            <w:r>
              <w:rPr>
                <w:rFonts w:ascii="Arial" w:cs="Arial" w:eastAsia="Arial" w:hAnsi="Arial"/>
                <w:sz w:val="13"/>
                <w:szCs w:val="13"/>
                <w:color w:val="auto"/>
              </w:rPr>
              <w:t>Vestcom International, Inc.</w:t>
            </w: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w w:val="92"/>
              </w:rPr>
              <w:t>06/27/2019</w:t>
            </w:r>
          </w:p>
        </w:tc>
        <w:tc>
          <w:tcPr>
            <w:tcW w:w="360" w:type="dxa"/>
            <w:vAlign w:val="bottom"/>
          </w:tcPr>
          <w:p>
            <w:pPr>
              <w:spacing w:after="0"/>
              <w:rPr>
                <w:sz w:val="11"/>
                <w:szCs w:val="11"/>
                <w:color w:val="auto"/>
              </w:rPr>
            </w:pPr>
          </w:p>
        </w:tc>
        <w:tc>
          <w:tcPr>
            <w:tcW w:w="1960" w:type="dxa"/>
            <w:vAlign w:val="bottom"/>
            <w:gridSpan w:val="2"/>
          </w:tcPr>
          <w:p>
            <w:pPr>
              <w:jc w:val="center"/>
              <w:ind w:right="140"/>
              <w:spacing w:after="0" w:line="138" w:lineRule="exact"/>
              <w:rPr>
                <w:sz w:val="20"/>
                <w:szCs w:val="20"/>
                <w:color w:val="auto"/>
              </w:rPr>
            </w:pPr>
            <w:r>
              <w:rPr>
                <w:rFonts w:ascii="Arial" w:cs="Arial" w:eastAsia="Arial" w:hAnsi="Arial"/>
                <w:sz w:val="13"/>
                <w:szCs w:val="13"/>
                <w:color w:val="auto"/>
                <w:w w:val="96"/>
              </w:rPr>
              <w:t>Media: Advertising, Printing and</w:t>
            </w:r>
          </w:p>
        </w:tc>
        <w:tc>
          <w:tcPr>
            <w:tcW w:w="1100" w:type="dxa"/>
            <w:vAlign w:val="bottom"/>
            <w:gridSpan w:val="2"/>
          </w:tcPr>
          <w:p>
            <w:pPr>
              <w:jc w:val="right"/>
              <w:ind w:right="173"/>
              <w:spacing w:after="0" w:line="138" w:lineRule="exact"/>
              <w:rPr>
                <w:sz w:val="20"/>
                <w:szCs w:val="20"/>
                <w:color w:val="auto"/>
              </w:rPr>
            </w:pPr>
            <w:r>
              <w:rPr>
                <w:rFonts w:ascii="Arial" w:cs="Arial" w:eastAsia="Arial" w:hAnsi="Arial"/>
                <w:sz w:val="13"/>
                <w:szCs w:val="13"/>
                <w:color w:val="auto"/>
              </w:rPr>
              <w:t>12.00%</w:t>
            </w:r>
          </w:p>
        </w:tc>
        <w:tc>
          <w:tcPr>
            <w:tcW w:w="114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2,859,027</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2,806,095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2,854,319</w:t>
            </w:r>
          </w:p>
        </w:tc>
        <w:tc>
          <w:tcPr>
            <w:tcW w:w="0" w:type="dxa"/>
            <w:vAlign w:val="bottom"/>
          </w:tcPr>
          <w:p>
            <w:pPr>
              <w:spacing w:after="0"/>
              <w:rPr>
                <w:sz w:val="1"/>
                <w:szCs w:val="1"/>
                <w:color w:val="auto"/>
              </w:rPr>
            </w:pPr>
          </w:p>
        </w:tc>
      </w:tr>
      <w:tr>
        <w:trPr>
          <w:trHeight w:val="166"/>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Publishing</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2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Total Subordinated Debt/</w:t>
            </w: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10,409,846</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9,003,170</w:t>
            </w:r>
          </w:p>
        </w:tc>
        <w:tc>
          <w:tcPr>
            <w:tcW w:w="0" w:type="dxa"/>
            <w:vAlign w:val="bottom"/>
          </w:tcPr>
          <w:p>
            <w:pPr>
              <w:spacing w:after="0"/>
              <w:rPr>
                <w:sz w:val="1"/>
                <w:szCs w:val="1"/>
                <w:color w:val="auto"/>
              </w:rPr>
            </w:pPr>
          </w:p>
        </w:tc>
      </w:tr>
      <w:tr>
        <w:trPr>
          <w:trHeight w:val="161"/>
        </w:trPr>
        <w:tc>
          <w:tcPr>
            <w:tcW w:w="2920" w:type="dxa"/>
            <w:vAlign w:val="bottom"/>
            <w:gridSpan w:val="3"/>
            <w:shd w:val="clear" w:color="auto" w:fill="CCEEFF"/>
          </w:tcPr>
          <w:p>
            <w:pPr>
              <w:ind w:left="220"/>
              <w:spacing w:after="0"/>
              <w:rPr>
                <w:sz w:val="20"/>
                <w:szCs w:val="20"/>
                <w:color w:val="auto"/>
              </w:rPr>
            </w:pPr>
            <w:r>
              <w:rPr>
                <w:rFonts w:ascii="Arial" w:cs="Arial" w:eastAsia="Arial" w:hAnsi="Arial"/>
                <w:sz w:val="13"/>
                <w:szCs w:val="13"/>
                <w:b w:val="1"/>
                <w:bCs w:val="1"/>
                <w:color w:val="auto"/>
              </w:rPr>
              <w:t>Corporate Notes</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20" w:type="dxa"/>
            <w:vAlign w:val="bottom"/>
            <w:gridSpan w:val="3"/>
          </w:tcPr>
          <w:p>
            <w:pPr>
              <w:spacing w:after="0" w:line="156" w:lineRule="exact"/>
              <w:rPr>
                <w:sz w:val="20"/>
                <w:szCs w:val="20"/>
                <w:color w:val="auto"/>
              </w:rPr>
            </w:pPr>
            <w:r>
              <w:rPr>
                <w:rFonts w:ascii="Arial" w:cs="Arial" w:eastAsia="Arial" w:hAnsi="Arial"/>
                <w:sz w:val="11"/>
                <w:szCs w:val="11"/>
                <w:b w:val="1"/>
                <w:bCs w:val="1"/>
                <w:color w:val="auto"/>
              </w:rPr>
              <w:t xml:space="preserve">Common Equity/Warrants—0.1% </w:t>
            </w:r>
            <w:r>
              <w:rPr>
                <w:rFonts w:ascii="Arial" w:cs="Arial" w:eastAsia="Arial" w:hAnsi="Arial"/>
                <w:sz w:val="18"/>
                <w:szCs w:val="18"/>
                <w:b w:val="1"/>
                <w:bCs w:val="1"/>
                <w:color w:val="auto"/>
                <w:vertAlign w:val="superscript"/>
              </w:rPr>
              <w:t>(7), (8)</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UniTek Global Services, Inc. (Warrants)</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Telecommunications</w:t>
            </w:r>
          </w:p>
        </w:tc>
        <w:tc>
          <w:tcPr>
            <w:tcW w:w="110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56,717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95,284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66,926</w:t>
            </w:r>
          </w:p>
        </w:tc>
        <w:tc>
          <w:tcPr>
            <w:tcW w:w="0" w:type="dxa"/>
            <w:vAlign w:val="bottom"/>
          </w:tcPr>
          <w:p>
            <w:pPr>
              <w:spacing w:after="0"/>
              <w:rPr>
                <w:sz w:val="1"/>
                <w:szCs w:val="1"/>
                <w:color w:val="auto"/>
              </w:rPr>
            </w:pPr>
          </w:p>
        </w:tc>
      </w:tr>
      <w:tr>
        <w:trPr>
          <w:trHeight w:val="138"/>
        </w:trPr>
        <w:tc>
          <w:tcPr>
            <w:tcW w:w="2920" w:type="dxa"/>
            <w:vAlign w:val="bottom"/>
            <w:gridSpan w:val="3"/>
          </w:tcPr>
          <w:p>
            <w:pPr>
              <w:spacing w:after="0" w:line="138" w:lineRule="exact"/>
              <w:rPr>
                <w:sz w:val="20"/>
                <w:szCs w:val="20"/>
                <w:color w:val="auto"/>
              </w:rPr>
            </w:pPr>
            <w:r>
              <w:rPr>
                <w:rFonts w:ascii="Arial" w:cs="Arial" w:eastAsia="Arial" w:hAnsi="Arial"/>
                <w:sz w:val="13"/>
                <w:szCs w:val="13"/>
                <w:color w:val="auto"/>
              </w:rPr>
              <w:t>Vestcom Parent Holdings, Inc.</w:t>
            </w:r>
          </w:p>
        </w:tc>
        <w:tc>
          <w:tcPr>
            <w:tcW w:w="980" w:type="dxa"/>
            <w:vAlign w:val="bottom"/>
            <w:gridSpan w:val="2"/>
          </w:tcPr>
          <w:p>
            <w:pPr>
              <w:ind w:left="360"/>
              <w:spacing w:after="0" w:line="138" w:lineRule="exact"/>
              <w:rPr>
                <w:sz w:val="20"/>
                <w:szCs w:val="20"/>
                <w:color w:val="auto"/>
              </w:rPr>
            </w:pPr>
            <w:r>
              <w:rPr>
                <w:rFonts w:ascii="Arial" w:cs="Arial" w:eastAsia="Arial" w:hAnsi="Arial"/>
                <w:sz w:val="13"/>
                <w:szCs w:val="13"/>
                <w:color w:val="auto"/>
              </w:rPr>
              <w:t>—</w:t>
            </w:r>
          </w:p>
        </w:tc>
        <w:tc>
          <w:tcPr>
            <w:tcW w:w="1960" w:type="dxa"/>
            <w:vAlign w:val="bottom"/>
            <w:gridSpan w:val="2"/>
          </w:tcPr>
          <w:p>
            <w:pPr>
              <w:jc w:val="center"/>
              <w:ind w:right="140"/>
              <w:spacing w:after="0" w:line="138" w:lineRule="exact"/>
              <w:rPr>
                <w:sz w:val="20"/>
                <w:szCs w:val="20"/>
                <w:color w:val="auto"/>
              </w:rPr>
            </w:pPr>
            <w:r>
              <w:rPr>
                <w:rFonts w:ascii="Arial" w:cs="Arial" w:eastAsia="Arial" w:hAnsi="Arial"/>
                <w:sz w:val="13"/>
                <w:szCs w:val="13"/>
                <w:color w:val="auto"/>
                <w:w w:val="96"/>
              </w:rPr>
              <w:t>Media: Advertising, Printing and</w:t>
            </w:r>
          </w:p>
        </w:tc>
        <w:tc>
          <w:tcPr>
            <w:tcW w:w="1100" w:type="dxa"/>
            <w:vAlign w:val="bottom"/>
            <w:gridSpan w:val="2"/>
          </w:tcPr>
          <w:p>
            <w:pPr>
              <w:jc w:val="right"/>
              <w:ind w:right="293"/>
              <w:spacing w:after="0" w:line="138"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15,179</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166,667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188,235</w:t>
            </w:r>
          </w:p>
        </w:tc>
        <w:tc>
          <w:tcPr>
            <w:tcW w:w="0" w:type="dxa"/>
            <w:vAlign w:val="bottom"/>
          </w:tcPr>
          <w:p>
            <w:pPr>
              <w:spacing w:after="0"/>
              <w:rPr>
                <w:sz w:val="1"/>
                <w:szCs w:val="1"/>
                <w:color w:val="auto"/>
              </w:rPr>
            </w:pPr>
          </w:p>
        </w:tc>
      </w:tr>
      <w:tr>
        <w:trPr>
          <w:trHeight w:val="166"/>
        </w:trPr>
        <w:tc>
          <w:tcPr>
            <w:tcW w:w="2920" w:type="dxa"/>
            <w:vAlign w:val="bottom"/>
            <w:gridSpan w:val="3"/>
          </w:tcPr>
          <w:p>
            <w:pPr>
              <w:ind w:left="220"/>
              <w:spacing w:after="0"/>
              <w:rPr>
                <w:sz w:val="20"/>
                <w:szCs w:val="20"/>
                <w:color w:val="auto"/>
              </w:rPr>
            </w:pPr>
            <w:r>
              <w:rPr>
                <w:rFonts w:ascii="Arial" w:cs="Arial" w:eastAsia="Arial" w:hAnsi="Arial"/>
                <w:sz w:val="13"/>
                <w:szCs w:val="13"/>
                <w:color w:val="auto"/>
              </w:rPr>
              <w:t>(Vestcom International, Inc.)</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Publishing</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Total Common Equity/Warrants</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261,951</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255,161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860" w:type="dxa"/>
            <w:vAlign w:val="bottom"/>
            <w:gridSpan w:val="7"/>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9"/>
              </w:rPr>
              <w:t>319,283,468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317,803,894</w:t>
            </w:r>
          </w:p>
        </w:tc>
        <w:tc>
          <w:tcPr>
            <w:tcW w:w="0" w:type="dxa"/>
            <w:vAlign w:val="bottom"/>
          </w:tcPr>
          <w:p>
            <w:pPr>
              <w:spacing w:after="0"/>
              <w:rPr>
                <w:sz w:val="1"/>
                <w:szCs w:val="1"/>
                <w:color w:val="auto"/>
              </w:rPr>
            </w:pPr>
          </w:p>
        </w:tc>
      </w:tr>
      <w:tr>
        <w:trPr>
          <w:trHeight w:val="149"/>
        </w:trPr>
        <w:tc>
          <w:tcPr>
            <w:tcW w:w="29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Cash Equivalents—2.2%</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gridSpan w:val="5"/>
          </w:tcPr>
          <w:p>
            <w:pPr>
              <w:spacing w:after="0"/>
              <w:rPr>
                <w:sz w:val="20"/>
                <w:szCs w:val="20"/>
                <w:color w:val="auto"/>
              </w:rPr>
            </w:pPr>
            <w:r>
              <w:rPr>
                <w:rFonts w:ascii="Arial" w:cs="Arial" w:eastAsia="Arial" w:hAnsi="Arial"/>
                <w:sz w:val="13"/>
                <w:szCs w:val="13"/>
                <w:color w:val="auto"/>
              </w:rPr>
              <w:t>BlackRock Liquidity Funds, Temp Cash, Institutional Shares</w:t>
            </w: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2,747,327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2,747,327</w:t>
            </w:r>
          </w:p>
        </w:tc>
        <w:tc>
          <w:tcPr>
            <w:tcW w:w="0" w:type="dxa"/>
            <w:vAlign w:val="bottom"/>
          </w:tcPr>
          <w:p>
            <w:pPr>
              <w:spacing w:after="0"/>
              <w:rPr>
                <w:sz w:val="1"/>
                <w:szCs w:val="1"/>
                <w:color w:val="auto"/>
              </w:rPr>
            </w:pPr>
          </w:p>
        </w:tc>
      </w:tr>
      <w:tr>
        <w:trPr>
          <w:trHeight w:val="148"/>
        </w:trPr>
        <w:tc>
          <w:tcPr>
            <w:tcW w:w="390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BlackRock Liquidity Funds, Temp Fund, Institutional Shares</w:t>
            </w:r>
          </w:p>
        </w:tc>
        <w:tc>
          <w:tcPr>
            <w:tcW w:w="1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1,830,922</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1,830,922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920" w:type="dxa"/>
            <w:vAlign w:val="bottom"/>
            <w:gridSpan w:val="3"/>
          </w:tcPr>
          <w:p>
            <w:pPr>
              <w:spacing w:after="0"/>
              <w:rPr>
                <w:sz w:val="20"/>
                <w:szCs w:val="20"/>
                <w:color w:val="auto"/>
              </w:rPr>
            </w:pPr>
            <w:r>
              <w:rPr>
                <w:rFonts w:ascii="Arial" w:cs="Arial" w:eastAsia="Arial" w:hAnsi="Arial"/>
                <w:sz w:val="13"/>
                <w:szCs w:val="13"/>
                <w:b w:val="1"/>
                <w:bCs w:val="1"/>
                <w:color w:val="auto"/>
              </w:rPr>
              <w:t>Total Cash Equivalents</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4,578,249</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4,578,249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w w:val="94"/>
              </w:rPr>
              <w:t>Total Investments and Cash Equivalents—153.5%</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323,861,717</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322,382,143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Liabilities in Excess of Other Assets—(53.5)%</w:t>
            </w: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2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(112,315,749)</w:t>
            </w:r>
          </w:p>
        </w:tc>
        <w:tc>
          <w:tcPr>
            <w:tcW w:w="0" w:type="dxa"/>
            <w:vAlign w:val="bottom"/>
          </w:tcPr>
          <w:p>
            <w:pPr>
              <w:spacing w:after="0"/>
              <w:rPr>
                <w:sz w:val="1"/>
                <w:szCs w:val="1"/>
                <w:color w:val="auto"/>
              </w:rPr>
            </w:pPr>
          </w:p>
        </w:tc>
      </w:tr>
      <w:tr>
        <w:trPr>
          <w:trHeight w:val="148"/>
        </w:trPr>
        <w:tc>
          <w:tcPr>
            <w:tcW w:w="29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210,066,394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INVESTMENTS—(Continued)</w:t>
      </w:r>
    </w:p>
    <w:p>
      <w:pPr>
        <w:jc w:val="center"/>
        <w:spacing w:after="0"/>
        <w:rPr>
          <w:sz w:val="20"/>
          <w:szCs w:val="20"/>
          <w:color w:val="auto"/>
        </w:rPr>
      </w:pPr>
      <w:r>
        <w:rPr>
          <w:rFonts w:ascii="Arial" w:cs="Arial" w:eastAsia="Arial" w:hAnsi="Arial"/>
          <w:sz w:val="13"/>
          <w:szCs w:val="13"/>
          <w:b w:val="1"/>
          <w:bCs w:val="1"/>
          <w:color w:val="auto"/>
        </w:rPr>
        <w:t>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187325</wp:posOffset>
            </wp:positionV>
            <wp:extent cx="14230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1" w:lineRule="exact"/>
        <w:rPr>
          <w:sz w:val="20"/>
          <w:szCs w:val="20"/>
          <w:color w:val="auto"/>
        </w:rPr>
      </w:pPr>
    </w:p>
    <w:p>
      <w:pPr>
        <w:ind w:left="360" w:hanging="352"/>
        <w:spacing w:after="0" w:line="274" w:lineRule="auto"/>
        <w:tabs>
          <w:tab w:leader="none" w:pos="3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spacing w:after="0" w:line="23" w:lineRule="exact"/>
        <w:rPr>
          <w:rFonts w:ascii="Arial" w:cs="Arial" w:eastAsia="Arial" w:hAnsi="Arial"/>
          <w:sz w:val="13"/>
          <w:szCs w:val="13"/>
          <w:color w:val="auto"/>
        </w:rPr>
      </w:pPr>
    </w:p>
    <w:p>
      <w:pPr>
        <w:ind w:left="360" w:hanging="352"/>
        <w:spacing w:after="0"/>
        <w:tabs>
          <w:tab w:leader="none" w:pos="36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spacing w:after="0" w:line="66" w:lineRule="exact"/>
        <w:rPr>
          <w:rFonts w:ascii="Arial" w:cs="Arial" w:eastAsia="Arial" w:hAnsi="Arial"/>
          <w:sz w:val="13"/>
          <w:szCs w:val="13"/>
          <w:color w:val="auto"/>
        </w:rPr>
      </w:pPr>
    </w:p>
    <w:p>
      <w:pPr>
        <w:ind w:left="360" w:right="520" w:hanging="352"/>
        <w:spacing w:after="0" w:line="316" w:lineRule="auto"/>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1" w:lineRule="exact"/>
        <w:rPr>
          <w:rFonts w:ascii="Arial" w:cs="Arial" w:eastAsia="Arial" w:hAnsi="Arial"/>
          <w:sz w:val="12"/>
          <w:szCs w:val="12"/>
          <w:color w:val="auto"/>
        </w:rPr>
      </w:pPr>
    </w:p>
    <w:p>
      <w:pPr>
        <w:ind w:left="360" w:right="280" w:hanging="352"/>
        <w:spacing w:after="0" w:line="274" w:lineRule="auto"/>
        <w:tabs>
          <w:tab w:leader="none" w:pos="3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spacing w:after="0" w:line="23" w:lineRule="exact"/>
        <w:rPr>
          <w:rFonts w:ascii="Arial" w:cs="Arial" w:eastAsia="Arial" w:hAnsi="Arial"/>
          <w:sz w:val="13"/>
          <w:szCs w:val="13"/>
          <w:color w:val="auto"/>
        </w:rPr>
      </w:pPr>
    </w:p>
    <w:p>
      <w:pPr>
        <w:ind w:left="360" w:right="560" w:hanging="352"/>
        <w:spacing w:after="0" w:line="274" w:lineRule="auto"/>
        <w:tabs>
          <w:tab w:leader="none" w:pos="36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spacing w:after="0" w:line="23" w:lineRule="exact"/>
        <w:rPr>
          <w:rFonts w:ascii="Arial" w:cs="Arial" w:eastAsia="Arial" w:hAnsi="Arial"/>
          <w:sz w:val="13"/>
          <w:szCs w:val="13"/>
          <w:color w:val="auto"/>
        </w:rPr>
      </w:pPr>
    </w:p>
    <w:p>
      <w:pPr>
        <w:ind w:left="360" w:hanging="352"/>
        <w:spacing w:after="0"/>
        <w:tabs>
          <w:tab w:leader="none" w:pos="3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spacing w:after="0" w:line="66" w:lineRule="exact"/>
        <w:rPr>
          <w:rFonts w:ascii="Arial" w:cs="Arial" w:eastAsia="Arial" w:hAnsi="Arial"/>
          <w:sz w:val="13"/>
          <w:szCs w:val="13"/>
          <w:color w:val="auto"/>
        </w:rPr>
      </w:pPr>
    </w:p>
    <w:p>
      <w:pPr>
        <w:ind w:left="360" w:hanging="352"/>
        <w:spacing w:after="0"/>
        <w:tabs>
          <w:tab w:leader="none" w:pos="3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spacing w:after="0" w:line="66" w:lineRule="exact"/>
        <w:rPr>
          <w:rFonts w:ascii="Arial" w:cs="Arial" w:eastAsia="Arial" w:hAnsi="Arial"/>
          <w:sz w:val="13"/>
          <w:szCs w:val="13"/>
          <w:color w:val="auto"/>
        </w:rPr>
      </w:pPr>
    </w:p>
    <w:p>
      <w:pPr>
        <w:ind w:left="360" w:hanging="352"/>
        <w:spacing w:after="0"/>
        <w:tabs>
          <w:tab w:leader="none" w:pos="3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spacing w:after="0" w:line="66" w:lineRule="exact"/>
        <w:rPr>
          <w:rFonts w:ascii="Arial" w:cs="Arial" w:eastAsia="Arial" w:hAnsi="Arial"/>
          <w:sz w:val="13"/>
          <w:szCs w:val="13"/>
          <w:color w:val="auto"/>
        </w:rPr>
      </w:pPr>
    </w:p>
    <w:p>
      <w:pPr>
        <w:ind w:left="360" w:hanging="352"/>
        <w:spacing w:after="0"/>
        <w:tabs>
          <w:tab w:leader="none" w:pos="3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66" w:lineRule="exact"/>
        <w:rPr>
          <w:rFonts w:ascii="Arial" w:cs="Arial" w:eastAsia="Arial" w:hAnsi="Arial"/>
          <w:sz w:val="13"/>
          <w:szCs w:val="13"/>
          <w:color w:val="auto"/>
        </w:rPr>
      </w:pPr>
    </w:p>
    <w:p>
      <w:pPr>
        <w:ind w:left="360" w:hanging="352"/>
        <w:spacing w:after="0"/>
        <w:tabs>
          <w:tab w:leader="none" w:pos="3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JUNE 30, 2014</w:t>
      </w: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ORGANIZATION</w:t>
      </w:r>
    </w:p>
    <w:p>
      <w:pPr>
        <w:spacing w:after="0" w:line="82" w:lineRule="exact"/>
        <w:rPr>
          <w:sz w:val="20"/>
          <w:szCs w:val="20"/>
          <w:color w:val="auto"/>
        </w:rPr>
      </w:pPr>
    </w:p>
    <w:p>
      <w:pPr>
        <w:ind w:right="360" w:firstLine="786"/>
        <w:spacing w:after="0" w:line="274" w:lineRule="auto"/>
        <w:rPr>
          <w:sz w:val="20"/>
          <w:szCs w:val="20"/>
          <w:color w:val="auto"/>
        </w:rPr>
      </w:pPr>
      <w:r>
        <w:rPr>
          <w:rFonts w:ascii="Arial" w:cs="Arial" w:eastAsia="Arial" w:hAnsi="Arial"/>
          <w:sz w:val="13"/>
          <w:szCs w:val="13"/>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18" w:lineRule="exact"/>
        <w:rPr>
          <w:sz w:val="20"/>
          <w:szCs w:val="20"/>
          <w:color w:val="auto"/>
        </w:rPr>
      </w:pPr>
    </w:p>
    <w:p>
      <w:pPr>
        <w:ind w:right="80" w:firstLine="786"/>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22" w:lineRule="exact"/>
        <w:rPr>
          <w:sz w:val="20"/>
          <w:szCs w:val="20"/>
          <w:color w:val="auto"/>
        </w:rPr>
      </w:pPr>
    </w:p>
    <w:p>
      <w:pPr>
        <w:ind w:right="340" w:firstLine="786"/>
        <w:spacing w:after="0" w:line="274" w:lineRule="auto"/>
        <w:rPr>
          <w:sz w:val="20"/>
          <w:szCs w:val="20"/>
          <w:color w:val="auto"/>
        </w:rPr>
      </w:pPr>
      <w:r>
        <w:rPr>
          <w:rFonts w:ascii="Arial" w:cs="Arial" w:eastAsia="Arial" w:hAnsi="Arial"/>
          <w:sz w:val="13"/>
          <w:szCs w:val="13"/>
          <w:color w:val="auto"/>
        </w:rPr>
        <w:t>In April 2011, we closed our initial public offering and our common stock trades on the NASDAQ Global Select Market under the symbol “PFLT.” From inception to date, we have issued 14,889,367 shares of common stock for gross proceeds of $216.3 million, or $210.0 million after deducting the sales load and underwriting expenses paid by us.</w:t>
      </w:r>
    </w:p>
    <w:p>
      <w:pPr>
        <w:spacing w:after="0" w:line="118" w:lineRule="exact"/>
        <w:rPr>
          <w:sz w:val="20"/>
          <w:szCs w:val="20"/>
          <w:color w:val="auto"/>
        </w:rPr>
      </w:pPr>
    </w:p>
    <w:p>
      <w:pPr>
        <w:ind w:firstLine="786"/>
        <w:spacing w:after="0" w:line="274"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18" w:lineRule="exact"/>
        <w:rPr>
          <w:sz w:val="20"/>
          <w:szCs w:val="20"/>
          <w:color w:val="auto"/>
        </w:rPr>
      </w:pPr>
    </w:p>
    <w:p>
      <w:pPr>
        <w:ind w:right="20" w:firstLine="786"/>
        <w:spacing w:after="0" w:line="250"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five-year Credit Facility allows Funding I to borrow up to $200 million at LIBOR plus 200 basis points during the revolving period. The Credit Facility is secured by all of the assets held by Funding I. See Note 9.</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SIGNIFICANT ACCOUNTING POLICIES</w:t>
      </w:r>
    </w:p>
    <w:p>
      <w:pPr>
        <w:spacing w:after="0" w:line="82" w:lineRule="exact"/>
        <w:rPr>
          <w:sz w:val="20"/>
          <w:szCs w:val="20"/>
          <w:color w:val="auto"/>
        </w:rPr>
      </w:pPr>
    </w:p>
    <w:p>
      <w:pPr>
        <w:ind w:right="40" w:firstLine="786"/>
        <w:spacing w:after="0" w:line="273" w:lineRule="auto"/>
        <w:rPr>
          <w:sz w:val="20"/>
          <w:szCs w:val="20"/>
          <w:color w:val="auto"/>
        </w:rPr>
      </w:pPr>
      <w:r>
        <w:rPr>
          <w:rFonts w:ascii="Arial" w:cs="Arial" w:eastAsia="Arial" w:hAnsi="Arial"/>
          <w:sz w:val="12"/>
          <w:szCs w:val="12"/>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20" w:lineRule="exact"/>
        <w:rPr>
          <w:sz w:val="20"/>
          <w:szCs w:val="20"/>
          <w:color w:val="auto"/>
        </w:rPr>
      </w:pPr>
    </w:p>
    <w:p>
      <w:pPr>
        <w:ind w:right="40" w:firstLine="786"/>
        <w:spacing w:after="0" w:line="317" w:lineRule="auto"/>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9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Our significant accounting policies consistently applied are as follows: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(a) Investment Valuations</w:t>
      </w:r>
    </w:p>
    <w:p>
      <w:pPr>
        <w:spacing w:after="0" w:line="80" w:lineRule="exact"/>
        <w:rPr>
          <w:sz w:val="20"/>
          <w:szCs w:val="20"/>
          <w:color w:val="auto"/>
        </w:rPr>
      </w:pPr>
    </w:p>
    <w:p>
      <w:pPr>
        <w:ind w:right="40" w:firstLine="786"/>
        <w:spacing w:after="0" w:line="244"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38" w:lineRule="exact"/>
        <w:rPr>
          <w:sz w:val="20"/>
          <w:szCs w:val="20"/>
          <w:color w:val="auto"/>
        </w:rPr>
      </w:pPr>
    </w:p>
    <w:p>
      <w:pPr>
        <w:ind w:right="60" w:firstLine="786"/>
        <w:spacing w:after="0" w:line="274" w:lineRule="auto"/>
        <w:rPr>
          <w:sz w:val="20"/>
          <w:szCs w:val="20"/>
          <w:color w:val="auto"/>
        </w:rPr>
      </w:pPr>
      <w:r>
        <w:rPr>
          <w:rFonts w:ascii="Arial" w:cs="Arial" w:eastAsia="Arial" w:hAnsi="Arial"/>
          <w:sz w:val="13"/>
          <w:szCs w:val="13"/>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37" w:lineRule="exact"/>
        <w:rPr>
          <w:sz w:val="20"/>
          <w:szCs w:val="20"/>
          <w:color w:val="auto"/>
        </w:rPr>
      </w:pPr>
    </w:p>
    <w:p>
      <w:pPr>
        <w:ind w:left="780" w:right="80" w:hanging="448"/>
        <w:spacing w:after="0" w:line="27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quarterly valuation process begins with each portfolio company or investment being initially valued by the investment professionals of our Investment Adviser responsible for the portfolio investment;</w:t>
      </w:r>
    </w:p>
    <w:p>
      <w:pPr>
        <w:spacing w:after="0" w:line="36" w:lineRule="exact"/>
        <w:rPr>
          <w:rFonts w:ascii="Arial" w:cs="Arial" w:eastAsia="Arial" w:hAnsi="Arial"/>
          <w:sz w:val="13"/>
          <w:szCs w:val="13"/>
          <w:color w:val="auto"/>
        </w:rPr>
      </w:pPr>
    </w:p>
    <w:p>
      <w:pPr>
        <w:ind w:left="780" w:hanging="448"/>
        <w:spacing w:after="0"/>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Preliminary valuation conclusions are then documented and discussed with the management of our Investment Adviser;</w:t>
      </w:r>
    </w:p>
    <w:p>
      <w:pPr>
        <w:spacing w:after="0" w:line="80" w:lineRule="exact"/>
        <w:rPr>
          <w:rFonts w:ascii="Arial" w:cs="Arial" w:eastAsia="Arial" w:hAnsi="Arial"/>
          <w:sz w:val="13"/>
          <w:szCs w:val="13"/>
          <w:color w:val="auto"/>
        </w:rPr>
      </w:pPr>
    </w:p>
    <w:p>
      <w:pPr>
        <w:ind w:left="780" w:right="440" w:hanging="448"/>
        <w:spacing w:after="0" w:line="256"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3"/>
          <w:szCs w:val="13"/>
          <w:b w:val="1"/>
          <w:bCs w:val="1"/>
          <w:color w:val="auto"/>
        </w:rPr>
        <w:t>JUNE 30, 2014</w:t>
      </w: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36" w:lineRule="exact"/>
        <w:rPr>
          <w:sz w:val="20"/>
          <w:szCs w:val="20"/>
          <w:color w:val="auto"/>
        </w:rPr>
      </w:pPr>
    </w:p>
    <w:p>
      <w:pPr>
        <w:ind w:left="780" w:right="260" w:hanging="448"/>
        <w:spacing w:after="0" w:line="256" w:lineRule="auto"/>
        <w:tabs>
          <w:tab w:leader="none" w:pos="7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48" w:lineRule="exact"/>
        <w:rPr>
          <w:rFonts w:ascii="Arial" w:cs="Arial" w:eastAsia="Arial" w:hAnsi="Arial"/>
          <w:sz w:val="13"/>
          <w:szCs w:val="13"/>
          <w:color w:val="auto"/>
        </w:rPr>
      </w:pPr>
    </w:p>
    <w:p>
      <w:pPr>
        <w:ind w:left="780" w:right="300" w:hanging="448"/>
        <w:spacing w:after="0" w:line="274" w:lineRule="auto"/>
        <w:tabs>
          <w:tab w:leader="none" w:pos="78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8" w:lineRule="exact"/>
        <w:rPr>
          <w:sz w:val="20"/>
          <w:szCs w:val="20"/>
          <w:color w:val="auto"/>
        </w:rPr>
      </w:pPr>
    </w:p>
    <w:p>
      <w:pPr>
        <w:ind w:right="20" w:firstLine="786"/>
        <w:spacing w:after="0" w:line="247"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(b) Security Transactions, Revenue Recognition, and Realized/Unrealized Gains or Losses</w:t>
      </w:r>
    </w:p>
    <w:p>
      <w:pPr>
        <w:spacing w:after="0" w:line="80" w:lineRule="exact"/>
        <w:rPr>
          <w:sz w:val="20"/>
          <w:szCs w:val="20"/>
          <w:color w:val="auto"/>
        </w:rPr>
      </w:pPr>
    </w:p>
    <w:p>
      <w:pPr>
        <w:ind w:right="60" w:firstLine="786"/>
        <w:spacing w:after="0" w:line="250"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33" w:lineRule="exact"/>
        <w:rPr>
          <w:sz w:val="20"/>
          <w:szCs w:val="20"/>
          <w:color w:val="auto"/>
        </w:rPr>
      </w:pPr>
    </w:p>
    <w:p>
      <w:pPr>
        <w:jc w:val="both"/>
        <w:ind w:right="40" w:firstLine="78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are capitalized, on liabilities which we do not fair value,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ind w:right="40" w:firstLine="786"/>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(c) Income Taxes</w:t>
      </w:r>
    </w:p>
    <w:p>
      <w:pPr>
        <w:spacing w:after="0" w:line="80" w:lineRule="exact"/>
        <w:rPr>
          <w:sz w:val="20"/>
          <w:szCs w:val="20"/>
          <w:color w:val="auto"/>
        </w:rPr>
      </w:pPr>
    </w:p>
    <w:p>
      <w:pPr>
        <w:ind w:right="40" w:firstLine="786"/>
        <w:spacing w:after="0" w:line="245" w:lineRule="auto"/>
        <w:rPr>
          <w:sz w:val="20"/>
          <w:szCs w:val="20"/>
          <w:color w:val="auto"/>
        </w:rPr>
      </w:pPr>
      <w:r>
        <w:rPr>
          <w:rFonts w:ascii="Arial" w:cs="Arial" w:eastAsia="Arial" w:hAnsi="Arial"/>
          <w:sz w:val="13"/>
          <w:szCs w:val="13"/>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on income as a RIC, we have elected to retain a portion of our calendar year income. As a result, for the three and nine months ended June 30, 2014, we accrued estimated excise taxes of $0.1 million and $0.4 million, respectively. For the three and nine months ended June 30, 2013, we accrued estimated excise taxes of less than $0.1 million and $0.1 million, respectively.</w:t>
      </w:r>
    </w:p>
    <w:p>
      <w:pPr>
        <w:spacing w:after="0" w:line="137" w:lineRule="exact"/>
        <w:rPr>
          <w:sz w:val="20"/>
          <w:szCs w:val="20"/>
          <w:color w:val="auto"/>
        </w:rPr>
      </w:pPr>
    </w:p>
    <w:p>
      <w:pPr>
        <w:ind w:firstLine="786"/>
        <w:spacing w:after="0" w:line="250" w:lineRule="auto"/>
        <w:rPr>
          <w:sz w:val="20"/>
          <w:szCs w:val="20"/>
          <w:color w:val="auto"/>
        </w:rPr>
      </w:pPr>
      <w:r>
        <w:rPr>
          <w:rFonts w:ascii="Arial" w:cs="Arial" w:eastAsia="Arial" w:hAnsi="Arial"/>
          <w:sz w:val="13"/>
          <w:szCs w:val="13"/>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2011 remain subject to examination by the Internal Revenue Service.</w:t>
      </w:r>
    </w:p>
    <w:p>
      <w:pPr>
        <w:spacing w:after="0" w:line="133" w:lineRule="exact"/>
        <w:rPr>
          <w:sz w:val="20"/>
          <w:szCs w:val="20"/>
          <w:color w:val="auto"/>
        </w:rPr>
      </w:pPr>
    </w:p>
    <w:p>
      <w:pPr>
        <w:ind w:right="180" w:firstLine="786"/>
        <w:spacing w:after="0" w:line="256"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(d) Distributions and Capital Transactions</w:t>
      </w:r>
    </w:p>
    <w:p>
      <w:pPr>
        <w:spacing w:after="0" w:line="80" w:lineRule="exact"/>
        <w:rPr>
          <w:sz w:val="20"/>
          <w:szCs w:val="20"/>
          <w:color w:val="auto"/>
        </w:rPr>
      </w:pPr>
    </w:p>
    <w:p>
      <w:pPr>
        <w:jc w:val="both"/>
        <w:ind w:right="240" w:firstLine="786"/>
        <w:spacing w:after="0" w:line="256" w:lineRule="auto"/>
        <w:rPr>
          <w:sz w:val="20"/>
          <w:szCs w:val="20"/>
          <w:color w:val="auto"/>
        </w:rPr>
      </w:pPr>
      <w:r>
        <w:rPr>
          <w:rFonts w:ascii="Arial" w:cs="Arial" w:eastAsia="Arial" w:hAnsi="Arial"/>
          <w:sz w:val="13"/>
          <w:szCs w:val="13"/>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29" w:lineRule="exact"/>
        <w:rPr>
          <w:sz w:val="20"/>
          <w:szCs w:val="20"/>
          <w:color w:val="auto"/>
        </w:rPr>
      </w:pPr>
    </w:p>
    <w:p>
      <w:pPr>
        <w:jc w:val="both"/>
        <w:ind w:right="240" w:firstLine="786"/>
        <w:spacing w:after="0" w:line="274" w:lineRule="auto"/>
        <w:rPr>
          <w:sz w:val="20"/>
          <w:szCs w:val="20"/>
          <w:color w:val="auto"/>
        </w:rPr>
      </w:pPr>
      <w:r>
        <w:rPr>
          <w:rFonts w:ascii="Arial" w:cs="Arial" w:eastAsia="Arial" w:hAnsi="Arial"/>
          <w:sz w:val="13"/>
          <w:szCs w:val="13"/>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(e) Consolidation</w:t>
      </w:r>
    </w:p>
    <w:p>
      <w:pPr>
        <w:spacing w:after="0" w:line="80" w:lineRule="exact"/>
        <w:rPr>
          <w:sz w:val="20"/>
          <w:szCs w:val="20"/>
          <w:color w:val="auto"/>
        </w:rPr>
      </w:pPr>
    </w:p>
    <w:p>
      <w:pPr>
        <w:ind w:right="320" w:firstLine="786"/>
        <w:spacing w:after="0" w:line="256" w:lineRule="auto"/>
        <w:rPr>
          <w:sz w:val="20"/>
          <w:szCs w:val="20"/>
          <w:color w:val="auto"/>
        </w:rPr>
      </w:pPr>
      <w:r>
        <w:rPr>
          <w:rFonts w:ascii="Arial" w:cs="Arial" w:eastAsia="Arial" w:hAnsi="Arial"/>
          <w:sz w:val="13"/>
          <w:szCs w:val="13"/>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spacing w:after="0"/>
        <w:rPr>
          <w:sz w:val="20"/>
          <w:szCs w:val="20"/>
          <w:color w:val="auto"/>
        </w:rPr>
      </w:pPr>
      <w:r>
        <w:rPr>
          <w:rFonts w:ascii="Arial" w:cs="Arial" w:eastAsia="Arial" w:hAnsi="Arial"/>
          <w:sz w:val="13"/>
          <w:szCs w:val="13"/>
          <w:b w:val="1"/>
          <w:bCs w:val="1"/>
          <w:color w:val="auto"/>
        </w:rPr>
        <w:t>JUNE 30, 2014</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(f) Asset Transfers and Servicing</w:t>
      </w:r>
    </w:p>
    <w:p>
      <w:pPr>
        <w:spacing w:after="0" w:line="80" w:lineRule="exact"/>
        <w:rPr>
          <w:sz w:val="20"/>
          <w:szCs w:val="20"/>
          <w:color w:val="auto"/>
        </w:rPr>
      </w:pPr>
    </w:p>
    <w:p>
      <w:pPr>
        <w:ind w:right="140" w:firstLine="786"/>
        <w:spacing w:after="0" w:line="256" w:lineRule="auto"/>
        <w:rPr>
          <w:sz w:val="20"/>
          <w:szCs w:val="20"/>
          <w:color w:val="auto"/>
        </w:rPr>
      </w:pPr>
      <w:r>
        <w:rPr>
          <w:rFonts w:ascii="Arial" w:cs="Arial" w:eastAsia="Arial" w:hAnsi="Arial"/>
          <w:sz w:val="13"/>
          <w:szCs w:val="13"/>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of Funding I’s assets and such assets are not intended to be available to the creditors of PennantPark Floating Rate Capital Ltd. or any affiliate of the Company.</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(g) Recent Accounting Pronouncements</w:t>
      </w:r>
    </w:p>
    <w:p>
      <w:pPr>
        <w:spacing w:after="0" w:line="80" w:lineRule="exact"/>
        <w:rPr>
          <w:sz w:val="20"/>
          <w:szCs w:val="20"/>
          <w:color w:val="auto"/>
        </w:rPr>
      </w:pPr>
    </w:p>
    <w:p>
      <w:pPr>
        <w:ind w:right="80" w:firstLine="786"/>
        <w:spacing w:after="0" w:line="278" w:lineRule="auto"/>
        <w:rPr>
          <w:sz w:val="20"/>
          <w:szCs w:val="20"/>
          <w:color w:val="auto"/>
        </w:rPr>
      </w:pPr>
      <w:r>
        <w:rPr>
          <w:rFonts w:ascii="Arial" w:cs="Arial" w:eastAsia="Arial" w:hAnsi="Arial"/>
          <w:sz w:val="12"/>
          <w:szCs w:val="12"/>
          <w:color w:val="auto"/>
        </w:rPr>
        <w:t>In June 2013, the Financial Accounting Standards Board (“FASB”) issued Accounting Standards Update 2013-08, Financial Services—Investment Companies (Topic 946): Amendments to the Scope, Measurement, and Disclosure Requirements (“ASU 2013-08”). ASU 2013-08 provides an approach to assess whether a company is an investment company, clarifies the characteristics of an investment company, and provides new measurement and disclosure requirements. ASU 2013-08 is effective for interim and annual reporting periods in fiscal years that begin after December 15, 2013. Earlier application is prohibited. We are currently evaluating ASU 2013-08 to determine the effect, if any, on our Consolidated Financial Statements and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AGREEMENTS</w:t>
      </w:r>
    </w:p>
    <w:p>
      <w:pPr>
        <w:spacing w:after="0" w:line="82" w:lineRule="exact"/>
        <w:rPr>
          <w:sz w:val="20"/>
          <w:szCs w:val="20"/>
          <w:color w:val="auto"/>
        </w:rPr>
      </w:pPr>
    </w:p>
    <w:p>
      <w:pPr>
        <w:ind w:firstLine="786"/>
        <w:spacing w:after="0" w:line="247"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2014.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35" w:lineRule="exact"/>
        <w:rPr>
          <w:sz w:val="20"/>
          <w:szCs w:val="20"/>
          <w:color w:val="auto"/>
        </w:rPr>
      </w:pPr>
    </w:p>
    <w:p>
      <w:pPr>
        <w:ind w:firstLine="786"/>
        <w:spacing w:after="0" w:line="268" w:lineRule="auto"/>
        <w:rPr>
          <w:sz w:val="20"/>
          <w:szCs w:val="20"/>
          <w:color w:val="auto"/>
        </w:rPr>
      </w:pPr>
      <w:r>
        <w:rPr>
          <w:rFonts w:ascii="Arial" w:cs="Arial" w:eastAsia="Arial" w:hAnsi="Arial"/>
          <w:sz w:val="12"/>
          <w:szCs w:val="12"/>
          <w:color w:val="auto"/>
        </w:rPr>
        <w:t>The base management fee is calculated at an annual rate of 1.00% of our “average adjusted gross assets,” which equals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2014, the Investment Adviser earned base management fees of $1.0 million and $2.8 million, respectively, from us. For the three and nine months ended June 30, 2013, the Investment Adviser earned base management fees of $0.5 million and $1.5 million, respectively, from us.</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 incentive fee has two parts, as follows:</w:t>
      </w:r>
    </w:p>
    <w:p>
      <w:pPr>
        <w:spacing w:after="0" w:line="161" w:lineRule="exact"/>
        <w:rPr>
          <w:sz w:val="20"/>
          <w:szCs w:val="20"/>
          <w:color w:val="auto"/>
        </w:rPr>
      </w:pPr>
    </w:p>
    <w:p>
      <w:pPr>
        <w:ind w:right="40" w:firstLine="786"/>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adjusted for any share issuances or repurchases during the relevant quarter. For the three and nine months ended June 30, 2014, the Investment Adviser earned an incentive fee on net investment income as calculated under the Investment Management Agreement of $0.7 million and $1.5 million, respectively, from us. For the three and nine months ended June 30, 2013, the Investment Adviser earned an incentive fee on net investment income as calculated under the Investment Management Agreement of $0.4 million and $1.0 million, respectively, from us.</w:t>
      </w:r>
    </w:p>
    <w:p>
      <w:pPr>
        <w:spacing w:after="0" w:line="139" w:lineRule="exact"/>
        <w:rPr>
          <w:sz w:val="20"/>
          <w:szCs w:val="20"/>
          <w:color w:val="auto"/>
        </w:rPr>
      </w:pPr>
    </w:p>
    <w:p>
      <w:pPr>
        <w:ind w:right="40" w:firstLine="786"/>
        <w:spacing w:after="0" w:line="273"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from our inception. For the three and nine months ended June 30, 2014, the Investment Adviser earned an incentive fee on capital gains of less than $0.1 million and $0.8 million, respectively, as calculated under the Investment Management Agreement. For the three and nine months ended June 30, 2013, the Investment Adviser did not earn an incentive fee on capital gains as calculated under the Investment Management Agreement (as described above).</w:t>
      </w:r>
    </w:p>
    <w:p>
      <w:pPr>
        <w:spacing w:after="0" w:line="120" w:lineRule="exact"/>
        <w:rPr>
          <w:sz w:val="20"/>
          <w:szCs w:val="20"/>
          <w:color w:val="auto"/>
        </w:rPr>
      </w:pPr>
    </w:p>
    <w:p>
      <w:pPr>
        <w:ind w:firstLine="786"/>
        <w:spacing w:after="0" w:line="266"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and nine months ended June 30, 2014, the Investment Adviser accrued an incentive fee on unrealized and realized capital gains as calculated under GAAP of $0.1 million and $0.6 million, respectively. For the three and nine months ended June 30, 2013, the Investment Adviser accrued an incentive fee on unrealized and realized capital gains as calculated under GAAP of $(0.3) million, representing an expense reversal, and zero, respectively.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3"/>
          <w:szCs w:val="13"/>
          <w:b w:val="1"/>
          <w:bCs w:val="1"/>
          <w:color w:val="auto"/>
        </w:rPr>
        <w:t>JUNE 30, 2014</w:t>
      </w:r>
    </w:p>
    <w:p>
      <w:pPr>
        <w:jc w:val="center"/>
        <w:ind w:right="-39"/>
        <w:spacing w:after="0"/>
        <w:rPr>
          <w:sz w:val="20"/>
          <w:szCs w:val="20"/>
          <w:color w:val="auto"/>
        </w:rPr>
      </w:pPr>
      <w:r>
        <w:rPr>
          <w:rFonts w:ascii="Arial" w:cs="Arial" w:eastAsia="Arial" w:hAnsi="Arial"/>
          <w:sz w:val="13"/>
          <w:szCs w:val="13"/>
          <w:b w:val="1"/>
          <w:bCs w:val="1"/>
          <w:color w:val="auto"/>
        </w:rPr>
        <w:t>(Unaudited)</w:t>
      </w:r>
    </w:p>
    <w:p>
      <w:pPr>
        <w:spacing w:after="0" w:line="136" w:lineRule="exact"/>
        <w:rPr>
          <w:sz w:val="20"/>
          <w:szCs w:val="20"/>
          <w:color w:val="auto"/>
        </w:rPr>
      </w:pPr>
    </w:p>
    <w:p>
      <w:pPr>
        <w:ind w:right="80" w:firstLine="786"/>
        <w:spacing w:after="0" w:line="266" w:lineRule="auto"/>
        <w:rPr>
          <w:sz w:val="20"/>
          <w:szCs w:val="20"/>
          <w:color w:val="auto"/>
        </w:rPr>
      </w:pPr>
      <w:r>
        <w:rPr>
          <w:rFonts w:ascii="Arial" w:cs="Arial" w:eastAsia="Arial" w:hAnsi="Arial"/>
          <w:sz w:val="12"/>
          <w:szCs w:val="12"/>
          <w:color w:val="auto"/>
        </w:rPr>
        <w:t>The Administration Agreement with the Administrator was reapproved by our board of directors, including a majority of the directors who are not interested persons of us, in February 2014.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technology systems, insurance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nine months ended June 30, 2014, the Investment Adviser was reimbursed approximately $0.1 million and $0.4 million, respectively, from us, including expenses incurred on behalf of the Administrator, for the services described above. For the three and nine months ended June 30, 2013, the Investment Adviser was reimbursed approximately $0.1 million and $0.3 million, respectively, from us, including expenses incurred on behalf of the Administrator, for the services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INVESTMENTS</w:t>
      </w:r>
    </w:p>
    <w:p>
      <w:pPr>
        <w:spacing w:after="0" w:line="82" w:lineRule="exact"/>
        <w:rPr>
          <w:sz w:val="20"/>
          <w:szCs w:val="20"/>
          <w:color w:val="auto"/>
        </w:rPr>
      </w:pPr>
    </w:p>
    <w:p>
      <w:pPr>
        <w:ind w:firstLine="786"/>
        <w:spacing w:after="0" w:line="256" w:lineRule="auto"/>
        <w:rPr>
          <w:sz w:val="20"/>
          <w:szCs w:val="20"/>
          <w:color w:val="auto"/>
        </w:rPr>
      </w:pPr>
      <w:r>
        <w:rPr>
          <w:rFonts w:ascii="Arial" w:cs="Arial" w:eastAsia="Arial" w:hAnsi="Arial"/>
          <w:sz w:val="13"/>
          <w:szCs w:val="13"/>
          <w:color w:val="auto"/>
        </w:rPr>
        <w:t>Purchases of investments, including PIK, for the three and nine months ended June 30, 2014 totaled $30.7 million and $185.2 million, respectively. For the same periods in the prior year, purchases of investments, including PIK, totaled $114.4 million and $198.5 million, respectively. Sales and repayments of investments for the three and nine months ended June 30, 2014 totaled $55.6 million and $146.8 million, respectively. For the same periods in the prior year, sales and repayments of investments totaled $46.4 million and $120.7 million, respectively.</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680" w:type="dxa"/>
            <w:vAlign w:val="bottom"/>
            <w:gridSpan w:val="2"/>
          </w:tcPr>
          <w:p>
            <w:pPr>
              <w:ind w:left="320"/>
              <w:spacing w:after="0"/>
              <w:rPr>
                <w:sz w:val="20"/>
                <w:szCs w:val="20"/>
                <w:color w:val="auto"/>
              </w:rPr>
            </w:pPr>
            <w:r>
              <w:rPr>
                <w:rFonts w:ascii="Arial" w:cs="Arial" w:eastAsia="Arial" w:hAnsi="Arial"/>
                <w:sz w:val="13"/>
                <w:szCs w:val="13"/>
                <w:color w:val="auto"/>
              </w:rPr>
              <w:t>Investments and cash equivalents consisted of the following:</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47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4"/>
          </w:tcPr>
          <w:p>
            <w:pPr>
              <w:jc w:val="right"/>
              <w:ind w:right="593"/>
              <w:spacing w:after="0"/>
              <w:rPr>
                <w:sz w:val="20"/>
                <w:szCs w:val="20"/>
                <w:color w:val="auto"/>
              </w:rPr>
            </w:pPr>
            <w:r>
              <w:rPr>
                <w:rFonts w:ascii="Arial" w:cs="Arial" w:eastAsia="Arial" w:hAnsi="Arial"/>
                <w:sz w:val="13"/>
                <w:szCs w:val="13"/>
                <w:b w:val="1"/>
                <w:bCs w:val="1"/>
                <w:color w:val="auto"/>
              </w:rPr>
              <w:t>June 30, 2014</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5"/>
          </w:tcPr>
          <w:p>
            <w:pPr>
              <w:ind w:left="380"/>
              <w:spacing w:after="0"/>
              <w:rPr>
                <w:sz w:val="20"/>
                <w:szCs w:val="20"/>
                <w:color w:val="auto"/>
              </w:rPr>
            </w:pPr>
            <w:r>
              <w:rPr>
                <w:rFonts w:ascii="Arial" w:cs="Arial" w:eastAsia="Arial" w:hAnsi="Arial"/>
                <w:sz w:val="13"/>
                <w:szCs w:val="13"/>
                <w:b w:val="1"/>
                <w:bCs w:val="1"/>
                <w:color w:val="auto"/>
              </w:rPr>
              <w:t>September 30, 2013</w:t>
            </w:r>
          </w:p>
        </w:tc>
        <w:tc>
          <w:tcPr>
            <w:tcW w:w="0" w:type="dxa"/>
            <w:vAlign w:val="bottom"/>
          </w:tcPr>
          <w:p>
            <w:pPr>
              <w:spacing w:after="0"/>
              <w:rPr>
                <w:sz w:val="1"/>
                <w:szCs w:val="1"/>
                <w:color w:val="auto"/>
              </w:rPr>
            </w:pPr>
          </w:p>
        </w:tc>
      </w:tr>
      <w:tr>
        <w:trPr>
          <w:trHeight w:val="148"/>
        </w:trPr>
        <w:tc>
          <w:tcPr>
            <w:tcW w:w="4700" w:type="dxa"/>
            <w:vAlign w:val="bottom"/>
            <w:gridSpan w:val="3"/>
            <w:vMerge w:val="continue"/>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29"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3"/>
                <w:szCs w:val="13"/>
                <w:b w:val="1"/>
                <w:bCs w:val="1"/>
                <w:color w:val="auto"/>
                <w:w w:val="99"/>
              </w:rPr>
              <w:t>Fair Value</w:t>
            </w: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3"/>
              <w:spacing w:after="0" w:line="129" w:lineRule="exact"/>
              <w:rPr>
                <w:sz w:val="20"/>
                <w:szCs w:val="20"/>
                <w:color w:val="auto"/>
              </w:rPr>
            </w:pPr>
            <w:r>
              <w:rPr>
                <w:rFonts w:ascii="Arial" w:cs="Arial" w:eastAsia="Arial" w:hAnsi="Arial"/>
                <w:sz w:val="13"/>
                <w:szCs w:val="13"/>
                <w:b w:val="1"/>
                <w:bCs w:val="1"/>
                <w:color w:val="auto"/>
              </w:rPr>
              <w:t>Cost</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3"/>
                <w:szCs w:val="13"/>
                <w:b w:val="1"/>
                <w:bCs w:val="1"/>
                <w:color w:val="auto"/>
                <w:w w:val="99"/>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First lien</w:t>
            </w:r>
          </w:p>
        </w:tc>
        <w:tc>
          <w:tcPr>
            <w:tcW w:w="334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4"/>
              </w:rPr>
              <w:t>320,579,130</w:t>
            </w: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322,163,846</w:t>
            </w: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6"/>
              </w:rPr>
              <w:t>281,260,179</w:t>
            </w: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281,046,248</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gridSpan w:val="2"/>
          </w:tcPr>
          <w:p>
            <w:pPr>
              <w:spacing w:after="0"/>
              <w:rPr>
                <w:sz w:val="20"/>
                <w:szCs w:val="20"/>
                <w:color w:val="auto"/>
              </w:rPr>
            </w:pPr>
            <w:r>
              <w:rPr>
                <w:rFonts w:ascii="Arial" w:cs="Arial" w:eastAsia="Arial" w:hAnsi="Arial"/>
                <w:sz w:val="13"/>
                <w:szCs w:val="13"/>
                <w:color w:val="auto"/>
              </w:rPr>
              <w:t>Second lien</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29,990,638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30,790,263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27,351,492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27,499,315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Subordinated debt / corporate notes</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9,703,762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10,350,190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10,409,846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9,003,170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80" w:type="dxa"/>
            <w:vAlign w:val="bottom"/>
            <w:gridSpan w:val="2"/>
          </w:tcPr>
          <w:p>
            <w:pPr>
              <w:spacing w:after="0"/>
              <w:rPr>
                <w:sz w:val="20"/>
                <w:szCs w:val="20"/>
                <w:color w:val="auto"/>
              </w:rPr>
            </w:pPr>
            <w:r>
              <w:rPr>
                <w:rFonts w:ascii="Arial" w:cs="Arial" w:eastAsia="Arial" w:hAnsi="Arial"/>
                <w:sz w:val="13"/>
                <w:szCs w:val="13"/>
                <w:color w:val="auto"/>
              </w:rPr>
              <w:t>Preferred equity / common equity / warrants</w:t>
            </w:r>
          </w:p>
        </w:tc>
        <w:tc>
          <w:tcPr>
            <w:tcW w:w="1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1,951,861</w:t>
            </w: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2,587,304</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261,951</w:t>
            </w: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255,161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investments</w:t>
            </w:r>
          </w:p>
        </w:tc>
        <w:tc>
          <w:tcPr>
            <w:tcW w:w="1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362,225,391</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365,891,603</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319,283,468</w:t>
            </w:r>
          </w:p>
        </w:tc>
        <w:tc>
          <w:tcPr>
            <w:tcW w:w="3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317,803,894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700" w:type="dxa"/>
            <w:vAlign w:val="bottom"/>
            <w:gridSpan w:val="3"/>
          </w:tcPr>
          <w:p>
            <w:pPr>
              <w:spacing w:after="0"/>
              <w:rPr>
                <w:sz w:val="20"/>
                <w:szCs w:val="20"/>
                <w:color w:val="auto"/>
              </w:rPr>
            </w:pPr>
            <w:r>
              <w:rPr>
                <w:rFonts w:ascii="Arial" w:cs="Arial" w:eastAsia="Arial" w:hAnsi="Arial"/>
                <w:sz w:val="13"/>
                <w:szCs w:val="13"/>
                <w:color w:val="auto"/>
              </w:rPr>
              <w:t>Cash equivalents</w:t>
            </w: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9,940,930</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9,940,930</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4,578,249</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4,578,249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investments and cash equivalents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372,166,321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375,832,533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323,861,717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322,382,143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table below describes investments by industry classification and enumerates the percentage, by fair value, of the total portfolio assets (excluding cash equivalents) in such industries as of:</w:t>
      </w:r>
    </w:p>
    <w:p>
      <w:pPr>
        <w:spacing w:after="0" w:line="211"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3300" w:type="dxa"/>
            <w:vAlign w:val="bottom"/>
            <w:gridSpan w:val="2"/>
          </w:tcPr>
          <w:p>
            <w:pPr>
              <w:spacing w:after="0"/>
              <w:rPr>
                <w:sz w:val="20"/>
                <w:szCs w:val="20"/>
                <w:color w:val="auto"/>
              </w:rPr>
            </w:pPr>
            <w:r>
              <w:rPr>
                <w:rFonts w:ascii="Arial" w:cs="Arial" w:eastAsia="Arial" w:hAnsi="Arial"/>
                <w:sz w:val="13"/>
                <w:szCs w:val="13"/>
                <w:b w:val="1"/>
                <w:bCs w:val="1"/>
                <w:color w:val="auto"/>
              </w:rPr>
              <w:t>Industry Classification</w:t>
            </w:r>
          </w:p>
        </w:tc>
        <w:tc>
          <w:tcPr>
            <w:tcW w:w="2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92"/>
              </w:rPr>
              <w:t>June 30, 2014</w:t>
            </w:r>
          </w:p>
        </w:tc>
        <w:tc>
          <w:tcPr>
            <w:tcW w:w="7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w w:val="90"/>
              </w:rPr>
              <w:t>September 30, 2013</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3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Healthcare and Pharmaceuticals</w:t>
            </w:r>
          </w:p>
        </w:tc>
        <w:tc>
          <w:tcPr>
            <w:tcW w:w="25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33"/>
              <w:spacing w:after="0" w:line="136" w:lineRule="exact"/>
              <w:rPr>
                <w:sz w:val="20"/>
                <w:szCs w:val="20"/>
                <w:color w:val="auto"/>
              </w:rPr>
            </w:pPr>
            <w:r>
              <w:rPr>
                <w:rFonts w:ascii="Arial" w:cs="Arial" w:eastAsia="Arial" w:hAnsi="Arial"/>
                <w:sz w:val="13"/>
                <w:szCs w:val="13"/>
                <w:color w:val="auto"/>
              </w:rPr>
              <w:t>16%</w:t>
            </w:r>
          </w:p>
        </w:tc>
        <w:tc>
          <w:tcPr>
            <w:tcW w:w="7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273"/>
              <w:spacing w:after="0" w:line="136"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rPr>
                <w:sz w:val="20"/>
                <w:szCs w:val="20"/>
                <w:color w:val="auto"/>
              </w:rPr>
            </w:pPr>
            <w:r>
              <w:rPr>
                <w:rFonts w:ascii="Arial" w:cs="Arial" w:eastAsia="Arial" w:hAnsi="Arial"/>
                <w:sz w:val="13"/>
                <w:szCs w:val="13"/>
                <w:color w:val="auto"/>
              </w:rPr>
              <w:t>High Tech Industries</w:t>
            </w:r>
          </w:p>
        </w:tc>
        <w:tc>
          <w:tcPr>
            <w:tcW w:w="3340" w:type="dxa"/>
            <w:vAlign w:val="bottom"/>
            <w:gridSpan w:val="2"/>
          </w:tcPr>
          <w:p>
            <w:pPr>
              <w:jc w:val="right"/>
              <w:ind w:right="233"/>
              <w:spacing w:after="0"/>
              <w:rPr>
                <w:sz w:val="20"/>
                <w:szCs w:val="20"/>
                <w:color w:val="auto"/>
              </w:rPr>
            </w:pPr>
            <w:r>
              <w:rPr>
                <w:rFonts w:ascii="Arial" w:cs="Arial" w:eastAsia="Arial" w:hAnsi="Arial"/>
                <w:sz w:val="13"/>
                <w:szCs w:val="13"/>
                <w:color w:val="auto"/>
              </w:rPr>
              <w:t>14</w:t>
            </w:r>
          </w:p>
        </w:tc>
        <w:tc>
          <w:tcPr>
            <w:tcW w:w="1880" w:type="dxa"/>
            <w:vAlign w:val="bottom"/>
            <w:gridSpan w:val="2"/>
          </w:tcPr>
          <w:p>
            <w:pPr>
              <w:jc w:val="right"/>
              <w:ind w:right="393"/>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Hotel, Gaming and Leisure</w:t>
            </w:r>
          </w:p>
        </w:tc>
        <w:tc>
          <w:tcPr>
            <w:tcW w:w="33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12</w:t>
            </w:r>
          </w:p>
        </w:tc>
        <w:tc>
          <w:tcPr>
            <w:tcW w:w="18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rPr>
                <w:sz w:val="20"/>
                <w:szCs w:val="20"/>
                <w:color w:val="auto"/>
              </w:rPr>
            </w:pPr>
            <w:r>
              <w:rPr>
                <w:rFonts w:ascii="Arial" w:cs="Arial" w:eastAsia="Arial" w:hAnsi="Arial"/>
                <w:sz w:val="13"/>
                <w:szCs w:val="13"/>
                <w:color w:val="auto"/>
              </w:rPr>
              <w:t>Media: Advertising, Printing and Publishing</w:t>
            </w:r>
          </w:p>
        </w:tc>
        <w:tc>
          <w:tcPr>
            <w:tcW w:w="3340" w:type="dxa"/>
            <w:vAlign w:val="bottom"/>
            <w:gridSpan w:val="2"/>
          </w:tcPr>
          <w:p>
            <w:pPr>
              <w:jc w:val="right"/>
              <w:ind w:right="233"/>
              <w:spacing w:after="0"/>
              <w:rPr>
                <w:sz w:val="20"/>
                <w:szCs w:val="20"/>
                <w:color w:val="auto"/>
              </w:rPr>
            </w:pPr>
            <w:r>
              <w:rPr>
                <w:rFonts w:ascii="Arial" w:cs="Arial" w:eastAsia="Arial" w:hAnsi="Arial"/>
                <w:sz w:val="13"/>
                <w:szCs w:val="13"/>
                <w:color w:val="auto"/>
              </w:rPr>
              <w:t>9</w:t>
            </w:r>
          </w:p>
        </w:tc>
        <w:tc>
          <w:tcPr>
            <w:tcW w:w="1880" w:type="dxa"/>
            <w:vAlign w:val="bottom"/>
            <w:gridSpan w:val="2"/>
          </w:tcPr>
          <w:p>
            <w:pPr>
              <w:jc w:val="right"/>
              <w:ind w:right="393"/>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Services</w:t>
            </w:r>
          </w:p>
        </w:tc>
        <w:tc>
          <w:tcPr>
            <w:tcW w:w="33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8</w:t>
            </w:r>
          </w:p>
        </w:tc>
        <w:tc>
          <w:tcPr>
            <w:tcW w:w="18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rPr>
                <w:sz w:val="20"/>
                <w:szCs w:val="20"/>
                <w:color w:val="auto"/>
              </w:rPr>
            </w:pPr>
            <w:r>
              <w:rPr>
                <w:rFonts w:ascii="Arial" w:cs="Arial" w:eastAsia="Arial" w:hAnsi="Arial"/>
                <w:sz w:val="13"/>
                <w:szCs w:val="13"/>
                <w:color w:val="auto"/>
              </w:rPr>
              <w:t>Business Services</w:t>
            </w:r>
          </w:p>
        </w:tc>
        <w:tc>
          <w:tcPr>
            <w:tcW w:w="3340" w:type="dxa"/>
            <w:vAlign w:val="bottom"/>
            <w:gridSpan w:val="2"/>
          </w:tcPr>
          <w:p>
            <w:pPr>
              <w:jc w:val="right"/>
              <w:ind w:right="233"/>
              <w:spacing w:after="0"/>
              <w:rPr>
                <w:sz w:val="20"/>
                <w:szCs w:val="20"/>
                <w:color w:val="auto"/>
              </w:rPr>
            </w:pPr>
            <w:r>
              <w:rPr>
                <w:rFonts w:ascii="Arial" w:cs="Arial" w:eastAsia="Arial" w:hAnsi="Arial"/>
                <w:sz w:val="13"/>
                <w:szCs w:val="13"/>
                <w:color w:val="auto"/>
              </w:rPr>
              <w:t>7</w:t>
            </w:r>
          </w:p>
        </w:tc>
        <w:tc>
          <w:tcPr>
            <w:tcW w:w="1880" w:type="dxa"/>
            <w:vAlign w:val="bottom"/>
            <w:gridSpan w:val="2"/>
          </w:tcPr>
          <w:p>
            <w:pPr>
              <w:jc w:val="right"/>
              <w:ind w:right="393"/>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Goods: Durable</w:t>
            </w:r>
          </w:p>
        </w:tc>
        <w:tc>
          <w:tcPr>
            <w:tcW w:w="33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6</w:t>
            </w:r>
          </w:p>
        </w:tc>
        <w:tc>
          <w:tcPr>
            <w:tcW w:w="18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rPr>
                <w:sz w:val="20"/>
                <w:szCs w:val="20"/>
                <w:color w:val="auto"/>
              </w:rPr>
            </w:pPr>
            <w:r>
              <w:rPr>
                <w:rFonts w:ascii="Arial" w:cs="Arial" w:eastAsia="Arial" w:hAnsi="Arial"/>
                <w:sz w:val="13"/>
                <w:szCs w:val="13"/>
                <w:color w:val="auto"/>
              </w:rPr>
              <w:t>Retail</w:t>
            </w:r>
          </w:p>
        </w:tc>
        <w:tc>
          <w:tcPr>
            <w:tcW w:w="3340" w:type="dxa"/>
            <w:vAlign w:val="bottom"/>
            <w:gridSpan w:val="2"/>
          </w:tcPr>
          <w:p>
            <w:pPr>
              <w:jc w:val="right"/>
              <w:ind w:right="233"/>
              <w:spacing w:after="0"/>
              <w:rPr>
                <w:sz w:val="20"/>
                <w:szCs w:val="20"/>
                <w:color w:val="auto"/>
              </w:rPr>
            </w:pPr>
            <w:r>
              <w:rPr>
                <w:rFonts w:ascii="Arial" w:cs="Arial" w:eastAsia="Arial" w:hAnsi="Arial"/>
                <w:sz w:val="13"/>
                <w:szCs w:val="13"/>
                <w:color w:val="auto"/>
              </w:rPr>
              <w:t>6</w:t>
            </w:r>
          </w:p>
        </w:tc>
        <w:tc>
          <w:tcPr>
            <w:tcW w:w="1880" w:type="dxa"/>
            <w:vAlign w:val="bottom"/>
            <w:gridSpan w:val="2"/>
          </w:tcPr>
          <w:p>
            <w:pPr>
              <w:jc w:val="right"/>
              <w:ind w:right="39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Energy: Oil and Gas</w:t>
            </w:r>
          </w:p>
        </w:tc>
        <w:tc>
          <w:tcPr>
            <w:tcW w:w="33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4</w:t>
            </w:r>
          </w:p>
        </w:tc>
        <w:tc>
          <w:tcPr>
            <w:tcW w:w="18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rPr>
                <w:sz w:val="20"/>
                <w:szCs w:val="20"/>
                <w:color w:val="auto"/>
              </w:rPr>
            </w:pPr>
            <w:r>
              <w:rPr>
                <w:rFonts w:ascii="Arial" w:cs="Arial" w:eastAsia="Arial" w:hAnsi="Arial"/>
                <w:sz w:val="13"/>
                <w:szCs w:val="13"/>
                <w:color w:val="auto"/>
              </w:rPr>
              <w:t>Automotive</w:t>
            </w:r>
          </w:p>
        </w:tc>
        <w:tc>
          <w:tcPr>
            <w:tcW w:w="3340" w:type="dxa"/>
            <w:vAlign w:val="bottom"/>
            <w:gridSpan w:val="2"/>
          </w:tcPr>
          <w:p>
            <w:pPr>
              <w:jc w:val="right"/>
              <w:ind w:right="233"/>
              <w:spacing w:after="0"/>
              <w:rPr>
                <w:sz w:val="20"/>
                <w:szCs w:val="20"/>
                <w:color w:val="auto"/>
              </w:rPr>
            </w:pPr>
            <w:r>
              <w:rPr>
                <w:rFonts w:ascii="Arial" w:cs="Arial" w:eastAsia="Arial" w:hAnsi="Arial"/>
                <w:sz w:val="13"/>
                <w:szCs w:val="13"/>
                <w:color w:val="auto"/>
              </w:rPr>
              <w:t>3</w:t>
            </w:r>
          </w:p>
        </w:tc>
        <w:tc>
          <w:tcPr>
            <w:tcW w:w="1880" w:type="dxa"/>
            <w:vAlign w:val="bottom"/>
            <w:gridSpan w:val="2"/>
          </w:tcPr>
          <w:p>
            <w:pPr>
              <w:jc w:val="right"/>
              <w:ind w:right="39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Banking, Finance, Insurance and Real Estate</w:t>
            </w:r>
          </w:p>
        </w:tc>
        <w:tc>
          <w:tcPr>
            <w:tcW w:w="33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3</w:t>
            </w:r>
          </w:p>
        </w:tc>
        <w:tc>
          <w:tcPr>
            <w:tcW w:w="18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rPr>
                <w:sz w:val="20"/>
                <w:szCs w:val="20"/>
                <w:color w:val="auto"/>
              </w:rPr>
            </w:pPr>
            <w:r>
              <w:rPr>
                <w:rFonts w:ascii="Arial" w:cs="Arial" w:eastAsia="Arial" w:hAnsi="Arial"/>
                <w:sz w:val="13"/>
                <w:szCs w:val="13"/>
                <w:color w:val="auto"/>
              </w:rPr>
              <w:t>Consumer Goods: Non-Durable</w:t>
            </w:r>
          </w:p>
        </w:tc>
        <w:tc>
          <w:tcPr>
            <w:tcW w:w="3340" w:type="dxa"/>
            <w:vAlign w:val="bottom"/>
            <w:gridSpan w:val="2"/>
          </w:tcPr>
          <w:p>
            <w:pPr>
              <w:jc w:val="right"/>
              <w:ind w:right="233"/>
              <w:spacing w:after="0"/>
              <w:rPr>
                <w:sz w:val="20"/>
                <w:szCs w:val="20"/>
                <w:color w:val="auto"/>
              </w:rPr>
            </w:pPr>
            <w:r>
              <w:rPr>
                <w:rFonts w:ascii="Arial" w:cs="Arial" w:eastAsia="Arial" w:hAnsi="Arial"/>
                <w:sz w:val="13"/>
                <w:szCs w:val="13"/>
                <w:color w:val="auto"/>
              </w:rPr>
              <w:t>3</w:t>
            </w:r>
          </w:p>
        </w:tc>
        <w:tc>
          <w:tcPr>
            <w:tcW w:w="1880" w:type="dxa"/>
            <w:vAlign w:val="bottom"/>
            <w:gridSpan w:val="2"/>
          </w:tcPr>
          <w:p>
            <w:pPr>
              <w:jc w:val="right"/>
              <w:ind w:right="393"/>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Chemicals, Plastics and Rubber</w:t>
            </w:r>
          </w:p>
        </w:tc>
        <w:tc>
          <w:tcPr>
            <w:tcW w:w="33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2</w:t>
            </w:r>
          </w:p>
        </w:tc>
        <w:tc>
          <w:tcPr>
            <w:tcW w:w="18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rPr>
                <w:sz w:val="20"/>
                <w:szCs w:val="20"/>
                <w:color w:val="auto"/>
              </w:rPr>
            </w:pPr>
            <w:r>
              <w:rPr>
                <w:rFonts w:ascii="Arial" w:cs="Arial" w:eastAsia="Arial" w:hAnsi="Arial"/>
                <w:sz w:val="13"/>
                <w:szCs w:val="13"/>
                <w:color w:val="auto"/>
              </w:rPr>
              <w:t>Aerospace and Defense</w:t>
            </w:r>
          </w:p>
        </w:tc>
        <w:tc>
          <w:tcPr>
            <w:tcW w:w="3340" w:type="dxa"/>
            <w:vAlign w:val="bottom"/>
            <w:gridSpan w:val="2"/>
          </w:tcPr>
          <w:p>
            <w:pPr>
              <w:jc w:val="right"/>
              <w:ind w:right="233"/>
              <w:spacing w:after="0"/>
              <w:rPr>
                <w:sz w:val="20"/>
                <w:szCs w:val="20"/>
                <w:color w:val="auto"/>
              </w:rPr>
            </w:pPr>
            <w:r>
              <w:rPr>
                <w:rFonts w:ascii="Arial" w:cs="Arial" w:eastAsia="Arial" w:hAnsi="Arial"/>
                <w:sz w:val="13"/>
                <w:szCs w:val="13"/>
                <w:color w:val="auto"/>
              </w:rPr>
              <w:t>1</w:t>
            </w:r>
          </w:p>
        </w:tc>
        <w:tc>
          <w:tcPr>
            <w:tcW w:w="1880" w:type="dxa"/>
            <w:vAlign w:val="bottom"/>
            <w:gridSpan w:val="2"/>
          </w:tcPr>
          <w:p>
            <w:pPr>
              <w:jc w:val="right"/>
              <w:ind w:right="39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Beverage, Food and Tobacco</w:t>
            </w:r>
          </w:p>
        </w:tc>
        <w:tc>
          <w:tcPr>
            <w:tcW w:w="33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1</w:t>
            </w:r>
          </w:p>
        </w:tc>
        <w:tc>
          <w:tcPr>
            <w:tcW w:w="18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rPr>
                <w:sz w:val="20"/>
                <w:szCs w:val="20"/>
                <w:color w:val="auto"/>
              </w:rPr>
            </w:pPr>
            <w:r>
              <w:rPr>
                <w:rFonts w:ascii="Arial" w:cs="Arial" w:eastAsia="Arial" w:hAnsi="Arial"/>
                <w:sz w:val="13"/>
                <w:szCs w:val="13"/>
                <w:color w:val="auto"/>
              </w:rPr>
              <w:t>Containers, Packaging and Glass</w:t>
            </w:r>
          </w:p>
        </w:tc>
        <w:tc>
          <w:tcPr>
            <w:tcW w:w="3340" w:type="dxa"/>
            <w:vAlign w:val="bottom"/>
            <w:gridSpan w:val="2"/>
          </w:tcPr>
          <w:p>
            <w:pPr>
              <w:jc w:val="right"/>
              <w:ind w:right="233"/>
              <w:spacing w:after="0"/>
              <w:rPr>
                <w:sz w:val="20"/>
                <w:szCs w:val="20"/>
                <w:color w:val="auto"/>
              </w:rPr>
            </w:pPr>
            <w:r>
              <w:rPr>
                <w:rFonts w:ascii="Arial" w:cs="Arial" w:eastAsia="Arial" w:hAnsi="Arial"/>
                <w:sz w:val="13"/>
                <w:szCs w:val="13"/>
                <w:color w:val="auto"/>
              </w:rPr>
              <w:t>1</w:t>
            </w:r>
          </w:p>
        </w:tc>
        <w:tc>
          <w:tcPr>
            <w:tcW w:w="1880" w:type="dxa"/>
            <w:vAlign w:val="bottom"/>
            <w:gridSpan w:val="2"/>
          </w:tcPr>
          <w:p>
            <w:pPr>
              <w:jc w:val="right"/>
              <w:ind w:right="39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Media: Broadcasting and Subscription</w:t>
            </w:r>
          </w:p>
        </w:tc>
        <w:tc>
          <w:tcPr>
            <w:tcW w:w="33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1</w:t>
            </w:r>
          </w:p>
        </w:tc>
        <w:tc>
          <w:tcPr>
            <w:tcW w:w="18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rPr>
                <w:sz w:val="20"/>
                <w:szCs w:val="20"/>
                <w:color w:val="auto"/>
              </w:rPr>
            </w:pPr>
            <w:r>
              <w:rPr>
                <w:rFonts w:ascii="Arial" w:cs="Arial" w:eastAsia="Arial" w:hAnsi="Arial"/>
                <w:sz w:val="13"/>
                <w:szCs w:val="13"/>
                <w:color w:val="auto"/>
              </w:rPr>
              <w:t>Media: Diversified and Production</w:t>
            </w:r>
          </w:p>
        </w:tc>
        <w:tc>
          <w:tcPr>
            <w:tcW w:w="3340" w:type="dxa"/>
            <w:vAlign w:val="bottom"/>
            <w:gridSpan w:val="2"/>
          </w:tcPr>
          <w:p>
            <w:pPr>
              <w:jc w:val="right"/>
              <w:ind w:right="233"/>
              <w:spacing w:after="0"/>
              <w:rPr>
                <w:sz w:val="20"/>
                <w:szCs w:val="20"/>
                <w:color w:val="auto"/>
              </w:rPr>
            </w:pPr>
            <w:r>
              <w:rPr>
                <w:rFonts w:ascii="Arial" w:cs="Arial" w:eastAsia="Arial" w:hAnsi="Arial"/>
                <w:sz w:val="13"/>
                <w:szCs w:val="13"/>
                <w:color w:val="auto"/>
              </w:rPr>
              <w:t>1</w:t>
            </w:r>
          </w:p>
        </w:tc>
        <w:tc>
          <w:tcPr>
            <w:tcW w:w="1880" w:type="dxa"/>
            <w:vAlign w:val="bottom"/>
            <w:gridSpan w:val="2"/>
          </w:tcPr>
          <w:p>
            <w:pPr>
              <w:jc w:val="right"/>
              <w:ind w:right="39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Telecommunications</w:t>
            </w:r>
          </w:p>
        </w:tc>
        <w:tc>
          <w:tcPr>
            <w:tcW w:w="33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1</w:t>
            </w:r>
          </w:p>
        </w:tc>
        <w:tc>
          <w:tcPr>
            <w:tcW w:w="18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rPr>
                <w:sz w:val="20"/>
                <w:szCs w:val="20"/>
                <w:color w:val="auto"/>
              </w:rPr>
            </w:pPr>
            <w:r>
              <w:rPr>
                <w:rFonts w:ascii="Arial" w:cs="Arial" w:eastAsia="Arial" w:hAnsi="Arial"/>
                <w:sz w:val="13"/>
                <w:szCs w:val="13"/>
                <w:color w:val="auto"/>
              </w:rPr>
              <w:t>Construction and Building</w:t>
            </w:r>
          </w:p>
        </w:tc>
        <w:tc>
          <w:tcPr>
            <w:tcW w:w="2540" w:type="dxa"/>
            <w:vAlign w:val="bottom"/>
          </w:tcPr>
          <w:p>
            <w:pPr>
              <w:spacing w:after="0"/>
              <w:rPr>
                <w:sz w:val="12"/>
                <w:szCs w:val="12"/>
                <w:color w:val="auto"/>
              </w:rPr>
            </w:pPr>
          </w:p>
        </w:tc>
        <w:tc>
          <w:tcPr>
            <w:tcW w:w="80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880" w:type="dxa"/>
            <w:vAlign w:val="bottom"/>
            <w:gridSpan w:val="2"/>
          </w:tcPr>
          <w:p>
            <w:pPr>
              <w:jc w:val="right"/>
              <w:ind w:right="39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Transportation: Consumer</w:t>
            </w:r>
          </w:p>
        </w:tc>
        <w:tc>
          <w:tcPr>
            <w:tcW w:w="25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18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6"/>
        </w:trPr>
        <w:tc>
          <w:tcPr>
            <w:tcW w:w="3300" w:type="dxa"/>
            <w:vAlign w:val="bottom"/>
            <w:gridSpan w:val="2"/>
          </w:tcPr>
          <w:p>
            <w:pPr>
              <w:spacing w:after="0"/>
              <w:rPr>
                <w:sz w:val="20"/>
                <w:szCs w:val="20"/>
                <w:color w:val="auto"/>
              </w:rPr>
            </w:pPr>
            <w:r>
              <w:rPr>
                <w:rFonts w:ascii="Arial" w:cs="Arial" w:eastAsia="Arial" w:hAnsi="Arial"/>
                <w:sz w:val="13"/>
                <w:szCs w:val="13"/>
                <w:color w:val="auto"/>
              </w:rPr>
              <w:t>All Other</w:t>
            </w:r>
          </w:p>
        </w:tc>
        <w:tc>
          <w:tcPr>
            <w:tcW w:w="2540" w:type="dxa"/>
            <w:vAlign w:val="bottom"/>
          </w:tcPr>
          <w:p>
            <w:pPr>
              <w:spacing w:after="0"/>
              <w:rPr>
                <w:sz w:val="13"/>
                <w:szCs w:val="13"/>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1</w:t>
            </w:r>
          </w:p>
        </w:tc>
        <w:tc>
          <w:tcPr>
            <w:tcW w:w="760" w:type="dxa"/>
            <w:vAlign w:val="bottom"/>
          </w:tcPr>
          <w:p>
            <w:pPr>
              <w:spacing w:after="0"/>
              <w:rPr>
                <w:sz w:val="13"/>
                <w:szCs w:val="13"/>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334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100%</w:t>
            </w:r>
          </w:p>
        </w:tc>
        <w:tc>
          <w:tcPr>
            <w:tcW w:w="1880" w:type="dxa"/>
            <w:vAlign w:val="bottom"/>
            <w:gridSpan w:val="2"/>
            <w:shd w:val="clear" w:color="auto" w:fill="CCEEFF"/>
          </w:tcPr>
          <w:p>
            <w:pPr>
              <w:jc w:val="right"/>
              <w:ind w:right="273"/>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40" w:type="dxa"/>
            <w:vAlign w:val="bottom"/>
            <w:vMerge w:val="restart"/>
          </w:tcPr>
          <w:p>
            <w:pPr>
              <w:jc w:val="right"/>
              <w:ind w:right="1433"/>
              <w:spacing w:after="0"/>
              <w:rPr>
                <w:sz w:val="20"/>
                <w:szCs w:val="20"/>
                <w:color w:val="auto"/>
              </w:rPr>
            </w:pPr>
            <w:r>
              <w:rPr>
                <w:rFonts w:ascii="Arial" w:cs="Arial" w:eastAsia="Arial" w:hAnsi="Arial"/>
                <w:sz w:val="13"/>
                <w:szCs w:val="13"/>
                <w:color w:val="auto"/>
              </w:rPr>
              <w:t>17</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3"/>
          <w:szCs w:val="13"/>
          <w:b w:val="1"/>
          <w:bCs w:val="1"/>
          <w:color w:val="auto"/>
        </w:rPr>
        <w:t>JUNE 30, 2014</w:t>
      </w: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FAIR VALUE OF FINANCIAL INSTRUMENTS</w:t>
      </w:r>
    </w:p>
    <w:p>
      <w:pPr>
        <w:spacing w:after="0" w:line="82" w:lineRule="exact"/>
        <w:rPr>
          <w:sz w:val="20"/>
          <w:szCs w:val="20"/>
          <w:color w:val="auto"/>
        </w:rPr>
      </w:pPr>
    </w:p>
    <w:p>
      <w:pPr>
        <w:ind w:right="40" w:firstLine="786"/>
        <w:spacing w:after="0" w:line="247"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310" w:lineRule="exact"/>
        <w:rPr>
          <w:sz w:val="20"/>
          <w:szCs w:val="20"/>
          <w:color w:val="auto"/>
        </w:rPr>
      </w:pPr>
    </w:p>
    <w:p>
      <w:pPr>
        <w:ind w:left="800"/>
        <w:spacing w:after="0"/>
        <w:tabs>
          <w:tab w:leader="none" w:pos="136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07" w:lineRule="exact"/>
        <w:rPr>
          <w:sz w:val="20"/>
          <w:szCs w:val="20"/>
          <w:color w:val="auto"/>
        </w:rPr>
      </w:pPr>
    </w:p>
    <w:p>
      <w:pPr>
        <w:ind w:left="1380" w:right="840" w:hanging="579"/>
        <w:spacing w:after="0" w:line="317" w:lineRule="auto"/>
        <w:tabs>
          <w:tab w:leader="none" w:pos="136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40" w:lineRule="exact"/>
        <w:rPr>
          <w:sz w:val="20"/>
          <w:szCs w:val="20"/>
          <w:color w:val="auto"/>
        </w:rPr>
      </w:pPr>
    </w:p>
    <w:p>
      <w:pPr>
        <w:ind w:left="800"/>
        <w:spacing w:after="0"/>
        <w:tabs>
          <w:tab w:leader="none" w:pos="136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61" w:lineRule="exact"/>
        <w:rPr>
          <w:sz w:val="20"/>
          <w:szCs w:val="20"/>
          <w:color w:val="auto"/>
        </w:rPr>
      </w:pPr>
    </w:p>
    <w:p>
      <w:pPr>
        <w:ind w:firstLine="786"/>
        <w:spacing w:after="0" w:line="256"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29" w:lineRule="exact"/>
        <w:rPr>
          <w:sz w:val="20"/>
          <w:szCs w:val="20"/>
          <w:color w:val="auto"/>
        </w:rPr>
      </w:pPr>
    </w:p>
    <w:p>
      <w:pPr>
        <w:ind w:firstLine="786"/>
        <w:spacing w:after="0" w:line="247" w:lineRule="auto"/>
        <w:rPr>
          <w:sz w:val="20"/>
          <w:szCs w:val="20"/>
          <w:color w:val="auto"/>
        </w:rPr>
      </w:pPr>
      <w:r>
        <w:rPr>
          <w:rFonts w:ascii="Arial" w:cs="Arial" w:eastAsia="Arial" w:hAnsi="Arial"/>
          <w:sz w:val="13"/>
          <w:szCs w:val="13"/>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35" w:lineRule="exact"/>
        <w:rPr>
          <w:sz w:val="20"/>
          <w:szCs w:val="20"/>
          <w:color w:val="auto"/>
        </w:rPr>
      </w:pPr>
    </w:p>
    <w:p>
      <w:pPr>
        <w:jc w:val="both"/>
        <w:ind w:right="80" w:firstLine="786"/>
        <w:spacing w:after="0" w:line="278"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17" w:lineRule="exact"/>
        <w:rPr>
          <w:sz w:val="20"/>
          <w:szCs w:val="20"/>
          <w:color w:val="auto"/>
        </w:rPr>
      </w:pPr>
    </w:p>
    <w:p>
      <w:pPr>
        <w:jc w:val="both"/>
        <w:ind w:right="60" w:firstLine="786"/>
        <w:spacing w:after="0" w:line="250"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2014, our ability to observe valuation inputs resulted in no reclassification of assets between any levels. This compares to the nine months ended June 30, 2013, which resulted in the reclassification of one asset from Level 3 to 2 and no other transfers between levels.</w:t>
      </w:r>
    </w:p>
    <w:p>
      <w:pPr>
        <w:spacing w:after="0" w:line="133" w:lineRule="exact"/>
        <w:rPr>
          <w:sz w:val="20"/>
          <w:szCs w:val="20"/>
          <w:color w:val="auto"/>
        </w:rPr>
      </w:pPr>
    </w:p>
    <w:p>
      <w:pPr>
        <w:ind w:right="220" w:firstLine="786"/>
        <w:spacing w:after="0" w:line="317" w:lineRule="auto"/>
        <w:rPr>
          <w:sz w:val="20"/>
          <w:szCs w:val="20"/>
          <w:color w:val="auto"/>
        </w:rPr>
      </w:pPr>
      <w:r>
        <w:rPr>
          <w:rFonts w:ascii="Arial" w:cs="Arial" w:eastAsia="Arial" w:hAnsi="Arial"/>
          <w:sz w:val="12"/>
          <w:szCs w:val="12"/>
          <w:color w:val="auto"/>
        </w:rPr>
        <w:t>In addition to using the above inputs in cash equivalents, investments and our long-term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94" w:lineRule="exact"/>
        <w:rPr>
          <w:sz w:val="20"/>
          <w:szCs w:val="20"/>
          <w:color w:val="auto"/>
        </w:rPr>
      </w:pPr>
    </w:p>
    <w:p>
      <w:pPr>
        <w:ind w:firstLine="786"/>
        <w:spacing w:after="0" w:line="250"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33" w:lineRule="exact"/>
        <w:rPr>
          <w:sz w:val="20"/>
          <w:szCs w:val="20"/>
          <w:color w:val="auto"/>
        </w:rPr>
      </w:pPr>
    </w:p>
    <w:p>
      <w:pPr>
        <w:ind w:right="40" w:firstLine="786"/>
        <w:spacing w:after="0" w:line="243" w:lineRule="auto"/>
        <w:rPr>
          <w:sz w:val="20"/>
          <w:szCs w:val="20"/>
          <w:color w:val="auto"/>
        </w:rPr>
      </w:pPr>
      <w:r>
        <w:rPr>
          <w:rFonts w:ascii="Arial" w:cs="Arial" w:eastAsia="Arial" w:hAnsi="Arial"/>
          <w:sz w:val="13"/>
          <w:szCs w:val="13"/>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spacing w:after="0"/>
        <w:rPr>
          <w:sz w:val="20"/>
          <w:szCs w:val="20"/>
          <w:color w:val="auto"/>
        </w:rPr>
      </w:pPr>
      <w:r>
        <w:rPr>
          <w:rFonts w:ascii="Arial" w:cs="Arial" w:eastAsia="Arial" w:hAnsi="Arial"/>
          <w:sz w:val="13"/>
          <w:szCs w:val="13"/>
          <w:b w:val="1"/>
          <w:bCs w:val="1"/>
          <w:color w:val="auto"/>
        </w:rPr>
        <w:t>JUNE 30, 2014</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Our Level 3 valuation techniques, unobservable inputs and ranges were categorized as follows for ASC 820 purposes: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 at</w:t>
            </w: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Unobservable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Range of Input</w:t>
            </w:r>
          </w:p>
        </w:tc>
        <w:tc>
          <w:tcPr>
            <w:tcW w:w="0" w:type="dxa"/>
            <w:vAlign w:val="bottom"/>
          </w:tcPr>
          <w:p>
            <w:pPr>
              <w:spacing w:after="0"/>
              <w:rPr>
                <w:sz w:val="1"/>
                <w:szCs w:val="1"/>
                <w:color w:val="auto"/>
              </w:rPr>
            </w:pPr>
          </w:p>
        </w:tc>
      </w:tr>
      <w:tr>
        <w:trPr>
          <w:trHeight w:val="148"/>
        </w:trPr>
        <w:tc>
          <w:tcPr>
            <w:tcW w:w="5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ind w:left="80"/>
              <w:spacing w:after="0" w:line="148" w:lineRule="exact"/>
              <w:rPr>
                <w:sz w:val="20"/>
                <w:szCs w:val="20"/>
                <w:color w:val="auto"/>
              </w:rPr>
            </w:pPr>
            <w:r>
              <w:rPr>
                <w:rFonts w:ascii="Arial" w:cs="Arial" w:eastAsia="Arial" w:hAnsi="Arial"/>
                <w:sz w:val="13"/>
                <w:szCs w:val="13"/>
                <w:b w:val="1"/>
                <w:bCs w:val="1"/>
                <w:color w:val="auto"/>
              </w:rPr>
              <w:t>June 30, 2014</w:t>
            </w:r>
          </w:p>
        </w:tc>
        <w:tc>
          <w:tcPr>
            <w:tcW w:w="160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2"/>
              </w:rPr>
              <w:t>Valuation Technique</w:t>
            </w:r>
          </w:p>
        </w:tc>
        <w:tc>
          <w:tcPr>
            <w:tcW w:w="124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rPr>
              <w:t>Input</w:t>
            </w: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(Weighted Average)</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shd w:val="clear" w:color="auto" w:fill="000000"/>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620" w:type="dxa"/>
            <w:vAlign w:val="bottom"/>
            <w:gridSpan w:val="2"/>
            <w:shd w:val="clear" w:color="auto" w:fill="CCEEFF"/>
          </w:tcPr>
          <w:p>
            <w:pPr>
              <w:spacing w:after="0" w:line="125" w:lineRule="exact"/>
              <w:rPr>
                <w:sz w:val="20"/>
                <w:szCs w:val="20"/>
                <w:color w:val="auto"/>
              </w:rPr>
            </w:pPr>
            <w:r>
              <w:rPr>
                <w:rFonts w:ascii="Arial" w:cs="Arial" w:eastAsia="Arial" w:hAnsi="Arial"/>
                <w:sz w:val="13"/>
                <w:szCs w:val="13"/>
                <w:color w:val="auto"/>
              </w:rPr>
              <w:t>Debt investments</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1060" w:type="dxa"/>
            <w:vAlign w:val="bottom"/>
            <w:shd w:val="clear" w:color="auto" w:fill="CCEEFF"/>
          </w:tcPr>
          <w:p>
            <w:pPr>
              <w:jc w:val="right"/>
              <w:spacing w:after="0" w:line="125" w:lineRule="exact"/>
              <w:rPr>
                <w:sz w:val="20"/>
                <w:szCs w:val="20"/>
                <w:color w:val="auto"/>
              </w:rPr>
            </w:pPr>
            <w:r>
              <w:rPr>
                <w:rFonts w:ascii="Arial" w:cs="Arial" w:eastAsia="Arial" w:hAnsi="Arial"/>
                <w:sz w:val="13"/>
                <w:szCs w:val="13"/>
                <w:color w:val="auto"/>
              </w:rPr>
              <w:t>301,722,773</w:t>
            </w:r>
          </w:p>
        </w:tc>
        <w:tc>
          <w:tcPr>
            <w:tcW w:w="260" w:type="dxa"/>
            <w:vAlign w:val="bottom"/>
            <w:shd w:val="clear" w:color="auto" w:fill="CCEEFF"/>
          </w:tcPr>
          <w:p>
            <w:pPr>
              <w:spacing w:after="0"/>
              <w:rPr>
                <w:sz w:val="10"/>
                <w:szCs w:val="10"/>
                <w:color w:val="auto"/>
              </w:rPr>
            </w:pPr>
          </w:p>
        </w:tc>
        <w:tc>
          <w:tcPr>
            <w:tcW w:w="1380" w:type="dxa"/>
            <w:vAlign w:val="bottom"/>
            <w:shd w:val="clear" w:color="auto" w:fill="CCEEFF"/>
          </w:tcPr>
          <w:p>
            <w:pPr>
              <w:jc w:val="center"/>
              <w:spacing w:after="0" w:line="125" w:lineRule="exact"/>
              <w:rPr>
                <w:sz w:val="20"/>
                <w:szCs w:val="20"/>
                <w:color w:val="auto"/>
              </w:rPr>
            </w:pPr>
            <w:r>
              <w:rPr>
                <w:rFonts w:ascii="Arial" w:cs="Arial" w:eastAsia="Arial" w:hAnsi="Arial"/>
                <w:sz w:val="13"/>
                <w:szCs w:val="13"/>
                <w:color w:val="auto"/>
                <w:w w:val="96"/>
              </w:rPr>
              <w:t>Market Comparable</w:t>
            </w: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jc w:val="center"/>
              <w:spacing w:after="0" w:line="125" w:lineRule="exact"/>
              <w:rPr>
                <w:sz w:val="20"/>
                <w:szCs w:val="20"/>
                <w:color w:val="auto"/>
              </w:rPr>
            </w:pPr>
            <w:r>
              <w:rPr>
                <w:rFonts w:ascii="Arial" w:cs="Arial" w:eastAsia="Arial" w:hAnsi="Arial"/>
                <w:sz w:val="13"/>
                <w:szCs w:val="13"/>
                <w:color w:val="auto"/>
                <w:w w:val="97"/>
              </w:rPr>
              <w:t>Broker/Dealer</w:t>
            </w:r>
          </w:p>
        </w:tc>
        <w:tc>
          <w:tcPr>
            <w:tcW w:w="220" w:type="dxa"/>
            <w:vAlign w:val="bottom"/>
            <w:shd w:val="clear" w:color="auto" w:fill="CCEEFF"/>
          </w:tcPr>
          <w:p>
            <w:pPr>
              <w:spacing w:after="0"/>
              <w:rPr>
                <w:sz w:val="10"/>
                <w:szCs w:val="10"/>
                <w:color w:val="auto"/>
              </w:rPr>
            </w:pPr>
          </w:p>
        </w:tc>
        <w:tc>
          <w:tcPr>
            <w:tcW w:w="1340" w:type="dxa"/>
            <w:vAlign w:val="bottom"/>
            <w:shd w:val="clear" w:color="auto" w:fill="CCEEFF"/>
          </w:tcPr>
          <w:p>
            <w:pPr>
              <w:jc w:val="center"/>
              <w:spacing w:after="0" w:line="12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5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3"/>
              </w:rPr>
              <w:t>bid quotes</w:t>
            </w: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gridSpan w:val="2"/>
          </w:tcPr>
          <w:p>
            <w:pPr>
              <w:spacing w:after="0"/>
              <w:rPr>
                <w:sz w:val="20"/>
                <w:szCs w:val="20"/>
                <w:color w:val="auto"/>
              </w:rPr>
            </w:pPr>
            <w:r>
              <w:rPr>
                <w:rFonts w:ascii="Arial" w:cs="Arial" w:eastAsia="Arial" w:hAnsi="Arial"/>
                <w:sz w:val="13"/>
                <w:szCs w:val="13"/>
                <w:color w:val="auto"/>
              </w:rPr>
              <w:t>Debt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56,066,656</w:t>
            </w:r>
          </w:p>
        </w:tc>
        <w:tc>
          <w:tcPr>
            <w:tcW w:w="260" w:type="dxa"/>
            <w:vAlign w:val="bottom"/>
          </w:tcPr>
          <w:p>
            <w:pPr>
              <w:spacing w:after="0"/>
              <w:rPr>
                <w:sz w:val="12"/>
                <w:szCs w:val="12"/>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Market Comparable</w:t>
            </w: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color w:val="auto"/>
                <w:w w:val="99"/>
              </w:rPr>
              <w:t>Market Yield</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6.4% – 13.9% (10.8%)</w:t>
            </w:r>
          </w:p>
        </w:tc>
        <w:tc>
          <w:tcPr>
            <w:tcW w:w="0" w:type="dxa"/>
            <w:vAlign w:val="bottom"/>
          </w:tcPr>
          <w:p>
            <w:pPr>
              <w:spacing w:after="0"/>
              <w:rPr>
                <w:sz w:val="1"/>
                <w:szCs w:val="1"/>
                <w:color w:val="auto"/>
              </w:rPr>
            </w:pPr>
          </w:p>
        </w:tc>
      </w:tr>
      <w:tr>
        <w:trPr>
          <w:trHeight w:val="138"/>
        </w:trPr>
        <w:tc>
          <w:tcPr>
            <w:tcW w:w="56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Equity investments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1,492,711</w:t>
            </w:r>
          </w:p>
        </w:tc>
        <w:tc>
          <w:tcPr>
            <w:tcW w:w="16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3"/>
                <w:szCs w:val="13"/>
                <w:color w:val="auto"/>
                <w:w w:val="96"/>
              </w:rPr>
              <w:t>Market Comparable</w:t>
            </w:r>
          </w:p>
        </w:tc>
        <w:tc>
          <w:tcPr>
            <w:tcW w:w="12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3"/>
                <w:szCs w:val="13"/>
                <w:color w:val="auto"/>
                <w:w w:val="97"/>
              </w:rPr>
              <w:t>Broker/Dealer</w:t>
            </w:r>
          </w:p>
        </w:tc>
        <w:tc>
          <w:tcPr>
            <w:tcW w:w="13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5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3"/>
              </w:rPr>
              <w:t>bid quotes</w:t>
            </w: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20" w:type="dxa"/>
            <w:vAlign w:val="bottom"/>
            <w:gridSpan w:val="2"/>
          </w:tcPr>
          <w:p>
            <w:pPr>
              <w:spacing w:after="0"/>
              <w:rPr>
                <w:sz w:val="20"/>
                <w:szCs w:val="20"/>
                <w:color w:val="auto"/>
              </w:rPr>
            </w:pPr>
            <w:r>
              <w:rPr>
                <w:rFonts w:ascii="Arial" w:cs="Arial" w:eastAsia="Arial" w:hAnsi="Arial"/>
                <w:sz w:val="13"/>
                <w:szCs w:val="13"/>
                <w:color w:val="auto"/>
              </w:rPr>
              <w:t>Equity investments</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1,071,906</w:t>
            </w:r>
          </w:p>
        </w:tc>
        <w:tc>
          <w:tcPr>
            <w:tcW w:w="260" w:type="dxa"/>
            <w:vAlign w:val="bottom"/>
          </w:tcPr>
          <w:p>
            <w:pPr>
              <w:spacing w:after="0"/>
              <w:rPr>
                <w:sz w:val="13"/>
                <w:szCs w:val="13"/>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Enterprise Market Value</w:t>
            </w: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color w:val="auto"/>
              </w:rPr>
              <w:t>EBITDA multiple</w:t>
            </w:r>
          </w:p>
        </w:tc>
        <w:tc>
          <w:tcPr>
            <w:tcW w:w="1340" w:type="dxa"/>
            <w:vAlign w:val="bottom"/>
          </w:tcPr>
          <w:p>
            <w:pPr>
              <w:jc w:val="center"/>
              <w:spacing w:after="0"/>
              <w:rPr>
                <w:sz w:val="20"/>
                <w:szCs w:val="20"/>
                <w:color w:val="auto"/>
              </w:rPr>
            </w:pPr>
            <w:r>
              <w:rPr>
                <w:rFonts w:ascii="Arial" w:cs="Arial" w:eastAsia="Arial" w:hAnsi="Arial"/>
                <w:sz w:val="13"/>
                <w:szCs w:val="13"/>
                <w:color w:val="auto"/>
                <w:w w:val="97"/>
              </w:rPr>
              <w:t>4.5x – 9.5x (8.1x)</w:t>
            </w:r>
          </w:p>
        </w:tc>
        <w:tc>
          <w:tcPr>
            <w:tcW w:w="0" w:type="dxa"/>
            <w:vAlign w:val="bottom"/>
          </w:tcPr>
          <w:p>
            <w:pPr>
              <w:spacing w:after="0"/>
              <w:rPr>
                <w:sz w:val="1"/>
                <w:szCs w:val="1"/>
                <w:color w:val="auto"/>
              </w:rPr>
            </w:pPr>
          </w:p>
        </w:tc>
      </w:tr>
      <w:tr>
        <w:trPr>
          <w:trHeight w:val="149"/>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 Level 3 investments</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360,354,046</w:t>
            </w: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3"/>
                <w:szCs w:val="13"/>
                <w:color w:val="auto"/>
              </w:rPr>
              <w:t>Long-Term Credit Facility</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6"/>
              </w:rPr>
              <w:t>Market Comparable</w:t>
            </w: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9"/>
              </w:rPr>
              <w:t>Market Yield</w:t>
            </w:r>
          </w:p>
        </w:tc>
        <w:tc>
          <w:tcPr>
            <w:tcW w:w="1340" w:type="dxa"/>
            <w:vAlign w:val="bottom"/>
            <w:vMerge w:val="restart"/>
          </w:tcPr>
          <w:p>
            <w:pPr>
              <w:jc w:val="center"/>
              <w:spacing w:after="0"/>
              <w:rPr>
                <w:sz w:val="20"/>
                <w:szCs w:val="20"/>
                <w:color w:val="auto"/>
              </w:rPr>
            </w:pPr>
            <w:r>
              <w:rPr>
                <w:rFonts w:ascii="Arial" w:cs="Arial" w:eastAsia="Arial" w:hAnsi="Arial"/>
                <w:sz w:val="13"/>
                <w:szCs w:val="13"/>
                <w:color w:val="auto"/>
                <w:w w:val="94"/>
              </w:rPr>
              <w:t>3.4%</w:t>
            </w:r>
          </w:p>
        </w:tc>
        <w:tc>
          <w:tcPr>
            <w:tcW w:w="0" w:type="dxa"/>
            <w:vAlign w:val="bottom"/>
          </w:tcPr>
          <w:p>
            <w:pPr>
              <w:spacing w:after="0" w:line="20" w:lineRule="exact"/>
              <w:rPr>
                <w:sz w:val="1"/>
                <w:szCs w:val="1"/>
                <w:color w:val="auto"/>
              </w:rPr>
            </w:pPr>
          </w:p>
        </w:tc>
      </w:tr>
      <w:tr>
        <w:trPr>
          <w:trHeight w:val="143"/>
        </w:trPr>
        <w:tc>
          <w:tcPr>
            <w:tcW w:w="5620" w:type="dxa"/>
            <w:vAlign w:val="bottom"/>
            <w:gridSpan w:val="2"/>
            <w:vMerge w:val="continue"/>
          </w:tcPr>
          <w:p>
            <w:pPr>
              <w:spacing w:after="0"/>
              <w:rPr>
                <w:sz w:val="12"/>
                <w:szCs w:val="12"/>
                <w:color w:val="auto"/>
              </w:rPr>
            </w:pPr>
          </w:p>
        </w:tc>
        <w:tc>
          <w:tcPr>
            <w:tcW w:w="12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154,900,000</w:t>
            </w:r>
          </w:p>
        </w:tc>
        <w:tc>
          <w:tcPr>
            <w:tcW w:w="2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b w:val="1"/>
                <w:bCs w:val="1"/>
                <w:color w:val="auto"/>
              </w:rPr>
              <w:t>Fair Value at</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Unobservable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Range of Input</w:t>
            </w:r>
          </w:p>
        </w:tc>
        <w:tc>
          <w:tcPr>
            <w:tcW w:w="0" w:type="dxa"/>
            <w:vAlign w:val="bottom"/>
          </w:tcPr>
          <w:p>
            <w:pPr>
              <w:spacing w:after="0"/>
              <w:rPr>
                <w:sz w:val="1"/>
                <w:szCs w:val="1"/>
                <w:color w:val="auto"/>
              </w:rPr>
            </w:pPr>
          </w:p>
        </w:tc>
      </w:tr>
      <w:tr>
        <w:trPr>
          <w:trHeight w:val="148"/>
        </w:trPr>
        <w:tc>
          <w:tcPr>
            <w:tcW w:w="3720" w:type="dxa"/>
            <w:vAlign w:val="bottom"/>
            <w:gridSpan w:val="2"/>
            <w:vMerge w:val="continue"/>
          </w:tcPr>
          <w:p>
            <w:pPr>
              <w:spacing w:after="0"/>
              <w:rPr>
                <w:sz w:val="12"/>
                <w:szCs w:val="12"/>
                <w:color w:val="auto"/>
              </w:rPr>
            </w:pPr>
          </w:p>
        </w:tc>
        <w:tc>
          <w:tcPr>
            <w:tcW w:w="1900" w:type="dxa"/>
            <w:vAlign w:val="bottom"/>
          </w:tcPr>
          <w:p>
            <w:pPr>
              <w:spacing w:after="0"/>
              <w:rPr>
                <w:sz w:val="12"/>
                <w:szCs w:val="12"/>
                <w:color w:val="auto"/>
              </w:rPr>
            </w:pPr>
          </w:p>
        </w:tc>
        <w:tc>
          <w:tcPr>
            <w:tcW w:w="118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w w:val="92"/>
              </w:rPr>
              <w:t>September 30, 2013</w:t>
            </w:r>
          </w:p>
        </w:tc>
        <w:tc>
          <w:tcPr>
            <w:tcW w:w="260" w:type="dxa"/>
            <w:vAlign w:val="bottom"/>
          </w:tcPr>
          <w:p>
            <w:pPr>
              <w:spacing w:after="0"/>
              <w:rPr>
                <w:sz w:val="12"/>
                <w:szCs w:val="12"/>
                <w:color w:val="auto"/>
              </w:rPr>
            </w:pPr>
          </w:p>
        </w:tc>
        <w:tc>
          <w:tcPr>
            <w:tcW w:w="160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2"/>
              </w:rPr>
              <w:t>Valuation Technique</w:t>
            </w:r>
          </w:p>
        </w:tc>
        <w:tc>
          <w:tcPr>
            <w:tcW w:w="124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rPr>
              <w:t>Input</w:t>
            </w: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(Weighted Average)</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720" w:type="dxa"/>
            <w:vAlign w:val="bottom"/>
            <w:gridSpan w:val="2"/>
            <w:shd w:val="clear" w:color="auto" w:fill="CCEEFF"/>
          </w:tcPr>
          <w:p>
            <w:pPr>
              <w:spacing w:after="0" w:line="125" w:lineRule="exact"/>
              <w:rPr>
                <w:sz w:val="20"/>
                <w:szCs w:val="20"/>
                <w:color w:val="auto"/>
              </w:rPr>
            </w:pPr>
            <w:r>
              <w:rPr>
                <w:rFonts w:ascii="Arial" w:cs="Arial" w:eastAsia="Arial" w:hAnsi="Arial"/>
                <w:sz w:val="13"/>
                <w:szCs w:val="13"/>
                <w:color w:val="auto"/>
              </w:rPr>
              <w:t>Debt investments</w:t>
            </w:r>
          </w:p>
        </w:tc>
        <w:tc>
          <w:tcPr>
            <w:tcW w:w="190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25" w:lineRule="exact"/>
              <w:rPr>
                <w:sz w:val="20"/>
                <w:szCs w:val="20"/>
                <w:color w:val="auto"/>
              </w:rPr>
            </w:pPr>
            <w:r>
              <w:rPr>
                <w:rFonts w:ascii="Arial" w:cs="Arial" w:eastAsia="Arial" w:hAnsi="Arial"/>
                <w:sz w:val="13"/>
                <w:szCs w:val="13"/>
                <w:color w:val="auto"/>
              </w:rPr>
              <w:t>298,655,677</w:t>
            </w:r>
          </w:p>
        </w:tc>
        <w:tc>
          <w:tcPr>
            <w:tcW w:w="260" w:type="dxa"/>
            <w:vAlign w:val="bottom"/>
            <w:shd w:val="clear" w:color="auto" w:fill="CCEEFF"/>
          </w:tcPr>
          <w:p>
            <w:pPr>
              <w:spacing w:after="0"/>
              <w:rPr>
                <w:sz w:val="10"/>
                <w:szCs w:val="10"/>
                <w:color w:val="auto"/>
              </w:rPr>
            </w:pPr>
          </w:p>
        </w:tc>
        <w:tc>
          <w:tcPr>
            <w:tcW w:w="1380" w:type="dxa"/>
            <w:vAlign w:val="bottom"/>
            <w:shd w:val="clear" w:color="auto" w:fill="CCEEFF"/>
          </w:tcPr>
          <w:p>
            <w:pPr>
              <w:jc w:val="center"/>
              <w:spacing w:after="0" w:line="125" w:lineRule="exact"/>
              <w:rPr>
                <w:sz w:val="20"/>
                <w:szCs w:val="20"/>
                <w:color w:val="auto"/>
              </w:rPr>
            </w:pPr>
            <w:r>
              <w:rPr>
                <w:rFonts w:ascii="Arial" w:cs="Arial" w:eastAsia="Arial" w:hAnsi="Arial"/>
                <w:sz w:val="13"/>
                <w:szCs w:val="13"/>
                <w:color w:val="auto"/>
                <w:w w:val="96"/>
              </w:rPr>
              <w:t>Market Comparable</w:t>
            </w: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jc w:val="center"/>
              <w:spacing w:after="0" w:line="125" w:lineRule="exact"/>
              <w:rPr>
                <w:sz w:val="20"/>
                <w:szCs w:val="20"/>
                <w:color w:val="auto"/>
              </w:rPr>
            </w:pPr>
            <w:r>
              <w:rPr>
                <w:rFonts w:ascii="Arial" w:cs="Arial" w:eastAsia="Arial" w:hAnsi="Arial"/>
                <w:sz w:val="13"/>
                <w:szCs w:val="13"/>
                <w:color w:val="auto"/>
                <w:w w:val="97"/>
              </w:rPr>
              <w:t>Broker/Dealer</w:t>
            </w:r>
          </w:p>
        </w:tc>
        <w:tc>
          <w:tcPr>
            <w:tcW w:w="220" w:type="dxa"/>
            <w:vAlign w:val="bottom"/>
            <w:shd w:val="clear" w:color="auto" w:fill="CCEEFF"/>
          </w:tcPr>
          <w:p>
            <w:pPr>
              <w:spacing w:after="0"/>
              <w:rPr>
                <w:sz w:val="10"/>
                <w:szCs w:val="10"/>
                <w:color w:val="auto"/>
              </w:rPr>
            </w:pPr>
          </w:p>
        </w:tc>
        <w:tc>
          <w:tcPr>
            <w:tcW w:w="1340" w:type="dxa"/>
            <w:vAlign w:val="bottom"/>
            <w:shd w:val="clear" w:color="auto" w:fill="CCEEFF"/>
          </w:tcPr>
          <w:p>
            <w:pPr>
              <w:jc w:val="center"/>
              <w:spacing w:after="0" w:line="12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3"/>
              </w:rPr>
              <w:t>bid quotes</w:t>
            </w: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rPr>
                <w:sz w:val="20"/>
                <w:szCs w:val="20"/>
                <w:color w:val="auto"/>
              </w:rPr>
            </w:pPr>
            <w:r>
              <w:rPr>
                <w:rFonts w:ascii="Arial" w:cs="Arial" w:eastAsia="Arial" w:hAnsi="Arial"/>
                <w:sz w:val="13"/>
                <w:szCs w:val="13"/>
                <w:color w:val="auto"/>
              </w:rPr>
              <w:t>Debt investments</w:t>
            </w: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14,900,556</w:t>
            </w:r>
          </w:p>
        </w:tc>
        <w:tc>
          <w:tcPr>
            <w:tcW w:w="260" w:type="dxa"/>
            <w:vAlign w:val="bottom"/>
          </w:tcPr>
          <w:p>
            <w:pPr>
              <w:spacing w:after="0"/>
              <w:rPr>
                <w:sz w:val="12"/>
                <w:szCs w:val="12"/>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Market Comparable</w:t>
            </w: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color w:val="auto"/>
                <w:w w:val="99"/>
              </w:rPr>
              <w:t>Market Yield</w:t>
            </w:r>
          </w:p>
        </w:tc>
        <w:tc>
          <w:tcPr>
            <w:tcW w:w="1340" w:type="dxa"/>
            <w:vAlign w:val="bottom"/>
          </w:tcPr>
          <w:p>
            <w:pPr>
              <w:jc w:val="center"/>
              <w:spacing w:after="0"/>
              <w:rPr>
                <w:sz w:val="20"/>
                <w:szCs w:val="20"/>
                <w:color w:val="auto"/>
              </w:rPr>
            </w:pPr>
            <w:r>
              <w:rPr>
                <w:rFonts w:ascii="Arial" w:cs="Arial" w:eastAsia="Arial" w:hAnsi="Arial"/>
                <w:sz w:val="13"/>
                <w:szCs w:val="13"/>
                <w:color w:val="auto"/>
                <w:w w:val="93"/>
              </w:rPr>
              <w:t>7.3% – 15.2% (11.7%)</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investments</w:t>
            </w:r>
          </w:p>
        </w:tc>
        <w:tc>
          <w:tcPr>
            <w:tcW w:w="19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188,235</w:t>
            </w:r>
          </w:p>
        </w:tc>
        <w:tc>
          <w:tcPr>
            <w:tcW w:w="2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3"/>
              </w:rPr>
              <w:t>Enterprise Market Value</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rPr>
              <w:t>EBITDA multiple</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7.0x</w:t>
            </w:r>
          </w:p>
        </w:tc>
        <w:tc>
          <w:tcPr>
            <w:tcW w:w="0" w:type="dxa"/>
            <w:vAlign w:val="bottom"/>
          </w:tcPr>
          <w:p>
            <w:pPr>
              <w:spacing w:after="0"/>
              <w:rPr>
                <w:sz w:val="1"/>
                <w:szCs w:val="1"/>
                <w:color w:val="auto"/>
              </w:rPr>
            </w:pPr>
          </w:p>
        </w:tc>
      </w:tr>
      <w:tr>
        <w:trPr>
          <w:trHeight w:val="155"/>
        </w:trPr>
        <w:tc>
          <w:tcPr>
            <w:tcW w:w="3720" w:type="dxa"/>
            <w:vAlign w:val="bottom"/>
            <w:gridSpan w:val="2"/>
          </w:tcPr>
          <w:p>
            <w:pPr>
              <w:ind w:left="440"/>
              <w:spacing w:after="0"/>
              <w:rPr>
                <w:sz w:val="20"/>
                <w:szCs w:val="20"/>
                <w:color w:val="auto"/>
              </w:rPr>
            </w:pPr>
            <w:r>
              <w:rPr>
                <w:rFonts w:ascii="Arial" w:cs="Arial" w:eastAsia="Arial" w:hAnsi="Arial"/>
                <w:sz w:val="13"/>
                <w:szCs w:val="13"/>
                <w:color w:val="auto"/>
              </w:rPr>
              <w:t>Total Level 3 investments</w:t>
            </w:r>
          </w:p>
        </w:tc>
        <w:tc>
          <w:tcPr>
            <w:tcW w:w="19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313,744,468</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Long-Term Credit Facility</w:t>
            </w:r>
          </w:p>
        </w:tc>
        <w:tc>
          <w:tcPr>
            <w:tcW w:w="2040" w:type="dxa"/>
            <w:vAlign w:val="bottom"/>
            <w:gridSpan w:val="2"/>
            <w:shd w:val="clear" w:color="auto" w:fill="CCEEFF"/>
          </w:tcPr>
          <w:p>
            <w:pPr>
              <w:jc w:val="right"/>
              <w:ind w:right="21"/>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99,600,000</w:t>
            </w:r>
          </w:p>
        </w:tc>
        <w:tc>
          <w:tcPr>
            <w:tcW w:w="2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3"/>
                <w:szCs w:val="13"/>
                <w:color w:val="auto"/>
                <w:w w:val="96"/>
              </w:rPr>
              <w:t>Market Comparable</w:t>
            </w:r>
          </w:p>
        </w:tc>
        <w:tc>
          <w:tcPr>
            <w:tcW w:w="1240" w:type="dxa"/>
            <w:vAlign w:val="bottom"/>
            <w:gridSpan w:val="2"/>
            <w:shd w:val="clear" w:color="auto" w:fill="CCEEFF"/>
          </w:tcPr>
          <w:p>
            <w:pPr>
              <w:jc w:val="center"/>
              <w:ind w:right="200"/>
              <w:spacing w:after="0" w:line="143" w:lineRule="exact"/>
              <w:rPr>
                <w:sz w:val="20"/>
                <w:szCs w:val="20"/>
                <w:color w:val="auto"/>
              </w:rPr>
            </w:pPr>
            <w:r>
              <w:rPr>
                <w:rFonts w:ascii="Arial" w:cs="Arial" w:eastAsia="Arial" w:hAnsi="Arial"/>
                <w:sz w:val="13"/>
                <w:szCs w:val="13"/>
                <w:color w:val="auto"/>
                <w:w w:val="99"/>
              </w:rPr>
              <w:t>Market Yield</w:t>
            </w:r>
          </w:p>
        </w:tc>
        <w:tc>
          <w:tcPr>
            <w:tcW w:w="1340" w:type="dxa"/>
            <w:vAlign w:val="bottom"/>
            <w:shd w:val="clear" w:color="auto" w:fill="CCEEFF"/>
          </w:tcPr>
          <w:p>
            <w:pPr>
              <w:jc w:val="center"/>
              <w:spacing w:after="0" w:line="143" w:lineRule="exact"/>
              <w:rPr>
                <w:sz w:val="20"/>
                <w:szCs w:val="20"/>
                <w:color w:val="auto"/>
              </w:rPr>
            </w:pPr>
            <w:r>
              <w:rPr>
                <w:rFonts w:ascii="Arial" w:cs="Arial" w:eastAsia="Arial" w:hAnsi="Arial"/>
                <w:sz w:val="13"/>
                <w:szCs w:val="13"/>
                <w:color w:val="auto"/>
                <w:w w:val="94"/>
              </w:rPr>
              <w:t>3.6%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Our cash equivalents, investments and our Credit Facility were categorized as follows in the fair value hierarchy for ASC 820 purposes: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3"/>
                <w:szCs w:val="13"/>
                <w:b w:val="1"/>
                <w:bCs w:val="1"/>
                <w:color w:val="auto"/>
              </w:rPr>
              <w:t>Fair Value at June 30, 2014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6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73"/>
              <w:spacing w:after="0" w:line="129" w:lineRule="exact"/>
              <w:rPr>
                <w:sz w:val="20"/>
                <w:szCs w:val="20"/>
                <w:color w:val="auto"/>
              </w:rPr>
            </w:pPr>
            <w:r>
              <w:rPr>
                <w:rFonts w:ascii="Arial" w:cs="Arial" w:eastAsia="Arial" w:hAnsi="Arial"/>
                <w:sz w:val="13"/>
                <w:szCs w:val="13"/>
                <w:b w:val="1"/>
                <w:bCs w:val="1"/>
                <w:color w:val="auto"/>
                <w:w w:val="99"/>
              </w:rPr>
              <w:t>Fair Value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b w:val="1"/>
                <w:bCs w:val="1"/>
                <w:color w:val="auto"/>
              </w:rPr>
              <w:t>Level 1</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53"/>
              <w:spacing w:after="0" w:line="129" w:lineRule="exact"/>
              <w:rPr>
                <w:sz w:val="20"/>
                <w:szCs w:val="20"/>
                <w:color w:val="auto"/>
              </w:rPr>
            </w:pPr>
            <w:r>
              <w:rPr>
                <w:rFonts w:ascii="Arial" w:cs="Arial" w:eastAsia="Arial" w:hAnsi="Arial"/>
                <w:sz w:val="13"/>
                <w:szCs w:val="13"/>
                <w:b w:val="1"/>
                <w:bCs w:val="1"/>
                <w:color w:val="auto"/>
              </w:rPr>
              <w:t>Level 2</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33"/>
              <w:spacing w:after="0" w:line="129"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shd w:val="clear" w:color="auto" w:fill="000000"/>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6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Debt investments (First lien)</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322,163,846</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ind w:left="480"/>
              <w:spacing w:after="0" w:line="136"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6"/>
              </w:rPr>
              <w:t>322,163,846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0" w:type="dxa"/>
            <w:vAlign w:val="bottom"/>
            <w:gridSpan w:val="2"/>
          </w:tcPr>
          <w:p>
            <w:pPr>
              <w:spacing w:after="0"/>
              <w:rPr>
                <w:sz w:val="20"/>
                <w:szCs w:val="20"/>
                <w:color w:val="auto"/>
              </w:rPr>
            </w:pPr>
            <w:r>
              <w:rPr>
                <w:rFonts w:ascii="Arial" w:cs="Arial" w:eastAsia="Arial" w:hAnsi="Arial"/>
                <w:sz w:val="13"/>
                <w:szCs w:val="13"/>
                <w:color w:val="auto"/>
              </w:rPr>
              <w:t>Debt investments (Second lien)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30,790,263</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ind w:left="4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30,790,263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 investments (Subordinated debt / corporate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10,350,190</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5,514,870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4,835,320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600" w:type="dxa"/>
            <w:vAlign w:val="bottom"/>
            <w:gridSpan w:val="2"/>
          </w:tcPr>
          <w:p>
            <w:pPr>
              <w:spacing w:after="0"/>
              <w:rPr>
                <w:sz w:val="20"/>
                <w:szCs w:val="20"/>
                <w:color w:val="auto"/>
              </w:rPr>
            </w:pPr>
            <w:r>
              <w:rPr>
                <w:rFonts w:ascii="Arial" w:cs="Arial" w:eastAsia="Arial" w:hAnsi="Arial"/>
                <w:sz w:val="13"/>
                <w:szCs w:val="13"/>
                <w:color w:val="auto"/>
              </w:rPr>
              <w:t>Equity investments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2,587,304</w:t>
            </w: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22,687</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2,564,617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 investments</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365,891,603</w:t>
            </w:r>
          </w:p>
        </w:tc>
        <w:tc>
          <w:tcPr>
            <w:tcW w:w="4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5,537,557</w:t>
            </w:r>
          </w:p>
        </w:tc>
        <w:tc>
          <w:tcPr>
            <w:tcW w:w="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360,354,046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600" w:type="dxa"/>
            <w:vAlign w:val="bottom"/>
            <w:gridSpan w:val="2"/>
          </w:tcPr>
          <w:p>
            <w:pPr>
              <w:spacing w:after="0"/>
              <w:rPr>
                <w:sz w:val="20"/>
                <w:szCs w:val="20"/>
                <w:color w:val="auto"/>
              </w:rPr>
            </w:pPr>
            <w:r>
              <w:rPr>
                <w:rFonts w:ascii="Arial" w:cs="Arial" w:eastAsia="Arial" w:hAnsi="Arial"/>
                <w:sz w:val="13"/>
                <w:szCs w:val="13"/>
                <w:color w:val="auto"/>
              </w:rPr>
              <w:t>Cash equivalents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9,940,930</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w w:val="89"/>
              </w:rPr>
              <w:t>9,940,930</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 investments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375,832,533</w:t>
            </w:r>
          </w:p>
        </w:tc>
        <w:tc>
          <w:tcPr>
            <w:tcW w:w="56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9"/>
              </w:rPr>
              <w:t>9,940,930</w:t>
            </w:r>
          </w:p>
        </w:tc>
        <w:tc>
          <w:tcPr>
            <w:tcW w:w="58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5,537,557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360,354,046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3"/>
                <w:szCs w:val="13"/>
                <w:color w:val="auto"/>
              </w:rPr>
              <w:t>Long-Term Credit Facility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0" w:type="dxa"/>
            <w:vAlign w:val="bottom"/>
            <w:gridSpan w:val="2"/>
            <w:vMerge w:val="continue"/>
          </w:tcPr>
          <w:p>
            <w:pPr>
              <w:spacing w:after="0"/>
              <w:rPr>
                <w:sz w:val="12"/>
                <w:szCs w:val="12"/>
                <w:color w:val="auto"/>
              </w:rPr>
            </w:pPr>
          </w:p>
        </w:tc>
        <w:tc>
          <w:tcPr>
            <w:tcW w:w="100" w:type="dxa"/>
            <w:vAlign w:val="bottom"/>
            <w:gridSpan w:val="2"/>
          </w:tcPr>
          <w:p>
            <w:pPr>
              <w:jc w:val="right"/>
              <w:spacing w:after="0" w:line="143"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line="143" w:lineRule="exact"/>
              <w:rPr>
                <w:sz w:val="20"/>
                <w:szCs w:val="20"/>
                <w:color w:val="auto"/>
              </w:rPr>
            </w:pPr>
            <w:r>
              <w:rPr>
                <w:rFonts w:ascii="Arial" w:cs="Arial" w:eastAsia="Arial" w:hAnsi="Arial"/>
                <w:sz w:val="13"/>
                <w:szCs w:val="13"/>
                <w:color w:val="auto"/>
              </w:rPr>
              <w:t>154,900,000</w:t>
            </w:r>
          </w:p>
        </w:tc>
        <w:tc>
          <w:tcPr>
            <w:tcW w:w="560" w:type="dxa"/>
            <w:vAlign w:val="bottom"/>
            <w:gridSpan w:val="2"/>
          </w:tcPr>
          <w:p>
            <w:pPr>
              <w:jc w:val="right"/>
              <w:ind w:right="29"/>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ind w:left="480"/>
              <w:spacing w:after="0" w:line="143"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9"/>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3" w:lineRule="exact"/>
              <w:rPr>
                <w:sz w:val="20"/>
                <w:szCs w:val="20"/>
                <w:color w:val="auto"/>
              </w:rPr>
            </w:pPr>
            <w:r>
              <w:rPr>
                <w:rFonts w:ascii="Arial" w:cs="Arial" w:eastAsia="Arial" w:hAnsi="Arial"/>
                <w:sz w:val="13"/>
                <w:szCs w:val="13"/>
                <w:color w:val="auto"/>
                <w:w w:val="96"/>
              </w:rPr>
              <w:t>154,900,000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3"/>
                <w:szCs w:val="13"/>
                <w:b w:val="1"/>
                <w:bCs w:val="1"/>
                <w:color w:val="auto"/>
                <w:w w:val="92"/>
              </w:rPr>
              <w:t>Fair Value at September 30, 2013</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40" w:type="dxa"/>
            <w:vAlign w:val="bottom"/>
            <w:gridSpan w:val="2"/>
            <w:vMerge w:val="continue"/>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73"/>
              <w:spacing w:after="0" w:line="129" w:lineRule="exact"/>
              <w:rPr>
                <w:sz w:val="20"/>
                <w:szCs w:val="20"/>
                <w:color w:val="auto"/>
              </w:rPr>
            </w:pPr>
            <w:r>
              <w:rPr>
                <w:rFonts w:ascii="Arial" w:cs="Arial" w:eastAsia="Arial" w:hAnsi="Arial"/>
                <w:sz w:val="13"/>
                <w:szCs w:val="13"/>
                <w:b w:val="1"/>
                <w:bCs w:val="1"/>
                <w:color w:val="auto"/>
                <w:w w:val="99"/>
              </w:rPr>
              <w:t>Fair Value</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120"/>
              <w:spacing w:after="0" w:line="129" w:lineRule="exact"/>
              <w:rPr>
                <w:sz w:val="20"/>
                <w:szCs w:val="20"/>
                <w:color w:val="auto"/>
              </w:rPr>
            </w:pPr>
            <w:r>
              <w:rPr>
                <w:rFonts w:ascii="Arial" w:cs="Arial" w:eastAsia="Arial" w:hAnsi="Arial"/>
                <w:sz w:val="13"/>
                <w:szCs w:val="13"/>
                <w:b w:val="1"/>
                <w:bCs w:val="1"/>
                <w:color w:val="auto"/>
              </w:rPr>
              <w:t>Level 1</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53"/>
              <w:spacing w:after="0" w:line="129" w:lineRule="exact"/>
              <w:rPr>
                <w:sz w:val="20"/>
                <w:szCs w:val="20"/>
                <w:color w:val="auto"/>
              </w:rPr>
            </w:pPr>
            <w:r>
              <w:rPr>
                <w:rFonts w:ascii="Arial" w:cs="Arial" w:eastAsia="Arial" w:hAnsi="Arial"/>
                <w:sz w:val="13"/>
                <w:szCs w:val="13"/>
                <w:b w:val="1"/>
                <w:bCs w:val="1"/>
                <w:color w:val="auto"/>
              </w:rPr>
              <w:t>Level 2</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33"/>
              <w:spacing w:after="0" w:line="129"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Debt investments (First lien)</w:t>
            </w: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281,046,248</w:t>
            </w: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ind w:left="540"/>
              <w:spacing w:after="0" w:line="136"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6"/>
              </w:rPr>
              <w:t>281,046,248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color w:val="auto"/>
              </w:rPr>
              <w:t>Debt investments (Second lien)</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27,499,315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ind w:left="5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1,635,000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25,864,315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 investments (Subordinated debt / corporate notes)</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9,003,170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2,357,500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6,645,670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40" w:type="dxa"/>
            <w:vAlign w:val="bottom"/>
            <w:gridSpan w:val="2"/>
          </w:tcPr>
          <w:p>
            <w:pPr>
              <w:spacing w:after="0"/>
              <w:rPr>
                <w:sz w:val="20"/>
                <w:szCs w:val="20"/>
                <w:color w:val="auto"/>
              </w:rPr>
            </w:pPr>
            <w:r>
              <w:rPr>
                <w:rFonts w:ascii="Arial" w:cs="Arial" w:eastAsia="Arial" w:hAnsi="Arial"/>
                <w:sz w:val="13"/>
                <w:szCs w:val="13"/>
                <w:color w:val="auto"/>
              </w:rPr>
              <w:t>Equity investments</w:t>
            </w:r>
          </w:p>
        </w:tc>
        <w:tc>
          <w:tcPr>
            <w:tcW w:w="1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255,161</w:t>
            </w:r>
          </w:p>
        </w:tc>
        <w:tc>
          <w:tcPr>
            <w:tcW w:w="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66,926</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188,235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 investments</w:t>
            </w:r>
          </w:p>
        </w:tc>
        <w:tc>
          <w:tcPr>
            <w:tcW w:w="15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317,803,894</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4,059,426</w:t>
            </w:r>
          </w:p>
        </w:tc>
        <w:tc>
          <w:tcPr>
            <w:tcW w:w="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313,744,468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40" w:type="dxa"/>
            <w:vAlign w:val="bottom"/>
            <w:gridSpan w:val="2"/>
          </w:tcPr>
          <w:p>
            <w:pPr>
              <w:spacing w:after="0"/>
              <w:rPr>
                <w:sz w:val="20"/>
                <w:szCs w:val="20"/>
                <w:color w:val="auto"/>
              </w:rPr>
            </w:pPr>
            <w:r>
              <w:rPr>
                <w:rFonts w:ascii="Arial" w:cs="Arial" w:eastAsia="Arial" w:hAnsi="Arial"/>
                <w:sz w:val="13"/>
                <w:szCs w:val="13"/>
                <w:color w:val="auto"/>
              </w:rPr>
              <w:t>Cash equivalents</w:t>
            </w: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4,578,249</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w w:val="89"/>
              </w:rPr>
              <w:t>4,578,249</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 investments and cash equivalents</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322,382,143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00"/>
              <w:spacing w:after="0"/>
              <w:rPr>
                <w:sz w:val="20"/>
                <w:szCs w:val="20"/>
                <w:color w:val="auto"/>
              </w:rPr>
            </w:pPr>
            <w:r>
              <w:rPr>
                <w:rFonts w:ascii="Arial" w:cs="Arial" w:eastAsia="Arial" w:hAnsi="Arial"/>
                <w:sz w:val="13"/>
                <w:szCs w:val="13"/>
                <w:color w:val="auto"/>
                <w:w w:val="89"/>
              </w:rPr>
              <w:t>4,578,249</w:t>
            </w:r>
          </w:p>
        </w:tc>
        <w:tc>
          <w:tcPr>
            <w:tcW w:w="58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4,059,426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313,744,468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3"/>
                <w:szCs w:val="13"/>
                <w:color w:val="auto"/>
              </w:rPr>
              <w:t>Long-Term Credit Facility</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40" w:type="dxa"/>
            <w:vAlign w:val="bottom"/>
            <w:gridSpan w:val="2"/>
            <w:vMerge w:val="continue"/>
          </w:tcPr>
          <w:p>
            <w:pPr>
              <w:spacing w:after="0"/>
              <w:rPr>
                <w:sz w:val="12"/>
                <w:szCs w:val="12"/>
                <w:color w:val="auto"/>
              </w:rPr>
            </w:pPr>
          </w:p>
        </w:tc>
        <w:tc>
          <w:tcPr>
            <w:tcW w:w="16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3" w:lineRule="exact"/>
              <w:rPr>
                <w:sz w:val="20"/>
                <w:szCs w:val="20"/>
                <w:color w:val="auto"/>
              </w:rPr>
            </w:pPr>
            <w:r>
              <w:rPr>
                <w:rFonts w:ascii="Arial" w:cs="Arial" w:eastAsia="Arial" w:hAnsi="Arial"/>
                <w:sz w:val="13"/>
                <w:szCs w:val="13"/>
                <w:color w:val="auto"/>
              </w:rPr>
              <w:t>99,600,000</w:t>
            </w:r>
          </w:p>
        </w:tc>
        <w:tc>
          <w:tcPr>
            <w:tcW w:w="5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tcPr>
          <w:p>
            <w:pPr>
              <w:ind w:left="540"/>
              <w:spacing w:after="0" w:line="143"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9"/>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3" w:lineRule="exact"/>
              <w:rPr>
                <w:sz w:val="20"/>
                <w:szCs w:val="20"/>
                <w:color w:val="auto"/>
              </w:rPr>
            </w:pPr>
            <w:r>
              <w:rPr>
                <w:rFonts w:ascii="Arial" w:cs="Arial" w:eastAsia="Arial" w:hAnsi="Arial"/>
                <w:sz w:val="13"/>
                <w:szCs w:val="13"/>
                <w:color w:val="auto"/>
              </w:rPr>
              <w:t>99,600,000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60" w:type="dxa"/>
            <w:vAlign w:val="bottom"/>
            <w:vMerge w:val="restart"/>
          </w:tcPr>
          <w:p>
            <w:pPr>
              <w:jc w:val="right"/>
              <w:ind w:right="293"/>
              <w:spacing w:after="0"/>
              <w:rPr>
                <w:sz w:val="20"/>
                <w:szCs w:val="20"/>
                <w:color w:val="auto"/>
              </w:rPr>
            </w:pPr>
            <w:r>
              <w:rPr>
                <w:rFonts w:ascii="Arial" w:cs="Arial" w:eastAsia="Arial" w:hAnsi="Arial"/>
                <w:sz w:val="13"/>
                <w:szCs w:val="13"/>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spacing w:after="0"/>
        <w:rPr>
          <w:sz w:val="20"/>
          <w:szCs w:val="20"/>
          <w:color w:val="auto"/>
        </w:rPr>
      </w:pPr>
      <w:r>
        <w:rPr>
          <w:rFonts w:ascii="Arial" w:cs="Arial" w:eastAsia="Arial" w:hAnsi="Arial"/>
          <w:sz w:val="13"/>
          <w:szCs w:val="13"/>
          <w:b w:val="1"/>
          <w:bCs w:val="1"/>
          <w:color w:val="auto"/>
        </w:rPr>
        <w:t>JUNE 30, 2014</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98"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 following tables show a reconciliation of the beginning and ending balances for fair valued investments measured using significant unobservable inputs (Level 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4"/>
              </w:rPr>
              <w:t>Nine Months Ended June 30, 2014</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460"/>
              <w:spacing w:after="0" w:line="129" w:lineRule="exact"/>
              <w:rPr>
                <w:sz w:val="20"/>
                <w:szCs w:val="20"/>
                <w:color w:val="auto"/>
              </w:rPr>
            </w:pPr>
            <w:r>
              <w:rPr>
                <w:rFonts w:ascii="Arial" w:cs="Arial" w:eastAsia="Arial" w:hAnsi="Arial"/>
                <w:sz w:val="13"/>
                <w:szCs w:val="13"/>
                <w:b w:val="1"/>
                <w:bCs w:val="1"/>
                <w:color w:val="auto"/>
                <w:w w:val="88"/>
              </w:rPr>
              <w:t>Second lien,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1"/>
              </w:rPr>
              <w:t>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8" w:lineRule="exact"/>
              <w:rPr>
                <w:sz w:val="20"/>
                <w:szCs w:val="20"/>
                <w:color w:val="auto"/>
              </w:rPr>
            </w:pPr>
            <w:r>
              <w:rPr>
                <w:rFonts w:ascii="Arial" w:cs="Arial" w:eastAsia="Arial" w:hAnsi="Arial"/>
                <w:sz w:val="13"/>
                <w:szCs w:val="13"/>
                <w:b w:val="1"/>
                <w:bCs w:val="1"/>
                <w:color w:val="auto"/>
              </w:rPr>
              <w:t>First Lien</w:t>
            </w:r>
          </w:p>
        </w:tc>
        <w:tc>
          <w:tcPr>
            <w:tcW w:w="320" w:type="dxa"/>
            <w:vAlign w:val="bottom"/>
          </w:tcPr>
          <w:p>
            <w:pPr>
              <w:spacing w:after="0"/>
              <w:rPr>
                <w:sz w:val="12"/>
                <w:szCs w:val="12"/>
                <w:color w:val="auto"/>
              </w:rPr>
            </w:pPr>
          </w:p>
        </w:tc>
        <w:tc>
          <w:tcPr>
            <w:tcW w:w="168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and equity investments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shd w:val="clear" w:color="auto" w:fill="000000"/>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28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Beginning Balance</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9"/>
              </w:rPr>
              <w:t>281,046,248</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32,698,220</w:t>
            </w: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9"/>
              </w:rPr>
              <w:t>313,744,468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80" w:type="dxa"/>
            <w:vAlign w:val="bottom"/>
            <w:gridSpan w:val="2"/>
          </w:tcPr>
          <w:p>
            <w:pPr>
              <w:ind w:left="440"/>
              <w:spacing w:after="0"/>
              <w:rPr>
                <w:sz w:val="20"/>
                <w:szCs w:val="20"/>
                <w:color w:val="auto"/>
              </w:rPr>
            </w:pPr>
            <w:r>
              <w:rPr>
                <w:rFonts w:ascii="Arial" w:cs="Arial" w:eastAsia="Arial" w:hAnsi="Arial"/>
                <w:sz w:val="13"/>
                <w:szCs w:val="13"/>
                <w:color w:val="auto"/>
              </w:rPr>
              <w:t>Realized gains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1,194,362</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3"/>
                <w:szCs w:val="13"/>
                <w:color w:val="auto"/>
              </w:rPr>
              <w:t>578,987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1,773,349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Unrealized appreciation</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1,798,648</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1,433,096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3,231,744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gridSpan w:val="2"/>
          </w:tcPr>
          <w:p>
            <w:pPr>
              <w:ind w:left="440"/>
              <w:spacing w:after="0"/>
              <w:rPr>
                <w:sz w:val="20"/>
                <w:szCs w:val="20"/>
                <w:color w:val="auto"/>
              </w:rPr>
            </w:pPr>
            <w:r>
              <w:rPr>
                <w:rFonts w:ascii="Arial" w:cs="Arial" w:eastAsia="Arial" w:hAnsi="Arial"/>
                <w:sz w:val="13"/>
                <w:szCs w:val="13"/>
                <w:color w:val="auto"/>
              </w:rPr>
              <w:t>Purchases, PIK, net discount accretion and non-cash exchanges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w w:val="99"/>
              </w:rPr>
              <w:t>171,711,192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3"/>
                <w:szCs w:val="13"/>
                <w:color w:val="auto"/>
              </w:rPr>
              <w:t>15,019,955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9"/>
              </w:rPr>
              <w:t>186,731,147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Sales, repayments and non-cash exchanges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3"/>
              </w:rPr>
              <w:t>(133,586,604)</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(11,540,058)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3"/>
              </w:rPr>
              <w:t>(145,126,662)</w:t>
            </w:r>
          </w:p>
        </w:tc>
        <w:tc>
          <w:tcPr>
            <w:tcW w:w="0" w:type="dxa"/>
            <w:vAlign w:val="bottom"/>
          </w:tcPr>
          <w:p>
            <w:pPr>
              <w:spacing w:after="0"/>
              <w:rPr>
                <w:sz w:val="1"/>
                <w:szCs w:val="1"/>
                <w:color w:val="auto"/>
              </w:rPr>
            </w:pPr>
          </w:p>
        </w:tc>
      </w:tr>
      <w:tr>
        <w:trPr>
          <w:trHeight w:val="155"/>
        </w:trPr>
        <w:tc>
          <w:tcPr>
            <w:tcW w:w="7280" w:type="dxa"/>
            <w:vAlign w:val="bottom"/>
            <w:gridSpan w:val="2"/>
          </w:tcPr>
          <w:p>
            <w:pPr>
              <w:ind w:left="440"/>
              <w:spacing w:after="0"/>
              <w:rPr>
                <w:sz w:val="20"/>
                <w:szCs w:val="20"/>
                <w:color w:val="auto"/>
              </w:rPr>
            </w:pPr>
            <w:r>
              <w:rPr>
                <w:rFonts w:ascii="Arial" w:cs="Arial" w:eastAsia="Arial" w:hAnsi="Arial"/>
                <w:sz w:val="13"/>
                <w:szCs w:val="13"/>
                <w:color w:val="auto"/>
              </w:rPr>
              <w:t>Transfers in and/or out of Level 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322,163,846</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38,190,200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360,354,046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3"/>
                <w:szCs w:val="13"/>
                <w:color w:val="auto"/>
                <w:w w:val="96"/>
              </w:rPr>
              <w:t>Net change in unrealized appreciation reported within the net change in unrealized appreciation on investments in our Consolidated</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80" w:type="dxa"/>
            <w:vAlign w:val="bottom"/>
            <w:gridSpan w:val="2"/>
          </w:tcPr>
          <w:p>
            <w:pPr>
              <w:ind w:left="220"/>
              <w:spacing w:after="0"/>
              <w:rPr>
                <w:sz w:val="20"/>
                <w:szCs w:val="20"/>
                <w:color w:val="auto"/>
              </w:rPr>
            </w:pPr>
            <w:r>
              <w:rPr>
                <w:rFonts w:ascii="Arial" w:cs="Arial" w:eastAsia="Arial" w:hAnsi="Arial"/>
                <w:sz w:val="13"/>
                <w:szCs w:val="13"/>
                <w:color w:val="auto"/>
              </w:rPr>
              <w:t>Statement of Operations attributable to our Level 3 assets still held at the reporting date.</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1,006,992</w:t>
            </w:r>
          </w:p>
        </w:tc>
        <w:tc>
          <w:tcPr>
            <w:tcW w:w="60" w:type="dxa"/>
            <w:vAlign w:val="bottom"/>
          </w:tcPr>
          <w:p>
            <w:pPr>
              <w:spacing w:after="0"/>
              <w:rPr>
                <w:sz w:val="13"/>
                <w:szCs w:val="13"/>
                <w:color w:val="auto"/>
              </w:rPr>
            </w:pPr>
          </w:p>
        </w:tc>
        <w:tc>
          <w:tcPr>
            <w:tcW w:w="4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3"/>
                <w:szCs w:val="13"/>
                <w:color w:val="auto"/>
              </w:rPr>
              <w:t>1,421,519</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2,428,511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4"/>
              </w:rPr>
              <w:t>Nine Months Ended June 30, 2013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460"/>
              <w:spacing w:after="0" w:line="129" w:lineRule="exact"/>
              <w:rPr>
                <w:sz w:val="20"/>
                <w:szCs w:val="20"/>
                <w:color w:val="auto"/>
              </w:rPr>
            </w:pPr>
            <w:r>
              <w:rPr>
                <w:rFonts w:ascii="Arial" w:cs="Arial" w:eastAsia="Arial" w:hAnsi="Arial"/>
                <w:sz w:val="13"/>
                <w:szCs w:val="13"/>
                <w:b w:val="1"/>
                <w:bCs w:val="1"/>
                <w:color w:val="auto"/>
                <w:w w:val="88"/>
              </w:rPr>
              <w:t>Second lien,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1"/>
              </w:rPr>
              <w:t>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8" w:lineRule="exact"/>
              <w:rPr>
                <w:sz w:val="20"/>
                <w:szCs w:val="20"/>
                <w:color w:val="auto"/>
              </w:rPr>
            </w:pPr>
            <w:r>
              <w:rPr>
                <w:rFonts w:ascii="Arial" w:cs="Arial" w:eastAsia="Arial" w:hAnsi="Arial"/>
                <w:sz w:val="13"/>
                <w:szCs w:val="13"/>
                <w:b w:val="1"/>
                <w:bCs w:val="1"/>
                <w:color w:val="auto"/>
              </w:rPr>
              <w:t>First Lien</w:t>
            </w:r>
          </w:p>
        </w:tc>
        <w:tc>
          <w:tcPr>
            <w:tcW w:w="320" w:type="dxa"/>
            <w:vAlign w:val="bottom"/>
          </w:tcPr>
          <w:p>
            <w:pPr>
              <w:spacing w:after="0"/>
              <w:rPr>
                <w:sz w:val="12"/>
                <w:szCs w:val="12"/>
                <w:color w:val="auto"/>
              </w:rPr>
            </w:pPr>
          </w:p>
        </w:tc>
        <w:tc>
          <w:tcPr>
            <w:tcW w:w="168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and equity investments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shd w:val="clear" w:color="auto" w:fill="000000"/>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28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Beginning Balance</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9"/>
              </w:rPr>
              <w:t>150,209,747</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18,836,653</w:t>
            </w: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9"/>
              </w:rPr>
              <w:t>169,046,400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80" w:type="dxa"/>
            <w:vAlign w:val="bottom"/>
            <w:gridSpan w:val="2"/>
          </w:tcPr>
          <w:p>
            <w:pPr>
              <w:ind w:left="440"/>
              <w:spacing w:after="0"/>
              <w:rPr>
                <w:sz w:val="20"/>
                <w:szCs w:val="20"/>
                <w:color w:val="auto"/>
              </w:rPr>
            </w:pPr>
            <w:r>
              <w:rPr>
                <w:rFonts w:ascii="Arial" w:cs="Arial" w:eastAsia="Arial" w:hAnsi="Arial"/>
                <w:sz w:val="13"/>
                <w:szCs w:val="13"/>
                <w:color w:val="auto"/>
              </w:rPr>
              <w:t>Realized gains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1,470,514</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3"/>
                <w:szCs w:val="13"/>
                <w:color w:val="auto"/>
              </w:rPr>
              <w:t>1,736,347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3,206,861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Unrealized depreciation</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(1,398,938)</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(1,030,393)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(2,429,331)</w:t>
            </w:r>
          </w:p>
        </w:tc>
        <w:tc>
          <w:tcPr>
            <w:tcW w:w="0" w:type="dxa"/>
            <w:vAlign w:val="bottom"/>
          </w:tcPr>
          <w:p>
            <w:pPr>
              <w:spacing w:after="0"/>
              <w:rPr>
                <w:sz w:val="1"/>
                <w:szCs w:val="1"/>
                <w:color w:val="auto"/>
              </w:rPr>
            </w:pPr>
          </w:p>
        </w:tc>
      </w:tr>
      <w:tr>
        <w:trPr>
          <w:trHeight w:val="149"/>
        </w:trPr>
        <w:tc>
          <w:tcPr>
            <w:tcW w:w="7280" w:type="dxa"/>
            <w:vAlign w:val="bottom"/>
            <w:gridSpan w:val="2"/>
          </w:tcPr>
          <w:p>
            <w:pPr>
              <w:ind w:left="440"/>
              <w:spacing w:after="0"/>
              <w:rPr>
                <w:sz w:val="20"/>
                <w:szCs w:val="20"/>
                <w:color w:val="auto"/>
              </w:rPr>
            </w:pPr>
            <w:r>
              <w:rPr>
                <w:rFonts w:ascii="Arial" w:cs="Arial" w:eastAsia="Arial" w:hAnsi="Arial"/>
                <w:sz w:val="13"/>
                <w:szCs w:val="13"/>
                <w:color w:val="auto"/>
              </w:rPr>
              <w:t>Purchases, PIK and net discount accretion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9"/>
              </w:rPr>
              <w:t>181,863,473</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3"/>
                <w:szCs w:val="13"/>
                <w:color w:val="auto"/>
              </w:rPr>
              <w:t>17,429,350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9"/>
              </w:rPr>
              <w:t>199,292,823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Sales, repayments and non-cash exchanges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3"/>
              </w:rPr>
              <w:t>(103,617,239)</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(17,038,852)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3"/>
              </w:rPr>
              <w:t>(120,656,091)</w:t>
            </w:r>
          </w:p>
        </w:tc>
        <w:tc>
          <w:tcPr>
            <w:tcW w:w="0" w:type="dxa"/>
            <w:vAlign w:val="bottom"/>
          </w:tcPr>
          <w:p>
            <w:pPr>
              <w:spacing w:after="0"/>
              <w:rPr>
                <w:sz w:val="1"/>
                <w:szCs w:val="1"/>
                <w:color w:val="auto"/>
              </w:rPr>
            </w:pPr>
          </w:p>
        </w:tc>
      </w:tr>
      <w:tr>
        <w:trPr>
          <w:trHeight w:val="148"/>
        </w:trPr>
        <w:tc>
          <w:tcPr>
            <w:tcW w:w="7280" w:type="dxa"/>
            <w:vAlign w:val="bottom"/>
            <w:gridSpan w:val="2"/>
          </w:tcPr>
          <w:p>
            <w:pPr>
              <w:ind w:left="440"/>
              <w:spacing w:after="0"/>
              <w:rPr>
                <w:sz w:val="20"/>
                <w:szCs w:val="20"/>
                <w:color w:val="auto"/>
              </w:rPr>
            </w:pPr>
            <w:r>
              <w:rPr>
                <w:rFonts w:ascii="Arial" w:cs="Arial" w:eastAsia="Arial" w:hAnsi="Arial"/>
                <w:sz w:val="13"/>
                <w:szCs w:val="13"/>
                <w:color w:val="auto"/>
              </w:rPr>
              <w:t>Transfers in and/or out of Level 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(1,586,250)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(1,586,250)</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228,527,557</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18,346,855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246,874,412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3"/>
                <w:szCs w:val="13"/>
                <w:color w:val="auto"/>
              </w:rPr>
              <w:t>Net change in unrealized (depreciation) reported within the net change in unrealized (depreciation) on investments in our</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80" w:type="dxa"/>
            <w:vAlign w:val="bottom"/>
            <w:gridSpan w:val="2"/>
          </w:tcPr>
          <w:p>
            <w:pPr>
              <w:ind w:left="220"/>
              <w:spacing w:after="0"/>
              <w:rPr>
                <w:sz w:val="20"/>
                <w:szCs w:val="20"/>
                <w:color w:val="auto"/>
              </w:rPr>
            </w:pPr>
            <w:r>
              <w:rPr>
                <w:rFonts w:ascii="Arial" w:cs="Arial" w:eastAsia="Arial" w:hAnsi="Arial"/>
                <w:sz w:val="13"/>
                <w:szCs w:val="13"/>
                <w:color w:val="auto"/>
              </w:rPr>
              <w:t>Consolidated Statement of Operations attributable to our Level 3 assets still held at the reporting date.</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(388,299)</w:t>
            </w:r>
          </w:p>
        </w:tc>
        <w:tc>
          <w:tcPr>
            <w:tcW w:w="4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(2,694,643)</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(3,082,942)</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ind w:left="5560"/>
              <w:spacing w:after="0"/>
              <w:rPr>
                <w:sz w:val="20"/>
                <w:szCs w:val="20"/>
                <w:color w:val="auto"/>
              </w:rPr>
            </w:pPr>
            <w:r>
              <w:rPr>
                <w:rFonts w:ascii="Arial" w:cs="Arial" w:eastAsia="Arial" w:hAnsi="Arial"/>
                <w:sz w:val="13"/>
                <w:szCs w:val="13"/>
                <w:color w:val="auto"/>
              </w:rPr>
              <w:t>20</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3"/>
          <w:szCs w:val="13"/>
          <w:b w:val="1"/>
          <w:bCs w:val="1"/>
          <w:color w:val="auto"/>
        </w:rPr>
        <w:t>JUNE 30, 2014</w:t>
      </w: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shows a reconciliation of the beginning and ending balances for fair valued liabilities measured using significant unobservable inputs (Level 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Carrying/Fair Value</w:t>
            </w:r>
          </w:p>
        </w:tc>
        <w:tc>
          <w:tcPr>
            <w:tcW w:w="0" w:type="dxa"/>
            <w:vAlign w:val="bottom"/>
          </w:tcPr>
          <w:p>
            <w:pPr>
              <w:spacing w:after="0"/>
              <w:rPr>
                <w:sz w:val="1"/>
                <w:szCs w:val="1"/>
                <w:color w:val="auto"/>
              </w:rPr>
            </w:pPr>
          </w:p>
        </w:tc>
      </w:tr>
      <w:tr>
        <w:trPr>
          <w:trHeight w:val="161"/>
        </w:trPr>
        <w:tc>
          <w:tcPr>
            <w:tcW w:w="7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Long-Term Credit Facility</w:t>
            </w:r>
          </w:p>
        </w:tc>
        <w:tc>
          <w:tcPr>
            <w:tcW w:w="60" w:type="dxa"/>
            <w:vAlign w:val="bottom"/>
          </w:tcPr>
          <w:p>
            <w:pPr>
              <w:spacing w:after="0"/>
              <w:rPr>
                <w:sz w:val="14"/>
                <w:szCs w:val="14"/>
                <w:color w:val="auto"/>
              </w:rPr>
            </w:pPr>
          </w:p>
        </w:tc>
        <w:tc>
          <w:tcPr>
            <w:tcW w:w="208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rPr>
              <w:t>Nine Months Ended June 30,</w:t>
            </w:r>
          </w:p>
        </w:tc>
        <w:tc>
          <w:tcPr>
            <w:tcW w:w="0" w:type="dxa"/>
            <w:vAlign w:val="bottom"/>
          </w:tcPr>
          <w:p>
            <w:pPr>
              <w:spacing w:after="0"/>
              <w:rPr>
                <w:sz w:val="1"/>
                <w:szCs w:val="1"/>
                <w:color w:val="auto"/>
              </w:rPr>
            </w:pPr>
          </w:p>
        </w:tc>
      </w:tr>
      <w:tr>
        <w:trPr>
          <w:trHeight w:val="128"/>
        </w:trPr>
        <w:tc>
          <w:tcPr>
            <w:tcW w:w="7300" w:type="dxa"/>
            <w:vAlign w:val="bottom"/>
            <w:gridSpan w:val="2"/>
            <w:vMerge w:val="continue"/>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3"/>
                <w:szCs w:val="13"/>
                <w:b w:val="1"/>
                <w:bCs w:val="1"/>
                <w:color w:val="auto"/>
              </w:rPr>
              <w:t>2014</w:t>
            </w: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3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Beginning Balance (cost – $99,600,000 and $75,500,000, respectively)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99,600,000</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75,122,500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00" w:type="dxa"/>
            <w:vAlign w:val="bottom"/>
            <w:gridSpan w:val="2"/>
          </w:tcPr>
          <w:p>
            <w:pPr>
              <w:ind w:left="440"/>
              <w:spacing w:after="0"/>
              <w:rPr>
                <w:sz w:val="20"/>
                <w:szCs w:val="20"/>
                <w:color w:val="auto"/>
              </w:rPr>
            </w:pPr>
            <w:r>
              <w:rPr>
                <w:rFonts w:ascii="Arial" w:cs="Arial" w:eastAsia="Arial" w:hAnsi="Arial"/>
                <w:sz w:val="13"/>
                <w:szCs w:val="13"/>
                <w:color w:val="auto"/>
              </w:rPr>
              <w:t>Total unrealized appreciation included in earnings</w:t>
            </w:r>
          </w:p>
        </w:tc>
        <w:tc>
          <w:tcPr>
            <w:tcW w:w="60" w:type="dxa"/>
            <w:vAlign w:val="bottom"/>
          </w:tcPr>
          <w:p>
            <w:pPr>
              <w:spacing w:after="0"/>
              <w:rPr>
                <w:sz w:val="12"/>
                <w:szCs w:val="12"/>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377,500</w:t>
            </w:r>
          </w:p>
        </w:tc>
        <w:tc>
          <w:tcPr>
            <w:tcW w:w="0" w:type="dxa"/>
            <w:vAlign w:val="bottom"/>
          </w:tcPr>
          <w:p>
            <w:pPr>
              <w:spacing w:after="0"/>
              <w:rPr>
                <w:sz w:val="1"/>
                <w:szCs w:val="1"/>
                <w:color w:val="auto"/>
              </w:rPr>
            </w:pPr>
          </w:p>
        </w:tc>
      </w:tr>
      <w:tr>
        <w:trPr>
          <w:trHeight w:val="148"/>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Borrowings</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130,500,000</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121,450,000</w:t>
            </w:r>
          </w:p>
        </w:tc>
        <w:tc>
          <w:tcPr>
            <w:tcW w:w="0" w:type="dxa"/>
            <w:vAlign w:val="bottom"/>
          </w:tcPr>
          <w:p>
            <w:pPr>
              <w:spacing w:after="0"/>
              <w:rPr>
                <w:sz w:val="1"/>
                <w:szCs w:val="1"/>
                <w:color w:val="auto"/>
              </w:rPr>
            </w:pPr>
          </w:p>
        </w:tc>
      </w:tr>
      <w:tr>
        <w:trPr>
          <w:trHeight w:val="148"/>
        </w:trPr>
        <w:tc>
          <w:tcPr>
            <w:tcW w:w="7300" w:type="dxa"/>
            <w:vAlign w:val="bottom"/>
            <w:gridSpan w:val="2"/>
          </w:tcPr>
          <w:p>
            <w:pPr>
              <w:ind w:left="440"/>
              <w:spacing w:after="0"/>
              <w:rPr>
                <w:sz w:val="20"/>
                <w:szCs w:val="20"/>
                <w:color w:val="auto"/>
              </w:rPr>
            </w:pPr>
            <w:r>
              <w:rPr>
                <w:rFonts w:ascii="Arial" w:cs="Arial" w:eastAsia="Arial" w:hAnsi="Arial"/>
                <w:sz w:val="13"/>
                <w:szCs w:val="13"/>
                <w:color w:val="auto"/>
              </w:rPr>
              <w:t>Repayments</w:t>
            </w:r>
          </w:p>
        </w:tc>
        <w:tc>
          <w:tcPr>
            <w:tcW w:w="60" w:type="dxa"/>
            <w:vAlign w:val="bottom"/>
          </w:tcPr>
          <w:p>
            <w:pPr>
              <w:spacing w:after="0"/>
              <w:rPr>
                <w:sz w:val="12"/>
                <w:szCs w:val="1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3"/>
                <w:szCs w:val="13"/>
                <w:color w:val="auto"/>
                <w:w w:val="94"/>
              </w:rPr>
              <w:t>(75,200,000)</w:t>
            </w:r>
          </w:p>
        </w:tc>
        <w:tc>
          <w:tcPr>
            <w:tcW w:w="8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w w:val="91"/>
              </w:rPr>
              <w:t>(111,350,000)</w:t>
            </w:r>
          </w:p>
        </w:tc>
        <w:tc>
          <w:tcPr>
            <w:tcW w:w="0" w:type="dxa"/>
            <w:vAlign w:val="bottom"/>
          </w:tcPr>
          <w:p>
            <w:pPr>
              <w:spacing w:after="0"/>
              <w:rPr>
                <w:sz w:val="1"/>
                <w:szCs w:val="1"/>
                <w:color w:val="auto"/>
              </w:rPr>
            </w:pPr>
          </w:p>
        </w:tc>
      </w:tr>
      <w:tr>
        <w:trPr>
          <w:trHeight w:val="148"/>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Transfers in and/or out of Level 3</w:t>
            </w: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300" w:type="dxa"/>
            <w:vAlign w:val="bottom"/>
            <w:gridSpan w:val="2"/>
          </w:tcPr>
          <w:p>
            <w:pPr>
              <w:spacing w:after="0"/>
              <w:rPr>
                <w:sz w:val="20"/>
                <w:szCs w:val="20"/>
                <w:color w:val="auto"/>
              </w:rPr>
            </w:pPr>
            <w:r>
              <w:rPr>
                <w:rFonts w:ascii="Arial" w:cs="Arial" w:eastAsia="Arial" w:hAnsi="Arial"/>
                <w:sz w:val="13"/>
                <w:szCs w:val="13"/>
                <w:color w:val="auto"/>
              </w:rPr>
              <w:t>Ending Balance (cost – $154,900,000 and $85,600,000, respectively)</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154,900,000</w:t>
            </w:r>
          </w:p>
        </w:tc>
        <w:tc>
          <w:tcPr>
            <w:tcW w:w="5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85,600,000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firstLine="786"/>
        <w:spacing w:after="0" w:line="264"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zero and $0.7 million, respectively, relating to amendment fees on the Credit Facility during the three and nine months ended June 30, 2014. For the same periods in the prior year, we incurred expenses of zero and $0.5 million,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elected not to apply ASC 825-10 to any other financial assets or liabilities. For each of the three and nine months ended June 30, 2014, our Credit Facility had a net change in unrealized appreciation of zero. For the three and nine months ended June 30, 2013, our Credit Facility had a net change in unrealized appreciation of zero and $0.4 million, respectively. As of June 30, 2014 and September 30, 2013, the Credit Facility had unrealized appreciation of zero. We use a nationally recognized independent valuation service to measure the fair value of the Credit Facility in a manner consistent with the valuation process that the board of directors uses to value our investments.</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CHANGE IN NET ASSETS FROM OPERATIONS PER COMMON SHARE</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 following information sets forth the computation of basic and diluted per share net increase in net assets resulting from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980" w:type="dxa"/>
            <w:vAlign w:val="bottom"/>
            <w:gridSpan w:val="6"/>
          </w:tcPr>
          <w:p>
            <w:pPr>
              <w:ind w:left="60"/>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4"/>
                <w:szCs w:val="14"/>
                <w:color w:val="auto"/>
              </w:rPr>
            </w:pPr>
          </w:p>
        </w:tc>
        <w:tc>
          <w:tcPr>
            <w:tcW w:w="1840" w:type="dxa"/>
            <w:vAlign w:val="bottom"/>
            <w:gridSpan w:val="6"/>
          </w:tcPr>
          <w:p>
            <w:pPr>
              <w:ind w:left="60"/>
              <w:spacing w:after="0"/>
              <w:rPr>
                <w:sz w:val="20"/>
                <w:szCs w:val="20"/>
                <w:color w:val="auto"/>
              </w:rPr>
            </w:pPr>
            <w:r>
              <w:rPr>
                <w:rFonts w:ascii="Arial" w:cs="Arial" w:eastAsia="Arial" w:hAnsi="Arial"/>
                <w:sz w:val="13"/>
                <w:szCs w:val="13"/>
                <w:b w:val="1"/>
                <w:bCs w:val="1"/>
                <w:color w:val="auto"/>
                <w:w w:val="99"/>
              </w:rPr>
              <w:t>Nine Months Ended June 30,</w:t>
            </w:r>
          </w:p>
        </w:tc>
      </w:tr>
      <w:tr>
        <w:trPr>
          <w:trHeight w:val="142"/>
        </w:trPr>
        <w:tc>
          <w:tcPr>
            <w:tcW w:w="66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2013</w:t>
            </w:r>
          </w:p>
        </w:tc>
        <w:tc>
          <w:tcPr>
            <w:tcW w:w="60" w:type="dxa"/>
            <w:vAlign w:val="bottom"/>
            <w:tcBorders>
              <w:bottom w:val="single" w:sz="8" w:color="CCEEFF"/>
            </w:tcBorders>
          </w:tcPr>
          <w:p>
            <w:pPr>
              <w:spacing w:after="0"/>
              <w:rPr>
                <w:sz w:val="12"/>
                <w:szCs w:val="12"/>
                <w:color w:val="auto"/>
              </w:rPr>
            </w:pPr>
          </w:p>
        </w:tc>
      </w:tr>
      <w:tr>
        <w:trPr>
          <w:trHeight w:val="142"/>
        </w:trPr>
        <w:tc>
          <w:tcPr>
            <w:tcW w:w="6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Numerator for net increase in net assets resulting from operations</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4,941,774</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1,567,127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18,235,852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6,538,293</w:t>
            </w:r>
          </w:p>
        </w:tc>
        <w:tc>
          <w:tcPr>
            <w:tcW w:w="60" w:type="dxa"/>
            <w:vAlign w:val="bottom"/>
            <w:shd w:val="clear" w:color="auto" w:fill="CCEEFF"/>
          </w:tcPr>
          <w:p>
            <w:pPr>
              <w:spacing w:after="0"/>
              <w:rPr>
                <w:sz w:val="12"/>
                <w:szCs w:val="12"/>
                <w:color w:val="auto"/>
              </w:rPr>
            </w:pPr>
          </w:p>
        </w:tc>
      </w:tr>
      <w:tr>
        <w:trPr>
          <w:trHeight w:val="148"/>
        </w:trPr>
        <w:tc>
          <w:tcPr>
            <w:tcW w:w="6600" w:type="dxa"/>
            <w:vAlign w:val="bottom"/>
          </w:tcPr>
          <w:p>
            <w:pPr>
              <w:spacing w:after="0"/>
              <w:rPr>
                <w:sz w:val="20"/>
                <w:szCs w:val="20"/>
                <w:color w:val="auto"/>
              </w:rPr>
            </w:pPr>
            <w:r>
              <w:rPr>
                <w:rFonts w:ascii="Arial" w:cs="Arial" w:eastAsia="Arial" w:hAnsi="Arial"/>
                <w:sz w:val="13"/>
                <w:szCs w:val="13"/>
                <w:color w:val="auto"/>
              </w:rPr>
              <w:t>Denominator for basic and diluted weighted average shares</w:t>
            </w:r>
          </w:p>
        </w:tc>
        <w:tc>
          <w:tcPr>
            <w:tcW w:w="12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w w:val="98"/>
              </w:rPr>
              <w:t>14,898,056</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10,302,918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14,898,056</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8,067,406</w:t>
            </w:r>
          </w:p>
        </w:tc>
        <w:tc>
          <w:tcPr>
            <w:tcW w:w="60" w:type="dxa"/>
            <w:vAlign w:val="bottom"/>
          </w:tcPr>
          <w:p>
            <w:pPr>
              <w:spacing w:after="0"/>
              <w:rPr>
                <w:sz w:val="12"/>
                <w:szCs w:val="12"/>
                <w:color w:val="auto"/>
              </w:rPr>
            </w:pPr>
          </w:p>
        </w:tc>
      </w:tr>
      <w:tr>
        <w:trPr>
          <w:trHeight w:val="149"/>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increase in net assets per share resulting from operations</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0.33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0.15</w:t>
            </w: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0.81</w:t>
            </w:r>
          </w:p>
        </w:tc>
        <w:tc>
          <w:tcPr>
            <w:tcW w:w="60" w:type="dxa"/>
            <w:vAlign w:val="bottom"/>
            <w:shd w:val="clear" w:color="auto" w:fill="CCEEFF"/>
          </w:tcPr>
          <w:p>
            <w:pPr>
              <w:spacing w:after="0"/>
              <w:rPr>
                <w:sz w:val="12"/>
                <w:szCs w:val="12"/>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CASH EQUIVALENTS</w:t>
      </w:r>
    </w:p>
    <w:p>
      <w:pPr>
        <w:spacing w:after="0" w:line="82" w:lineRule="exact"/>
        <w:rPr>
          <w:sz w:val="20"/>
          <w:szCs w:val="20"/>
          <w:color w:val="auto"/>
        </w:rPr>
      </w:pPr>
    </w:p>
    <w:p>
      <w:pPr>
        <w:ind w:right="80" w:firstLine="786"/>
        <w:spacing w:after="0" w:line="268" w:lineRule="auto"/>
        <w:rPr>
          <w:sz w:val="20"/>
          <w:szCs w:val="20"/>
          <w:color w:val="auto"/>
        </w:rPr>
      </w:pPr>
      <w:r>
        <w:rPr>
          <w:rFonts w:ascii="Arial" w:cs="Arial" w:eastAsia="Arial" w:hAnsi="Arial"/>
          <w:sz w:val="12"/>
          <w:szCs w:val="12"/>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June 30, 2014 and September 30, 2013, cash equivalents consisted of money market funds in the amounts of $9.9 million and $4.6 million, respectively.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3"/>
          <w:szCs w:val="13"/>
          <w:b w:val="1"/>
          <w:bCs w:val="1"/>
          <w:color w:val="auto"/>
        </w:rPr>
        <w:t>JUNE 30, 2014</w:t>
      </w: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FINANCIAL HIGHLIGHTS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ind w:left="800"/>
              <w:spacing w:after="0"/>
              <w:rPr>
                <w:sz w:val="20"/>
                <w:szCs w:val="20"/>
                <w:color w:val="auto"/>
              </w:rPr>
            </w:pPr>
            <w:r>
              <w:rPr>
                <w:rFonts w:ascii="Arial" w:cs="Arial" w:eastAsia="Arial" w:hAnsi="Arial"/>
                <w:sz w:val="13"/>
                <w:szCs w:val="13"/>
                <w:color w:val="auto"/>
              </w:rPr>
              <w:t>Below are the financial highlights: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w w:val="99"/>
              </w:rPr>
              <w:t>Nine Months Ended June 30,</w:t>
            </w: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3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Per Share Data:</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20"/>
                <w:szCs w:val="20"/>
                <w:color w:val="auto"/>
              </w:rPr>
            </w:pPr>
            <w:r>
              <w:rPr>
                <w:rFonts w:ascii="Arial" w:cs="Arial" w:eastAsia="Arial" w:hAnsi="Arial"/>
                <w:sz w:val="13"/>
                <w:szCs w:val="13"/>
                <w:color w:val="auto"/>
              </w:rPr>
              <w:t>Net asset value, beginning of period</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14.10</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investment income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0.76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1"/>
                <w:szCs w:val="11"/>
                <w:color w:val="auto"/>
              </w:rPr>
              <w:t xml:space="preserve">Net realized and unrealized gain (loss) </w:t>
            </w:r>
            <w:r>
              <w:rPr>
                <w:rFonts w:ascii="Arial" w:cs="Arial" w:eastAsia="Arial" w:hAnsi="Arial"/>
                <w:sz w:val="17"/>
                <w:szCs w:val="17"/>
                <w:color w:val="auto"/>
                <w:vertAlign w:val="superscript"/>
              </w:rPr>
              <w:t>(1)</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0.46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increase in net assets resulting from operations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1"/>
                <w:szCs w:val="11"/>
                <w:color w:val="auto"/>
              </w:rPr>
              <w:t xml:space="preserve">Distributions to stockholders </w:t>
            </w:r>
            <w:r>
              <w:rPr>
                <w:rFonts w:ascii="Arial" w:cs="Arial" w:eastAsia="Arial" w:hAnsi="Arial"/>
                <w:sz w:val="17"/>
                <w:szCs w:val="17"/>
                <w:color w:val="auto"/>
                <w:vertAlign w:val="superscript"/>
              </w:rPr>
              <w:t>(1), (2)</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(0.80)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(0.76)</w:t>
            </w: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Effect of common stock issuance and offering costs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3"/>
                <w:szCs w:val="13"/>
                <w:color w:val="auto"/>
              </w:rPr>
              <w:t>Net asset value, end of period</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14.52</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Per share market value,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14.29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line="176" w:lineRule="exact"/>
              <w:rPr>
                <w:sz w:val="20"/>
                <w:szCs w:val="20"/>
                <w:color w:val="auto"/>
              </w:rPr>
            </w:pPr>
            <w:r>
              <w:rPr>
                <w:rFonts w:ascii="Arial" w:cs="Arial" w:eastAsia="Arial" w:hAnsi="Arial"/>
                <w:sz w:val="12"/>
                <w:szCs w:val="12"/>
                <w:color w:val="auto"/>
              </w:rPr>
              <w:t xml:space="preserve">Total return* </w:t>
            </w:r>
            <w:r>
              <w:rPr>
                <w:rFonts w:ascii="Arial" w:cs="Arial" w:eastAsia="Arial" w:hAnsi="Arial"/>
                <w:sz w:val="20"/>
                <w:szCs w:val="20"/>
                <w:color w:val="auto"/>
                <w:vertAlign w:val="superscript"/>
              </w:rPr>
              <w:t>(3)</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9.91%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17.94%</w:t>
            </w: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Shares outstanding at end of period</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14,898,056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10,304,692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320" w:type="dxa"/>
            <w:vAlign w:val="bottom"/>
          </w:tcPr>
          <w:p>
            <w:pPr>
              <w:spacing w:after="0"/>
              <w:rPr>
                <w:sz w:val="20"/>
                <w:szCs w:val="20"/>
                <w:color w:val="auto"/>
              </w:rPr>
            </w:pPr>
            <w:r>
              <w:rPr>
                <w:rFonts w:ascii="Arial" w:cs="Arial" w:eastAsia="Arial" w:hAnsi="Arial"/>
                <w:sz w:val="13"/>
                <w:szCs w:val="13"/>
                <w:b w:val="1"/>
                <w:bCs w:val="1"/>
                <w:color w:val="auto"/>
              </w:rPr>
              <w:t>Ratios** / Supplemental Data:</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Ratio of operating expenses to average net assets </w:t>
            </w:r>
            <w:r>
              <w:rPr>
                <w:rFonts w:ascii="Arial" w:cs="Arial" w:eastAsia="Arial" w:hAnsi="Arial"/>
                <w:sz w:val="17"/>
                <w:szCs w:val="17"/>
                <w:color w:val="auto"/>
                <w:vertAlign w:val="superscript"/>
              </w:rPr>
              <w:t>(4)</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4.69%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1"/>
                <w:szCs w:val="11"/>
                <w:color w:val="auto"/>
              </w:rPr>
              <w:t xml:space="preserve">Ratio of Credit Facility related expenses to average net assets </w:t>
            </w:r>
            <w:r>
              <w:rPr>
                <w:rFonts w:ascii="Arial" w:cs="Arial" w:eastAsia="Arial" w:hAnsi="Arial"/>
                <w:sz w:val="17"/>
                <w:szCs w:val="17"/>
                <w:color w:val="auto"/>
                <w:vertAlign w:val="superscript"/>
              </w:rPr>
              <w:t>(5)</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1.95%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Ratio of total expenses to average net assets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6.64%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6.60%</w:t>
            </w: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1"/>
                <w:szCs w:val="11"/>
                <w:color w:val="auto"/>
              </w:rPr>
              <w:t xml:space="preserve">Ratio of net investment income to average net assets </w:t>
            </w:r>
            <w:r>
              <w:rPr>
                <w:rFonts w:ascii="Arial" w:cs="Arial" w:eastAsia="Arial" w:hAnsi="Arial"/>
                <w:sz w:val="17"/>
                <w:szCs w:val="17"/>
                <w:color w:val="auto"/>
                <w:vertAlign w:val="superscript"/>
              </w:rPr>
              <w:t>(5)</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7.17%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8.03%</w:t>
            </w: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1"/>
              </w:rPr>
              <w:t>216,272,066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144,093,126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3"/>
                <w:szCs w:val="13"/>
                <w:color w:val="auto"/>
              </w:rPr>
              <w:t>Average debt outstanding</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3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w w:val="91"/>
              </w:rPr>
              <w:t>146,395,971</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66,821,154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Average debt per share </w:t>
            </w:r>
            <w:r>
              <w:rPr>
                <w:rFonts w:ascii="Arial" w:cs="Arial" w:eastAsia="Arial" w:hAnsi="Arial"/>
                <w:sz w:val="17"/>
                <w:szCs w:val="17"/>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9.83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1"/>
                <w:szCs w:val="11"/>
                <w:color w:val="auto"/>
              </w:rPr>
              <w:t xml:space="preserve">Asset coverage per unit </w:t>
            </w:r>
            <w:r>
              <w:rPr>
                <w:rFonts w:ascii="Arial" w:cs="Arial" w:eastAsia="Arial" w:hAnsi="Arial"/>
                <w:sz w:val="17"/>
                <w:szCs w:val="17"/>
                <w:color w:val="auto"/>
                <w:vertAlign w:val="superscript"/>
              </w:rPr>
              <w:t>(6)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2,396</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Portfolio turnover ratio</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54.41%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85.26%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12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66" w:lineRule="exact"/>
        <w:rPr>
          <w:sz w:val="20"/>
          <w:szCs w:val="20"/>
          <w:color w:val="auto"/>
        </w:rPr>
      </w:pPr>
    </w:p>
    <w:p>
      <w:pPr>
        <w:ind w:right="8440" w:firstLine="8"/>
        <w:spacing w:after="0" w:line="250" w:lineRule="auto"/>
        <w:tabs>
          <w:tab w:leader="none" w:pos="324" w:val="left"/>
        </w:tabs>
        <w:numPr>
          <w:ilvl w:val="0"/>
          <w:numId w:val="7"/>
        </w:numPr>
        <w:rPr>
          <w:rFonts w:ascii="Arial" w:cs="Arial" w:eastAsia="Arial" w:hAnsi="Arial"/>
          <w:sz w:val="12"/>
          <w:szCs w:val="12"/>
          <w:color w:val="auto"/>
        </w:rPr>
      </w:pPr>
      <w:r>
        <w:rPr>
          <w:rFonts w:ascii="Arial" w:cs="Arial" w:eastAsia="Arial" w:hAnsi="Arial"/>
          <w:sz w:val="12"/>
          <w:szCs w:val="12"/>
          <w:color w:val="auto"/>
        </w:rPr>
        <w:t>Not annualized for periods less than one year. ** Annualized for periods less than one year.</w:t>
      </w:r>
    </w:p>
    <w:p>
      <w:pPr>
        <w:ind w:left="340" w:hanging="332"/>
        <w:spacing w:after="0" w:line="186" w:lineRule="auto"/>
        <w:tabs>
          <w:tab w:leader="none" w:pos="340" w:val="left"/>
        </w:tabs>
        <w:numPr>
          <w:ilvl w:val="0"/>
          <w:numId w:val="8"/>
        </w:numPr>
        <w:rPr>
          <w:rFonts w:ascii="Arial" w:cs="Arial" w:eastAsia="Arial" w:hAnsi="Arial"/>
          <w:sz w:val="19"/>
          <w:szCs w:val="19"/>
          <w:color w:val="auto"/>
          <w:vertAlign w:val="superscript"/>
        </w:rPr>
      </w:pPr>
      <w:r>
        <w:rPr>
          <w:rFonts w:ascii="Arial" w:cs="Arial" w:eastAsia="Arial" w:hAnsi="Arial"/>
          <w:sz w:val="12"/>
          <w:szCs w:val="12"/>
          <w:color w:val="auto"/>
        </w:rPr>
        <w:t>Based on the weighted average shares outstanding for the respective periods.</w:t>
      </w:r>
    </w:p>
    <w:p>
      <w:pPr>
        <w:ind w:left="340" w:hanging="332"/>
        <w:spacing w:after="0" w:line="182" w:lineRule="auto"/>
        <w:tabs>
          <w:tab w:leader="none" w:pos="340" w:val="left"/>
        </w:tabs>
        <w:numPr>
          <w:ilvl w:val="0"/>
          <w:numId w:val="8"/>
        </w:numPr>
        <w:rPr>
          <w:rFonts w:ascii="Arial" w:cs="Arial" w:eastAsia="Arial" w:hAnsi="Arial"/>
          <w:sz w:val="17"/>
          <w:szCs w:val="17"/>
          <w:color w:val="auto"/>
          <w:vertAlign w:val="superscript"/>
        </w:rPr>
      </w:pPr>
      <w:r>
        <w:rPr>
          <w:rFonts w:ascii="Arial" w:cs="Arial" w:eastAsia="Arial" w:hAnsi="Arial"/>
          <w:sz w:val="11"/>
          <w:szCs w:val="11"/>
          <w:color w:val="auto"/>
        </w:rPr>
        <w:t>The tax status of distributions is calculated in accordance with income tax regulations, which may differ from amounts determined under GAAP, and reported on Form 1099-DIV each calendar year.</w:t>
      </w:r>
    </w:p>
    <w:p>
      <w:pPr>
        <w:ind w:left="340" w:hanging="332"/>
        <w:spacing w:after="0" w:line="182" w:lineRule="auto"/>
        <w:tabs>
          <w:tab w:leader="none" w:pos="340" w:val="left"/>
        </w:tabs>
        <w:numPr>
          <w:ilvl w:val="0"/>
          <w:numId w:val="8"/>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 and takes into account distributions, if any, reinvested in accordance with our dividend reinvestment plan.</w:t>
      </w:r>
    </w:p>
    <w:p>
      <w:pPr>
        <w:ind w:left="340" w:hanging="332"/>
        <w:spacing w:after="0" w:line="182" w:lineRule="auto"/>
        <w:tabs>
          <w:tab w:leader="none" w:pos="340" w:val="left"/>
        </w:tabs>
        <w:numPr>
          <w:ilvl w:val="0"/>
          <w:numId w:val="8"/>
        </w:numPr>
        <w:rPr>
          <w:rFonts w:ascii="Arial" w:cs="Arial" w:eastAsia="Arial" w:hAnsi="Arial"/>
          <w:sz w:val="17"/>
          <w:szCs w:val="17"/>
          <w:color w:val="auto"/>
          <w:vertAlign w:val="superscript"/>
        </w:rPr>
      </w:pPr>
      <w:r>
        <w:rPr>
          <w:rFonts w:ascii="Arial" w:cs="Arial" w:eastAsia="Arial" w:hAnsi="Arial"/>
          <w:sz w:val="11"/>
          <w:szCs w:val="11"/>
          <w:color w:val="auto"/>
        </w:rPr>
        <w:t>Operating expenses exclude Credit Facility related costs.</w:t>
      </w:r>
    </w:p>
    <w:p>
      <w:pPr>
        <w:ind w:left="340" w:hanging="332"/>
        <w:spacing w:after="0" w:line="182" w:lineRule="auto"/>
        <w:tabs>
          <w:tab w:leader="none" w:pos="340" w:val="left"/>
        </w:tabs>
        <w:numPr>
          <w:ilvl w:val="0"/>
          <w:numId w:val="8"/>
        </w:numPr>
        <w:rPr>
          <w:rFonts w:ascii="Arial" w:cs="Arial" w:eastAsia="Arial" w:hAnsi="Arial"/>
          <w:sz w:val="17"/>
          <w:szCs w:val="17"/>
          <w:color w:val="auto"/>
          <w:vertAlign w:val="superscript"/>
        </w:rPr>
      </w:pPr>
      <w:r>
        <w:rPr>
          <w:rFonts w:ascii="Arial" w:cs="Arial" w:eastAsia="Arial" w:hAnsi="Arial"/>
          <w:sz w:val="11"/>
          <w:szCs w:val="11"/>
          <w:color w:val="auto"/>
        </w:rPr>
        <w:t>Credit Facility amendment costs are not annualized.</w:t>
      </w:r>
    </w:p>
    <w:p>
      <w:pPr>
        <w:ind w:left="340" w:right="200" w:hanging="332"/>
        <w:spacing w:after="0" w:line="184"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CREDIT FACILITY</w:t>
      </w:r>
    </w:p>
    <w:p>
      <w:pPr>
        <w:spacing w:after="0" w:line="82" w:lineRule="exact"/>
        <w:rPr>
          <w:sz w:val="20"/>
          <w:szCs w:val="20"/>
          <w:color w:val="auto"/>
        </w:rPr>
      </w:pPr>
    </w:p>
    <w:p>
      <w:pPr>
        <w:ind w:right="60" w:firstLine="786"/>
        <w:spacing w:after="0" w:line="245" w:lineRule="auto"/>
        <w:rPr>
          <w:sz w:val="20"/>
          <w:szCs w:val="20"/>
          <w:color w:val="auto"/>
        </w:rPr>
      </w:pPr>
      <w:r>
        <w:rPr>
          <w:rFonts w:ascii="Arial" w:cs="Arial" w:eastAsia="Arial" w:hAnsi="Arial"/>
          <w:sz w:val="13"/>
          <w:szCs w:val="13"/>
          <w:color w:val="auto"/>
        </w:rPr>
        <w:t>Funding I’s Credit Facility with affiliates of SunTrust Bank, or the Lender, is $200 million, has an interest rate spread above LIBOR of 200 basis points, matures in May 2018 and its reinvestment period ends in May 2016. In November 2013, we expanded the Credit Facility to allow Funding I to borrow up to $200 million, up from $125 million. The Credit Facility is subject to satisfaction of certain conditions and the regulatory restrictions that the 1940 Act imposes on us as a BDC. As of June 30, 2014 and September 30, 2013, we had $154.9 million and $99.6 million of outstanding borrowings under the Credit Facility, respectively, and carried an annual interest rate of 2.16% and 2.18%, respectively, excluding the 0.375% undrawn commitment fee. The annualized weighted average cost of debt for the nine months ended June 30, 2014 and 2013, inclusive of the fee on the undrawn commitment on the Credit Facility but excluding amendment costs, was 2.36% and 2.68%, respectively.</w:t>
      </w:r>
    </w:p>
    <w:p>
      <w:pPr>
        <w:spacing w:after="0" w:line="137" w:lineRule="exact"/>
        <w:rPr>
          <w:sz w:val="20"/>
          <w:szCs w:val="20"/>
          <w:color w:val="auto"/>
        </w:rPr>
      </w:pPr>
    </w:p>
    <w:p>
      <w:pPr>
        <w:ind w:right="100" w:firstLine="786"/>
        <w:spacing w:after="0" w:line="256" w:lineRule="auto"/>
        <w:rPr>
          <w:sz w:val="20"/>
          <w:szCs w:val="20"/>
          <w:color w:val="auto"/>
        </w:rPr>
      </w:pPr>
      <w:r>
        <w:rPr>
          <w:rFonts w:ascii="Arial" w:cs="Arial" w:eastAsia="Arial" w:hAnsi="Arial"/>
          <w:sz w:val="13"/>
          <w:szCs w:val="13"/>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29" w:lineRule="exact"/>
        <w:rPr>
          <w:sz w:val="20"/>
          <w:szCs w:val="20"/>
          <w:color w:val="auto"/>
        </w:rPr>
      </w:pPr>
    </w:p>
    <w:p>
      <w:pPr>
        <w:ind w:right="100" w:firstLine="786"/>
        <w:spacing w:after="0" w:line="250"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w:t>
      </w:r>
    </w:p>
    <w:p>
      <w:pPr>
        <w:spacing w:after="0" w:line="133" w:lineRule="exact"/>
        <w:rPr>
          <w:sz w:val="20"/>
          <w:szCs w:val="20"/>
          <w:color w:val="auto"/>
        </w:rPr>
      </w:pPr>
    </w:p>
    <w:p>
      <w:pPr>
        <w:jc w:val="both"/>
        <w:ind w:right="300" w:firstLine="786"/>
        <w:spacing w:after="0" w:line="317" w:lineRule="auto"/>
        <w:rPr>
          <w:sz w:val="20"/>
          <w:szCs w:val="20"/>
          <w:color w:val="auto"/>
        </w:rPr>
      </w:pPr>
      <w:r>
        <w:rPr>
          <w:rFonts w:ascii="Arial" w:cs="Arial" w:eastAsia="Arial" w:hAnsi="Arial"/>
          <w:sz w:val="12"/>
          <w:szCs w:val="12"/>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94" w:lineRule="exact"/>
        <w:rPr>
          <w:sz w:val="20"/>
          <w:szCs w:val="20"/>
          <w:color w:val="auto"/>
        </w:rPr>
      </w:pPr>
    </w:p>
    <w:p>
      <w:pPr>
        <w:ind w:right="80" w:firstLine="786"/>
        <w:spacing w:after="0" w:line="268" w:lineRule="auto"/>
        <w:rPr>
          <w:sz w:val="20"/>
          <w:szCs w:val="20"/>
          <w:color w:val="auto"/>
        </w:rPr>
      </w:pPr>
      <w:r>
        <w:rPr>
          <w:rFonts w:ascii="Arial" w:cs="Arial" w:eastAsia="Arial" w:hAnsi="Arial"/>
          <w:sz w:val="12"/>
          <w:szCs w:val="12"/>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w:t>
      </w:r>
    </w:p>
    <w:p>
      <w:pPr>
        <w:spacing w:after="0" w:line="1" w:lineRule="exact"/>
        <w:rPr>
          <w:sz w:val="20"/>
          <w:szCs w:val="20"/>
          <w:color w:val="auto"/>
        </w:rPr>
      </w:pPr>
    </w:p>
    <w:p>
      <w:pPr>
        <w:ind w:firstLine="8"/>
        <w:spacing w:after="0" w:line="255" w:lineRule="auto"/>
        <w:tabs>
          <w:tab w:leader="none" w:pos="191" w:val="left"/>
        </w:tabs>
        <w:numPr>
          <w:ilvl w:val="0"/>
          <w:numId w:val="9"/>
        </w:numPr>
        <w:rPr>
          <w:rFonts w:ascii="Arial" w:cs="Arial" w:eastAsia="Arial" w:hAnsi="Arial"/>
          <w:sz w:val="13"/>
          <w:szCs w:val="13"/>
          <w:color w:val="auto"/>
        </w:rPr>
      </w:pPr>
      <w:r>
        <w:rPr>
          <w:rFonts w:ascii="Arial" w:cs="Arial" w:eastAsia="Arial" w:hAnsi="Arial"/>
          <w:sz w:val="13"/>
          <w:szCs w:val="13"/>
          <w:color w:val="auto"/>
        </w:rPr>
        <w:t>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ind w:right="-79"/>
        <w:spacing w:after="0"/>
        <w:rPr>
          <w:sz w:val="20"/>
          <w:szCs w:val="20"/>
          <w:color w:val="auto"/>
        </w:rPr>
      </w:pPr>
      <w:r>
        <w:rPr>
          <w:rFonts w:ascii="Arial" w:cs="Arial" w:eastAsia="Arial" w:hAnsi="Arial"/>
          <w:sz w:val="13"/>
          <w:szCs w:val="13"/>
          <w:b w:val="1"/>
          <w:bCs w:val="1"/>
          <w:color w:val="auto"/>
        </w:rPr>
        <w:t>JUNE 30, 2014</w:t>
      </w:r>
    </w:p>
    <w:p>
      <w:pPr>
        <w:jc w:val="center"/>
        <w:ind w:right="-79"/>
        <w:spacing w:after="0"/>
        <w:rPr>
          <w:sz w:val="20"/>
          <w:szCs w:val="20"/>
          <w:color w:val="auto"/>
        </w:rPr>
      </w:pPr>
      <w:r>
        <w:rPr>
          <w:rFonts w:ascii="Arial" w:cs="Arial" w:eastAsia="Arial" w:hAnsi="Arial"/>
          <w:sz w:val="13"/>
          <w:szCs w:val="13"/>
          <w:b w:val="1"/>
          <w:bCs w:val="1"/>
          <w:color w:val="auto"/>
        </w:rPr>
        <w:t>(Unaudited)</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COMMITMENTS AND CONTINGENCIES</w:t>
      </w:r>
    </w:p>
    <w:p>
      <w:pPr>
        <w:spacing w:after="0" w:line="82" w:lineRule="exact"/>
        <w:rPr>
          <w:sz w:val="20"/>
          <w:szCs w:val="20"/>
          <w:color w:val="auto"/>
        </w:rPr>
      </w:pPr>
    </w:p>
    <w:p>
      <w:pPr>
        <w:ind w:firstLine="786"/>
        <w:spacing w:after="0" w:line="250" w:lineRule="auto"/>
        <w:rPr>
          <w:sz w:val="20"/>
          <w:szCs w:val="20"/>
          <w:color w:val="auto"/>
        </w:rPr>
      </w:pPr>
      <w:r>
        <w:rPr>
          <w:rFonts w:ascii="Arial" w:cs="Arial" w:eastAsia="Arial" w:hAnsi="Arial"/>
          <w:sz w:val="13"/>
          <w:szCs w:val="13"/>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investments described in the Consolidated Statement of Assets and Liabilities represent unfunded delayed draws on investments and/or revolving lines of credit, if any.</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160"/>
          </w:cols>
          <w:pgMar w:left="32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Stockholders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PennantPark Floating Rate Capital Ltd. and its Subsidiary:</w:t>
      </w:r>
    </w:p>
    <w:p>
      <w:pPr>
        <w:spacing w:after="0" w:line="149" w:lineRule="exact"/>
        <w:rPr>
          <w:sz w:val="20"/>
          <w:szCs w:val="20"/>
          <w:color w:val="auto"/>
        </w:rPr>
      </w:pPr>
    </w:p>
    <w:p>
      <w:pPr>
        <w:ind w:right="80" w:firstLine="786"/>
        <w:spacing w:after="0" w:line="256" w:lineRule="auto"/>
        <w:rPr>
          <w:sz w:val="20"/>
          <w:szCs w:val="20"/>
          <w:color w:val="auto"/>
        </w:rPr>
      </w:pPr>
      <w:r>
        <w:rPr>
          <w:rFonts w:ascii="Arial" w:cs="Arial" w:eastAsia="Arial" w:hAnsi="Arial"/>
          <w:sz w:val="13"/>
          <w:szCs w:val="13"/>
          <w:color w:val="auto"/>
        </w:rPr>
        <w:t>We have reviewed the accompanying consolidated statements of assets and liabilities of PennantPark Floating Rate Capital Ltd. and its Subsidiary (the “Company”), including the consolidated schedule of investments, as of June 30, 2014, the consolidated statements of operations for the three and nine months ended June 30, 2014 and the consolidated statements of changes in net assets, and cash flows for the nine months ended June 30, 2014. These consolidated financial statements are the responsibility of the Company’s management.</w:t>
      </w:r>
    </w:p>
    <w:p>
      <w:pPr>
        <w:spacing w:after="0" w:line="129" w:lineRule="exact"/>
        <w:rPr>
          <w:sz w:val="20"/>
          <w:szCs w:val="20"/>
          <w:color w:val="auto"/>
        </w:rPr>
      </w:pPr>
    </w:p>
    <w:p>
      <w:pPr>
        <w:ind w:firstLine="786"/>
        <w:spacing w:after="0" w:line="250" w:lineRule="auto"/>
        <w:rPr>
          <w:sz w:val="20"/>
          <w:szCs w:val="20"/>
          <w:color w:val="auto"/>
        </w:rPr>
      </w:pPr>
      <w:r>
        <w:rPr>
          <w:rFonts w:ascii="Arial" w:cs="Arial" w:eastAsia="Arial" w:hAnsi="Arial"/>
          <w:sz w:val="13"/>
          <w:szCs w:val="13"/>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2"/>
          <w:szCs w:val="12"/>
          <w:color w:val="auto"/>
        </w:rPr>
        <w:t>Based on our review, we are not aware of any material modifications that should be made to the consolidated financial statements referred to above for them to be in conformity with U.S.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81407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August 6, 2014</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82" w:lineRule="exact"/>
        <w:rPr>
          <w:sz w:val="20"/>
          <w:szCs w:val="20"/>
          <w:color w:val="auto"/>
        </w:rPr>
      </w:pPr>
    </w:p>
    <w:p>
      <w:pPr>
        <w:ind w:right="40" w:firstLine="786"/>
        <w:spacing w:after="0" w:line="250" w:lineRule="auto"/>
        <w:rPr>
          <w:sz w:val="20"/>
          <w:szCs w:val="20"/>
          <w:color w:val="auto"/>
        </w:rPr>
      </w:pPr>
      <w:r>
        <w:rPr>
          <w:rFonts w:ascii="Arial" w:cs="Arial" w:eastAsia="Arial" w:hAnsi="Arial"/>
          <w:sz w:val="13"/>
          <w:szCs w:val="13"/>
          <w:color w:val="auto"/>
        </w:rPr>
        <w:t>This Report, including Management’s Discussion and Analysis of Financial Condition and Results of Operations, contains statements that constitute forward-looking statements, which relate to us and our consolidated subsidiary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52" w:lineRule="exact"/>
        <w:rPr>
          <w:sz w:val="20"/>
          <w:szCs w:val="20"/>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future operating results;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business prospects and the prospects of our prospective portfolio companies;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dependence of our future success on the general economy and its impact on the industries in which we invest;</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impact of a protracted decline in the liquidity of credit markets on our business;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impact of investments that we expect to make;</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impact of fluctuations in interest rates on our business and our portfolio companies;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contractual arrangements and relationships with third parties;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valuation of our investments in portfolio companies, particularly those having no liquid trading market;</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ability of our prospective portfolio companies to achieve their objectives;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expected financings and investments;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adequacy of our cash resources and working capital;</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timing of cash flows, if any, from the operations of our prospective portfolio companies;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ability of the Investment Adviser to locate suitable investments for us and to monitor and administer our investments; and</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impact of future legislation and regulation on our business and our portfolio companies.</w:t>
      </w:r>
    </w:p>
    <w:p>
      <w:pPr>
        <w:spacing w:after="0" w:line="161" w:lineRule="exact"/>
        <w:rPr>
          <w:sz w:val="20"/>
          <w:szCs w:val="20"/>
          <w:color w:val="auto"/>
        </w:rPr>
      </w:pPr>
    </w:p>
    <w:p>
      <w:pPr>
        <w:ind w:right="100" w:firstLine="786"/>
        <w:spacing w:after="0" w:line="256" w:lineRule="auto"/>
        <w:rPr>
          <w:sz w:val="20"/>
          <w:szCs w:val="20"/>
          <w:color w:val="auto"/>
        </w:rPr>
      </w:pPr>
      <w:r>
        <w:rPr>
          <w:rFonts w:ascii="Arial" w:cs="Arial" w:eastAsia="Arial" w:hAnsi="Arial"/>
          <w:sz w:val="13"/>
          <w:szCs w:val="13"/>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29" w:lineRule="exact"/>
        <w:rPr>
          <w:sz w:val="20"/>
          <w:szCs w:val="20"/>
          <w:color w:val="auto"/>
        </w:rPr>
      </w:pPr>
    </w:p>
    <w:p>
      <w:pPr>
        <w:ind w:right="60" w:firstLine="786"/>
        <w:spacing w:after="0" w:line="250" w:lineRule="auto"/>
        <w:rPr>
          <w:sz w:val="20"/>
          <w:szCs w:val="20"/>
          <w:color w:val="auto"/>
        </w:rPr>
      </w:pPr>
      <w:r>
        <w:rPr>
          <w:rFonts w:ascii="Arial" w:cs="Arial" w:eastAsia="Arial" w:hAnsi="Arial"/>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33" w:lineRule="exact"/>
        <w:rPr>
          <w:sz w:val="20"/>
          <w:szCs w:val="20"/>
          <w:color w:val="auto"/>
        </w:rPr>
      </w:pPr>
    </w:p>
    <w:p>
      <w:pPr>
        <w:ind w:firstLine="786"/>
        <w:spacing w:after="0" w:line="288" w:lineRule="auto"/>
        <w:rPr>
          <w:sz w:val="20"/>
          <w:szCs w:val="20"/>
          <w:color w:val="auto"/>
        </w:rPr>
      </w:pPr>
      <w:r>
        <w:rPr>
          <w:rFonts w:ascii="Arial" w:cs="Arial" w:eastAsia="Arial" w:hAnsi="Arial"/>
          <w:sz w:val="12"/>
          <w:szCs w:val="12"/>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1" w:lineRule="exact"/>
        <w:rPr>
          <w:sz w:val="20"/>
          <w:szCs w:val="20"/>
          <w:color w:val="auto"/>
        </w:rPr>
      </w:pPr>
    </w:p>
    <w:p>
      <w:pPr>
        <w:ind w:right="300" w:firstLine="786"/>
        <w:spacing w:after="0" w:line="274" w:lineRule="auto"/>
        <w:rPr>
          <w:sz w:val="20"/>
          <w:szCs w:val="20"/>
          <w:color w:val="auto"/>
        </w:rPr>
      </w:pPr>
      <w:r>
        <w:rPr>
          <w:rFonts w:ascii="Arial" w:cs="Arial" w:eastAsia="Arial" w:hAnsi="Arial"/>
          <w:sz w:val="13"/>
          <w:szCs w:val="13"/>
          <w:color w:val="auto"/>
        </w:rPr>
        <w:t>You should understand that under Section 27A(b)(2)(B) of the Securities Act and Section 21E(b)(2)(B) of the Securities Exchange Act of 1934, as amended, or the Exchange Act, the “safe harbor” provisions of the Private Securities Litigation Reform Act of 1995 do not apply to statements made in periodic reports we file under the Exchange Act.</w:t>
      </w:r>
    </w:p>
    <w:p>
      <w:pPr>
        <w:spacing w:after="0" w:line="118" w:lineRule="exact"/>
        <w:rPr>
          <w:sz w:val="20"/>
          <w:szCs w:val="20"/>
          <w:color w:val="auto"/>
        </w:rPr>
      </w:pPr>
    </w:p>
    <w:p>
      <w:pPr>
        <w:ind w:right="300" w:firstLine="786"/>
        <w:spacing w:after="0" w:line="274" w:lineRule="auto"/>
        <w:rPr>
          <w:sz w:val="20"/>
          <w:szCs w:val="20"/>
          <w:color w:val="auto"/>
        </w:rPr>
      </w:pPr>
      <w:r>
        <w:rPr>
          <w:rFonts w:ascii="Arial" w:cs="Arial" w:eastAsia="Arial" w:hAnsi="Arial"/>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Overview</w:t>
      </w:r>
    </w:p>
    <w:p>
      <w:pPr>
        <w:spacing w:after="0" w:line="80" w:lineRule="exact"/>
        <w:rPr>
          <w:sz w:val="20"/>
          <w:szCs w:val="20"/>
          <w:color w:val="auto"/>
        </w:rPr>
      </w:pPr>
    </w:p>
    <w:p>
      <w:pPr>
        <w:ind w:right="120" w:firstLine="786"/>
        <w:spacing w:after="0" w:line="274" w:lineRule="auto"/>
        <w:rPr>
          <w:sz w:val="20"/>
          <w:szCs w:val="20"/>
          <w:color w:val="auto"/>
        </w:rPr>
      </w:pPr>
      <w:r>
        <w:rPr>
          <w:rFonts w:ascii="Arial" w:cs="Arial" w:eastAsia="Arial" w:hAnsi="Arial"/>
          <w:sz w:val="13"/>
          <w:szCs w:val="13"/>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118" w:lineRule="exact"/>
        <w:rPr>
          <w:sz w:val="20"/>
          <w:szCs w:val="20"/>
          <w:color w:val="auto"/>
        </w:rPr>
      </w:pPr>
    </w:p>
    <w:p>
      <w:pPr>
        <w:ind w:right="60" w:firstLine="786"/>
        <w:spacing w:after="0" w:line="244" w:lineRule="auto"/>
        <w:rPr>
          <w:sz w:val="20"/>
          <w:szCs w:val="20"/>
          <w:color w:val="auto"/>
        </w:rPr>
      </w:pPr>
      <w:r>
        <w:rPr>
          <w:rFonts w:ascii="Arial" w:cs="Arial" w:eastAsia="Arial" w:hAnsi="Arial"/>
          <w:sz w:val="13"/>
          <w:szCs w:val="13"/>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that operate in various industries and geographical regions.</w:t>
      </w:r>
    </w:p>
    <w:p>
      <w:pPr>
        <w:spacing w:after="0" w:line="138" w:lineRule="exact"/>
        <w:rPr>
          <w:sz w:val="20"/>
          <w:szCs w:val="20"/>
          <w:color w:val="auto"/>
        </w:rPr>
      </w:pPr>
    </w:p>
    <w:p>
      <w:pPr>
        <w:ind w:right="40" w:firstLine="786"/>
        <w:spacing w:after="0" w:line="250"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133" w:lineRule="exact"/>
        <w:rPr>
          <w:sz w:val="20"/>
          <w:szCs w:val="20"/>
          <w:color w:val="auto"/>
        </w:rPr>
      </w:pPr>
    </w:p>
    <w:p>
      <w:pPr>
        <w:ind w:right="220" w:firstLine="786"/>
        <w:spacing w:after="0" w:line="256" w:lineRule="auto"/>
        <w:rPr>
          <w:sz w:val="20"/>
          <w:szCs w:val="20"/>
          <w:color w:val="auto"/>
        </w:rPr>
      </w:pPr>
      <w:r>
        <w:rPr>
          <w:rFonts w:ascii="Arial" w:cs="Arial" w:eastAsia="Arial" w:hAnsi="Arial"/>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Organization and Structure of PennantPark Floating Rate Capital Ltd.</w:t>
      </w:r>
    </w:p>
    <w:p>
      <w:pPr>
        <w:spacing w:after="0" w:line="80" w:lineRule="exact"/>
        <w:rPr>
          <w:sz w:val="20"/>
          <w:szCs w:val="20"/>
          <w:color w:val="auto"/>
        </w:rPr>
      </w:pPr>
    </w:p>
    <w:p>
      <w:pPr>
        <w:ind w:right="260" w:firstLine="786"/>
        <w:spacing w:after="0" w:line="274"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18" w:lineRule="exact"/>
        <w:rPr>
          <w:sz w:val="20"/>
          <w:szCs w:val="20"/>
          <w:color w:val="auto"/>
        </w:rPr>
      </w:pPr>
    </w:p>
    <w:p>
      <w:pPr>
        <w:ind w:firstLine="786"/>
        <w:spacing w:after="0" w:line="273" w:lineRule="auto"/>
        <w:rPr>
          <w:sz w:val="20"/>
          <w:szCs w:val="20"/>
          <w:color w:val="auto"/>
        </w:rPr>
      </w:pPr>
      <w:r>
        <w:rPr>
          <w:rFonts w:ascii="Arial" w:cs="Arial" w:eastAsia="Arial" w:hAnsi="Arial"/>
          <w:sz w:val="12"/>
          <w:szCs w:val="12"/>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Revenues</w:t>
      </w:r>
    </w:p>
    <w:p>
      <w:pPr>
        <w:spacing w:after="0" w:line="80" w:lineRule="exact"/>
        <w:rPr>
          <w:sz w:val="20"/>
          <w:szCs w:val="20"/>
          <w:color w:val="auto"/>
        </w:rPr>
      </w:pPr>
    </w:p>
    <w:p>
      <w:pPr>
        <w:ind w:right="100" w:firstLine="786"/>
        <w:spacing w:after="0" w:line="244"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We record prepayment penalties on loans and debt securities as income. Dividend income, if any, is recognized on an accrual basis on the ex-dividend date to the extent that we expect to collect such amounts.</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80" w:lineRule="exact"/>
        <w:rPr>
          <w:sz w:val="20"/>
          <w:szCs w:val="20"/>
          <w:color w:val="auto"/>
        </w:rPr>
      </w:pPr>
    </w:p>
    <w:p>
      <w:pPr>
        <w:ind w:right="120" w:firstLine="786"/>
        <w:spacing w:after="0" w:line="250" w:lineRule="auto"/>
        <w:rPr>
          <w:sz w:val="20"/>
          <w:szCs w:val="20"/>
          <w:color w:val="auto"/>
        </w:rPr>
      </w:pPr>
      <w:r>
        <w:rPr>
          <w:rFonts w:ascii="Arial" w:cs="Arial" w:eastAsia="Arial" w:hAnsi="Arial"/>
          <w:sz w:val="13"/>
          <w:szCs w:val="13"/>
          <w:color w:val="auto"/>
        </w:rPr>
        <w:t>Our primary operating expenses include the payment of a base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Credit Facility. We bear all other direct or indirect costs and expenses of our operations and transactions, including:</w:t>
      </w:r>
    </w:p>
    <w:p>
      <w:pPr>
        <w:spacing w:after="0" w:line="52" w:lineRule="exact"/>
        <w:rPr>
          <w:sz w:val="20"/>
          <w:szCs w:val="20"/>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cost of calculating our net asset value, including the cost of any third-party valuation services;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cost of effecting sales and repurchases of shares of our common stock and other securities;</w:t>
      </w:r>
    </w:p>
    <w:p>
      <w:pPr>
        <w:spacing w:after="0" w:line="80" w:lineRule="exact"/>
        <w:rPr>
          <w:rFonts w:ascii="Arial" w:cs="Arial" w:eastAsia="Arial" w:hAnsi="Arial"/>
          <w:sz w:val="13"/>
          <w:szCs w:val="13"/>
          <w:color w:val="auto"/>
        </w:rPr>
      </w:pPr>
    </w:p>
    <w:p>
      <w:pPr>
        <w:ind w:left="1120" w:right="500" w:hanging="329"/>
        <w:spacing w:after="0" w:line="274" w:lineRule="auto"/>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fees payable to third parties relating to, or associated with, making investments, including fees and expenses associated with performing due diligence and reviews of prospective investments or complementary businesses;</w:t>
      </w:r>
    </w:p>
    <w:p>
      <w:pPr>
        <w:spacing w:after="0" w:line="36"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expenses incurred by the Investment Adviser in performing due diligence and reviews of investments;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transfer agent and custodial fees;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fees and expenses associated with marketing efforts;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federal and state registration fees and any stock exchange listing fees;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fees and expenses associated with independent audits and outside legal costs;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federal, state and local taxes;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independent directors’ fees and expenses;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brokerage commissions;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fidelity bond, directors and officers, errors and omissions liability insurance and other insurance premiums;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direct costs such as printing, mailing, long distance telephone and staff;</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costs associated with our reporting and compliance obligations under the 1940 Act and applicable federal and state securities laws; and</w:t>
      </w:r>
    </w:p>
    <w:p>
      <w:pPr>
        <w:spacing w:after="0" w:line="80" w:lineRule="exact"/>
        <w:rPr>
          <w:rFonts w:ascii="Arial" w:cs="Arial" w:eastAsia="Arial" w:hAnsi="Arial"/>
          <w:sz w:val="13"/>
          <w:szCs w:val="13"/>
          <w:color w:val="auto"/>
        </w:rPr>
      </w:pPr>
    </w:p>
    <w:p>
      <w:pPr>
        <w:ind w:left="1120" w:right="180" w:hanging="329"/>
        <w:spacing w:after="0" w:line="288" w:lineRule="auto"/>
        <w:tabs>
          <w:tab w:leader="none" w:pos="11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1" w:lineRule="exact"/>
        <w:rPr>
          <w:sz w:val="20"/>
          <w:szCs w:val="20"/>
          <w:color w:val="auto"/>
        </w:rPr>
      </w:pPr>
    </w:p>
    <w:p>
      <w:pPr>
        <w:ind w:right="160" w:firstLine="786"/>
        <w:spacing w:after="0" w:line="274"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00"/>
          </w:cols>
          <w:pgMar w:left="32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AND INVESTMENT ACTIVITY</w:t>
      </w:r>
    </w:p>
    <w:p>
      <w:pPr>
        <w:spacing w:after="0" w:line="82" w:lineRule="exact"/>
        <w:rPr>
          <w:sz w:val="20"/>
          <w:szCs w:val="20"/>
          <w:color w:val="auto"/>
        </w:rPr>
      </w:pPr>
    </w:p>
    <w:p>
      <w:pPr>
        <w:ind w:right="80" w:firstLine="786"/>
        <w:spacing w:after="0" w:line="278" w:lineRule="auto"/>
        <w:rPr>
          <w:sz w:val="20"/>
          <w:szCs w:val="20"/>
          <w:color w:val="auto"/>
        </w:rPr>
      </w:pPr>
      <w:r>
        <w:rPr>
          <w:rFonts w:ascii="Arial" w:cs="Arial" w:eastAsia="Arial" w:hAnsi="Arial"/>
          <w:sz w:val="12"/>
          <w:szCs w:val="12"/>
          <w:color w:val="auto"/>
        </w:rPr>
        <w:t>As of June 30, 2014, our portfolio totaled $365.9 million and consisted of $322.2 million of senior secured loans, $30.8 million of second lien secured debt, $10.3 million of subordinated debt and $2.6 million of preferred and common equity investments. Our debt portfolio consisted of 95% variable-rate investments (including 93% with a LIBOR or prime floor) and 5% fixed-rate investments. Overall, the portfolio had unrealized appreciation of $3.7 million. Our overall portfolio consisted of 80 companies with an average investment size of $4.6 million, a weighted average yield on debt investments of 8.2%, and was invested 88% in senior secured loans, 8% in second lien secured debt and 4% in subordinated debt, preferred and common equity investments.</w:t>
      </w:r>
    </w:p>
    <w:p>
      <w:pPr>
        <w:spacing w:after="0" w:line="117" w:lineRule="exact"/>
        <w:rPr>
          <w:sz w:val="20"/>
          <w:szCs w:val="20"/>
          <w:color w:val="auto"/>
        </w:rPr>
      </w:pPr>
    </w:p>
    <w:p>
      <w:pPr>
        <w:ind w:right="160" w:firstLine="786"/>
        <w:spacing w:after="0" w:line="278" w:lineRule="auto"/>
        <w:rPr>
          <w:sz w:val="20"/>
          <w:szCs w:val="20"/>
          <w:color w:val="auto"/>
        </w:rPr>
      </w:pPr>
      <w:r>
        <w:rPr>
          <w:rFonts w:ascii="Arial" w:cs="Arial" w:eastAsia="Arial" w:hAnsi="Arial"/>
          <w:sz w:val="12"/>
          <w:szCs w:val="12"/>
          <w:color w:val="auto"/>
        </w:rPr>
        <w:t>As of September 30, 2013, our portfolio totaled $317.8 million and consisted of $281.0 million of senior secured loans, $27.5 million of second lien secured debt and $9.3 million of subordinated debt, preferred and common equity investments. Our debt portfolio consisted of 92% variable-rate investments (including 89% with a LIBOR or prime floor) and 8% fixed-rate investments. Overall, the portfolio had net unrealized depreciation of $1.5 million. Our overall portfolio consisted of 83 companies with an average investment size of $3.8 million, had a weighted average yield on debt investments of 8.1%, and was invested 88% in senior secured loans, 9% in second lien secured debt and 3% in subordinated debt, preferred and common equity investments.</w:t>
      </w:r>
    </w:p>
    <w:p>
      <w:pPr>
        <w:spacing w:after="0" w:line="117" w:lineRule="exact"/>
        <w:rPr>
          <w:sz w:val="20"/>
          <w:szCs w:val="20"/>
          <w:color w:val="auto"/>
        </w:rPr>
      </w:pPr>
    </w:p>
    <w:p>
      <w:pPr>
        <w:ind w:right="60" w:firstLine="786"/>
        <w:spacing w:after="0" w:line="288" w:lineRule="auto"/>
        <w:rPr>
          <w:sz w:val="20"/>
          <w:szCs w:val="20"/>
          <w:color w:val="auto"/>
        </w:rPr>
      </w:pPr>
      <w:r>
        <w:rPr>
          <w:rFonts w:ascii="Arial" w:cs="Arial" w:eastAsia="Arial" w:hAnsi="Arial"/>
          <w:sz w:val="12"/>
          <w:szCs w:val="12"/>
          <w:color w:val="auto"/>
        </w:rPr>
        <w:t>For the three months ended June 30, 2014, we invested $30.6 million in four new and seven existing portfolio companies with a weighted average yield on debt investments of 7.1%. Sales and repayments of investments for the three months ended June 30, 2014 totaled $55.6 million. For the nine months ended June 30, 2014, we invested $185.0 million in 29 new and 25 existing portfolio companies with a weighted average yield on debt investments of 7.8%. Sales and repayments of investments for the nine months ended June 30, 2014 totaled $146.8 million.</w:t>
      </w:r>
    </w:p>
    <w:p>
      <w:pPr>
        <w:spacing w:after="0" w:line="111" w:lineRule="exact"/>
        <w:rPr>
          <w:sz w:val="20"/>
          <w:szCs w:val="20"/>
          <w:color w:val="auto"/>
        </w:rPr>
      </w:pPr>
    </w:p>
    <w:p>
      <w:pPr>
        <w:ind w:right="180" w:firstLine="786"/>
        <w:spacing w:after="0" w:line="288" w:lineRule="auto"/>
        <w:rPr>
          <w:sz w:val="20"/>
          <w:szCs w:val="20"/>
          <w:color w:val="auto"/>
        </w:rPr>
      </w:pPr>
      <w:r>
        <w:rPr>
          <w:rFonts w:ascii="Arial" w:cs="Arial" w:eastAsia="Arial" w:hAnsi="Arial"/>
          <w:sz w:val="12"/>
          <w:szCs w:val="12"/>
          <w:color w:val="auto"/>
        </w:rPr>
        <w:t>For the three months ended June 30, 2013, we invested $114.3 million in 26 new and five existing portfolio companies with a weighted average yield on debt investments of 7.5%. Sales and repayments of investments for the three months ended June 30, 2013 totaled $46.4 million. For the nine months ended June 30, 2013, we invested $198.3 million in 54 new and 11 existing portfolio companies with a weighted average yield on debt investments of 8.0%. Sales and repayments of investments for the nine months ended June 30, 2013 totaled $120.7 million.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w:t>
      </w:r>
    </w:p>
    <w:p>
      <w:pPr>
        <w:spacing w:after="0" w:line="82" w:lineRule="exact"/>
        <w:rPr>
          <w:sz w:val="20"/>
          <w:szCs w:val="20"/>
          <w:color w:val="auto"/>
        </w:rPr>
      </w:pPr>
    </w:p>
    <w:p>
      <w:pPr>
        <w:ind w:right="20" w:firstLine="786"/>
        <w:spacing w:after="0" w:line="245"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Valuation of Portfolio Investments</w:t>
      </w:r>
    </w:p>
    <w:p>
      <w:pPr>
        <w:spacing w:after="0" w:line="80" w:lineRule="exact"/>
        <w:rPr>
          <w:sz w:val="20"/>
          <w:szCs w:val="20"/>
          <w:color w:val="auto"/>
        </w:rPr>
      </w:pPr>
    </w:p>
    <w:p>
      <w:pPr>
        <w:ind w:firstLine="786"/>
        <w:spacing w:after="0" w:line="244"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may be material.</w:t>
      </w:r>
    </w:p>
    <w:p>
      <w:pPr>
        <w:spacing w:after="0" w:line="138" w:lineRule="exact"/>
        <w:rPr>
          <w:sz w:val="20"/>
          <w:szCs w:val="20"/>
          <w:color w:val="auto"/>
        </w:rPr>
      </w:pPr>
    </w:p>
    <w:p>
      <w:pPr>
        <w:ind w:right="20" w:firstLine="786"/>
        <w:spacing w:after="0" w:line="274" w:lineRule="auto"/>
        <w:rPr>
          <w:sz w:val="20"/>
          <w:szCs w:val="20"/>
          <w:color w:val="auto"/>
        </w:rPr>
      </w:pPr>
      <w:r>
        <w:rPr>
          <w:rFonts w:ascii="Arial" w:cs="Arial" w:eastAsia="Arial" w:hAnsi="Arial"/>
          <w:sz w:val="13"/>
          <w:szCs w:val="13"/>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37" w:lineRule="exact"/>
        <w:rPr>
          <w:sz w:val="20"/>
          <w:szCs w:val="20"/>
          <w:color w:val="auto"/>
        </w:rPr>
      </w:pPr>
    </w:p>
    <w:p>
      <w:pPr>
        <w:ind w:left="1120" w:right="220" w:hanging="329"/>
        <w:spacing w:after="0" w:line="274"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quarterly valuation process begins with each portfolio company or investment being initially valued by the investment professionals of our Investment Adviser responsible for the portfolio investment;</w:t>
      </w:r>
    </w:p>
    <w:p>
      <w:pPr>
        <w:spacing w:after="0" w:line="36" w:lineRule="exact"/>
        <w:rPr>
          <w:rFonts w:ascii="Arial" w:cs="Arial" w:eastAsia="Arial" w:hAnsi="Arial"/>
          <w:sz w:val="13"/>
          <w:szCs w:val="13"/>
          <w:color w:val="auto"/>
        </w:rPr>
      </w:pPr>
    </w:p>
    <w:p>
      <w:pPr>
        <w:ind w:left="1120" w:hanging="329"/>
        <w:spacing w:after="0"/>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Preliminary valuation conclusions are then documented and discussed with the management of our Investment Adviser;</w:t>
      </w:r>
    </w:p>
    <w:p>
      <w:pPr>
        <w:spacing w:after="0" w:line="80" w:lineRule="exact"/>
        <w:rPr>
          <w:rFonts w:ascii="Arial" w:cs="Arial" w:eastAsia="Arial" w:hAnsi="Arial"/>
          <w:sz w:val="13"/>
          <w:szCs w:val="13"/>
          <w:color w:val="auto"/>
        </w:rPr>
      </w:pPr>
    </w:p>
    <w:p>
      <w:pPr>
        <w:ind w:left="1120" w:right="60" w:hanging="329"/>
        <w:spacing w:after="0" w:line="256"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48" w:lineRule="exact"/>
        <w:rPr>
          <w:rFonts w:ascii="Arial" w:cs="Arial" w:eastAsia="Arial" w:hAnsi="Arial"/>
          <w:sz w:val="13"/>
          <w:szCs w:val="13"/>
          <w:color w:val="auto"/>
        </w:rPr>
      </w:pPr>
    </w:p>
    <w:p>
      <w:pPr>
        <w:ind w:left="1120" w:right="40" w:hanging="329"/>
        <w:spacing w:after="0" w:line="256"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48" w:lineRule="exact"/>
        <w:rPr>
          <w:rFonts w:ascii="Arial" w:cs="Arial" w:eastAsia="Arial" w:hAnsi="Arial"/>
          <w:sz w:val="13"/>
          <w:szCs w:val="13"/>
          <w:color w:val="auto"/>
        </w:rPr>
      </w:pPr>
    </w:p>
    <w:p>
      <w:pPr>
        <w:ind w:left="1120" w:right="600" w:hanging="329"/>
        <w:spacing w:after="0" w:line="274"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ind w:firstLine="786"/>
        <w:spacing w:after="0" w:line="273" w:lineRule="auto"/>
        <w:rPr>
          <w:sz w:val="20"/>
          <w:szCs w:val="20"/>
          <w:color w:val="auto"/>
        </w:rPr>
      </w:pPr>
      <w:r>
        <w:rPr>
          <w:rFonts w:ascii="Arial" w:cs="Arial" w:eastAsia="Arial" w:hAnsi="Arial"/>
          <w:sz w:val="12"/>
          <w:szCs w:val="12"/>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right="20" w:firstLine="786"/>
        <w:spacing w:after="0" w:line="247"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00"/>
          </w:cols>
          <w:pgMar w:left="32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80" w:lineRule="exact"/>
        <w:rPr>
          <w:sz w:val="20"/>
          <w:szCs w:val="20"/>
          <w:color w:val="auto"/>
        </w:rPr>
      </w:pPr>
    </w:p>
    <w:p>
      <w:pPr>
        <w:ind w:left="800"/>
        <w:spacing w:after="0"/>
        <w:tabs>
          <w:tab w:leader="none" w:pos="136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07" w:lineRule="exact"/>
        <w:rPr>
          <w:sz w:val="20"/>
          <w:szCs w:val="20"/>
          <w:color w:val="auto"/>
        </w:rPr>
      </w:pPr>
    </w:p>
    <w:p>
      <w:pPr>
        <w:ind w:left="1380" w:right="860" w:hanging="579"/>
        <w:spacing w:after="0" w:line="317" w:lineRule="auto"/>
        <w:tabs>
          <w:tab w:leader="none" w:pos="136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40" w:lineRule="exact"/>
        <w:rPr>
          <w:sz w:val="20"/>
          <w:szCs w:val="20"/>
          <w:color w:val="auto"/>
        </w:rPr>
      </w:pPr>
    </w:p>
    <w:p>
      <w:pPr>
        <w:ind w:left="800"/>
        <w:spacing w:after="0"/>
        <w:tabs>
          <w:tab w:leader="none" w:pos="136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61" w:lineRule="exact"/>
        <w:rPr>
          <w:sz w:val="20"/>
          <w:szCs w:val="20"/>
          <w:color w:val="auto"/>
        </w:rPr>
      </w:pPr>
    </w:p>
    <w:p>
      <w:pPr>
        <w:ind w:right="20" w:firstLine="786"/>
        <w:spacing w:after="0" w:line="256"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9" w:lineRule="exact"/>
        <w:rPr>
          <w:sz w:val="20"/>
          <w:szCs w:val="20"/>
          <w:color w:val="auto"/>
        </w:rPr>
      </w:pPr>
    </w:p>
    <w:p>
      <w:pPr>
        <w:ind w:right="240" w:firstLine="786"/>
        <w:spacing w:after="0" w:line="274"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8" w:lineRule="exact"/>
        <w:rPr>
          <w:sz w:val="20"/>
          <w:szCs w:val="20"/>
          <w:color w:val="auto"/>
        </w:rPr>
      </w:pPr>
    </w:p>
    <w:p>
      <w:pPr>
        <w:ind w:right="20" w:firstLine="786"/>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zero and $0.7 million, respectively, relating to amendment fees on the Credit Facility during the three and nine months ended June 30, 2014. For the same periods in the prior year, we incurred expenses of zero and $0.5 million,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elected not to apply ASC 825-10 to any other financial assets or liabilities. For each of the three and nine months ended June 30, 2014, our Credit Facility had a net change in unrealized appreciation of zero. For the three and nine months ended June 30, 2013, our Credit Facility had a net change in unrealized appreciation of zero and $0.4 million, respectively. As of June 30, 2014 and September 30, 2013, the Credit Facility had unrealized appreciation of zero. We use a nationally recognized independent valuation service to measure the fair value of the Credit Facility in a manner consistent with the valuation process that the board of directors uses to value our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80" w:lineRule="exact"/>
        <w:rPr>
          <w:sz w:val="20"/>
          <w:szCs w:val="20"/>
          <w:color w:val="auto"/>
        </w:rPr>
      </w:pPr>
    </w:p>
    <w:p>
      <w:pPr>
        <w:ind w:right="180" w:firstLine="78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and market discount or premium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Realized Gains or Losses and Net Change in Unrealized Appreciation or Depreciation</w:t>
      </w:r>
    </w:p>
    <w:p>
      <w:pPr>
        <w:spacing w:after="0" w:line="80" w:lineRule="exact"/>
        <w:rPr>
          <w:sz w:val="20"/>
          <w:szCs w:val="20"/>
          <w:color w:val="auto"/>
        </w:rPr>
      </w:pPr>
    </w:p>
    <w:p>
      <w:pPr>
        <w:ind w:right="320" w:firstLine="786"/>
        <w:spacing w:after="0" w:line="250" w:lineRule="auto"/>
        <w:rPr>
          <w:sz w:val="20"/>
          <w:szCs w:val="20"/>
          <w:color w:val="auto"/>
        </w:rPr>
      </w:pPr>
      <w:r>
        <w:rPr>
          <w:rFonts w:ascii="Arial" w:cs="Arial" w:eastAsia="Arial" w:hAnsi="Arial"/>
          <w:sz w:val="13"/>
          <w:szCs w:val="13"/>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Payment-in-Kind Interest or PIK</w:t>
      </w:r>
    </w:p>
    <w:p>
      <w:pPr>
        <w:spacing w:after="0" w:line="80" w:lineRule="exact"/>
        <w:rPr>
          <w:sz w:val="20"/>
          <w:szCs w:val="20"/>
          <w:color w:val="auto"/>
        </w:rPr>
      </w:pPr>
    </w:p>
    <w:p>
      <w:pPr>
        <w:ind w:right="160" w:firstLine="786"/>
        <w:spacing w:after="0" w:line="317" w:lineRule="auto"/>
        <w:rPr>
          <w:sz w:val="20"/>
          <w:szCs w:val="20"/>
          <w:color w:val="auto"/>
        </w:rPr>
      </w:pPr>
      <w:r>
        <w:rPr>
          <w:rFonts w:ascii="Arial" w:cs="Arial" w:eastAsia="Arial" w:hAnsi="Arial"/>
          <w:sz w:val="12"/>
          <w:szCs w:val="12"/>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interest on PIK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Federal Income Taxes</w:t>
      </w:r>
    </w:p>
    <w:p>
      <w:pPr>
        <w:spacing w:after="0" w:line="80" w:lineRule="exact"/>
        <w:rPr>
          <w:sz w:val="20"/>
          <w:szCs w:val="20"/>
          <w:color w:val="auto"/>
        </w:rPr>
      </w:pPr>
    </w:p>
    <w:p>
      <w:pPr>
        <w:ind w:firstLine="786"/>
        <w:spacing w:after="0" w:line="243"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 income (i.e., the excess, if any, of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39" w:lineRule="exact"/>
        <w:rPr>
          <w:sz w:val="20"/>
          <w:szCs w:val="20"/>
          <w:color w:val="auto"/>
        </w:rPr>
      </w:pPr>
    </w:p>
    <w:p>
      <w:pPr>
        <w:ind w:right="200" w:firstLine="786"/>
        <w:spacing w:after="0" w:line="256"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80" w:lineRule="exact"/>
        <w:rPr>
          <w:sz w:val="20"/>
          <w:szCs w:val="20"/>
          <w:color w:val="auto"/>
        </w:rPr>
      </w:pPr>
    </w:p>
    <w:p>
      <w:pPr>
        <w:ind w:right="520" w:firstLine="786"/>
        <w:spacing w:after="0" w:line="256" w:lineRule="auto"/>
        <w:rPr>
          <w:sz w:val="20"/>
          <w:szCs w:val="20"/>
          <w:color w:val="auto"/>
        </w:rPr>
      </w:pPr>
      <w:r>
        <w:rPr>
          <w:rFonts w:ascii="Arial" w:cs="Arial" w:eastAsia="Arial" w:hAnsi="Arial"/>
          <w:sz w:val="13"/>
          <w:szCs w:val="13"/>
          <w:color w:val="auto"/>
        </w:rPr>
        <w:t>In June 2013, the FASB issued ASU 2013-08. ASU 2013-08 provides an approach to assess whether a company is an investment company, clarifies the characteristics of an investment company, and provides new measurement and disclosure requirements. ASU 2013-08 is effective for interim and annual reporting periods in fiscal years that begin after December 15, 2013. Earlier application is prohibited. We are currently evaluating ASU 2013-08 to determine the effect, if any, on our Consolidated Financial Statements and disclosures.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Set forth below are the results of operations for the three and nine months ended June 30, 2014 and 2013.</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Income</w:t>
      </w:r>
    </w:p>
    <w:p>
      <w:pPr>
        <w:spacing w:after="0" w:line="80" w:lineRule="exact"/>
        <w:rPr>
          <w:sz w:val="20"/>
          <w:szCs w:val="20"/>
          <w:color w:val="auto"/>
        </w:rPr>
      </w:pPr>
    </w:p>
    <w:p>
      <w:pPr>
        <w:ind w:right="240" w:firstLine="786"/>
        <w:spacing w:after="0" w:line="278" w:lineRule="auto"/>
        <w:rPr>
          <w:sz w:val="20"/>
          <w:szCs w:val="20"/>
          <w:color w:val="auto"/>
        </w:rPr>
      </w:pPr>
      <w:r>
        <w:rPr>
          <w:rFonts w:ascii="Arial" w:cs="Arial" w:eastAsia="Arial" w:hAnsi="Arial"/>
          <w:sz w:val="12"/>
          <w:szCs w:val="12"/>
          <w:color w:val="auto"/>
        </w:rPr>
        <w:t>Investment income for the three and nine months ended June 30, 2014 was $7.7 million and $22.1 million, respectively, and was attributable to $6.2 million and $17.9 million from senior secured loan investments, and $1.5 million and $4.2 million from second lien secured debt and subordinated debt investments. This compares to investment income for the three and nine months ended June 30, 2013, which was $4.7 million and $12.8 million, respectively, and was attributable to $3.9 million and $10.8 million from senior secured loan investments, and $0.8 million and $2.0 million from second lien secured debt and subordinated debt investments. The increase in investment income over the prior year was primarily due to the growth of our portfolio.</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80" w:lineRule="exact"/>
        <w:rPr>
          <w:sz w:val="20"/>
          <w:szCs w:val="20"/>
          <w:color w:val="auto"/>
        </w:rPr>
      </w:pPr>
    </w:p>
    <w:p>
      <w:pPr>
        <w:ind w:right="120" w:firstLine="786"/>
        <w:spacing w:after="0" w:line="250" w:lineRule="auto"/>
        <w:rPr>
          <w:sz w:val="20"/>
          <w:szCs w:val="20"/>
          <w:color w:val="auto"/>
        </w:rPr>
      </w:pPr>
      <w:r>
        <w:rPr>
          <w:rFonts w:ascii="Arial" w:cs="Arial" w:eastAsia="Arial" w:hAnsi="Arial"/>
          <w:sz w:val="13"/>
          <w:szCs w:val="13"/>
          <w:color w:val="auto"/>
        </w:rPr>
        <w:t>Expenses for the three and nine months ended June 30, 2014 totaled $3.3 million and $10.8 million, respectively. Base management fee for the same periods totaled $1.0 million and $2.8 million, incentive fees totaled $0.8 million (including $0.1 million on net unrealized gains accrued but not payable) and $2.9 million (including $0.6 million on net unrealized gains accrued but not payable), Credit Facility expenses totaled $0.9 million and $3.3 million (including $0.7 million of Credit Facility amendment expenses), general and administrative expenses totaled $0.5 million and $1.4 million and excise taxes were $0.1 million and $0.4 million, respectively.</w:t>
      </w:r>
    </w:p>
    <w:p>
      <w:pPr>
        <w:spacing w:after="0" w:line="133" w:lineRule="exact"/>
        <w:rPr>
          <w:sz w:val="20"/>
          <w:szCs w:val="20"/>
          <w:color w:val="auto"/>
        </w:rPr>
      </w:pPr>
    </w:p>
    <w:p>
      <w:pPr>
        <w:ind w:right="60" w:firstLine="786"/>
        <w:spacing w:after="0" w:line="250" w:lineRule="auto"/>
        <w:rPr>
          <w:sz w:val="20"/>
          <w:szCs w:val="20"/>
          <w:color w:val="auto"/>
        </w:rPr>
      </w:pPr>
      <w:r>
        <w:rPr>
          <w:rFonts w:ascii="Arial" w:cs="Arial" w:eastAsia="Arial" w:hAnsi="Arial"/>
          <w:sz w:val="13"/>
          <w:szCs w:val="13"/>
          <w:color w:val="auto"/>
        </w:rPr>
        <w:t>This compares to expenses for the three and nine months ended June 30, 2013, which totaled $1.5 million and $5.8 million, respectively. Base management fee for the same periods totaled $0.5 million and $1.5 million, incentive fees totaled less than $0.1 million and $1.0 million, Credit Facility expenses totaled $0.4 million and $1.8 million (including $0.5 million of Credit Facility amendment expenses), general and administrative expenses totaled $0.5 million and $1.4 million and excise taxes were $0.1 million, respectively. The increase in expenses was due to the growth of our portfolio and expanding our borrowing capacity under our Credit Facility.</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Investment Income</w:t>
      </w:r>
    </w:p>
    <w:p>
      <w:pPr>
        <w:spacing w:after="0" w:line="80" w:lineRule="exact"/>
        <w:rPr>
          <w:sz w:val="20"/>
          <w:szCs w:val="20"/>
          <w:color w:val="auto"/>
        </w:rPr>
      </w:pPr>
    </w:p>
    <w:p>
      <w:pPr>
        <w:ind w:firstLine="786"/>
        <w:spacing w:after="0" w:line="278" w:lineRule="auto"/>
        <w:rPr>
          <w:sz w:val="20"/>
          <w:szCs w:val="20"/>
          <w:color w:val="auto"/>
        </w:rPr>
      </w:pPr>
      <w:r>
        <w:rPr>
          <w:rFonts w:ascii="Arial" w:cs="Arial" w:eastAsia="Arial" w:hAnsi="Arial"/>
          <w:sz w:val="12"/>
          <w:szCs w:val="12"/>
          <w:color w:val="auto"/>
        </w:rPr>
        <w:t>Net investment income totaled $4.4 million and $11.3 million, or $0.29 and $0.76 per share, for the three and nine months ended June 30, 2014, respectively. Net investment income totaled $3.2 million and $7.0 million, or $0.31 and $0.86 per share, for the three and nine months ended June 30, 2013, respectively. The increase in net investment income was due to a larger portfolio, which was partially offset by amendment costs. For the three months ended June 30, 2014, net investment income per share increased due to changes in yield environment over the prior year, whereas, for the nine months ended June 30, 2014, net investment income per share decreased over the prior year as a result of both changes in yield environment and share issuances of common stock during 2013.</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Realized Gains or Losses</w:t>
      </w:r>
    </w:p>
    <w:p>
      <w:pPr>
        <w:spacing w:after="0" w:line="80" w:lineRule="exact"/>
        <w:rPr>
          <w:sz w:val="20"/>
          <w:szCs w:val="20"/>
          <w:color w:val="auto"/>
        </w:rPr>
      </w:pPr>
    </w:p>
    <w:p>
      <w:pPr>
        <w:ind w:right="200" w:firstLine="786"/>
        <w:spacing w:after="0" w:line="256" w:lineRule="auto"/>
        <w:rPr>
          <w:sz w:val="20"/>
          <w:szCs w:val="20"/>
          <w:color w:val="auto"/>
        </w:rPr>
      </w:pPr>
      <w:r>
        <w:rPr>
          <w:rFonts w:ascii="Arial" w:cs="Arial" w:eastAsia="Arial" w:hAnsi="Arial"/>
          <w:sz w:val="13"/>
          <w:szCs w:val="13"/>
          <w:color w:val="auto"/>
        </w:rPr>
        <w:t>Sales and repayments of investments for the three and nine months ended June 30, 2014 totaled $55.6 million and $146.8 million and net realized gains totaled $0.7 million and $1.8 million, respectively. Sales and repayments of investments totaled $46.4 million and $120.7 million and realized gains totaled $1.7 million and $3.2 million for the three and nine months ended June 30, 2013, respectively. The decrease in realized gains was driven by fewer exits of our portfolio companies.</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Unrealized Appreciation or Depreciation on Investments and Credit Facility</w:t>
      </w:r>
    </w:p>
    <w:p>
      <w:pPr>
        <w:spacing w:after="0" w:line="80" w:lineRule="exact"/>
        <w:rPr>
          <w:sz w:val="20"/>
          <w:szCs w:val="20"/>
          <w:color w:val="auto"/>
        </w:rPr>
      </w:pPr>
    </w:p>
    <w:p>
      <w:pPr>
        <w:ind w:right="20" w:firstLine="786"/>
        <w:spacing w:after="0" w:line="288" w:lineRule="auto"/>
        <w:rPr>
          <w:sz w:val="20"/>
          <w:szCs w:val="20"/>
          <w:color w:val="auto"/>
        </w:rPr>
      </w:pPr>
      <w:r>
        <w:rPr>
          <w:rFonts w:ascii="Arial" w:cs="Arial" w:eastAsia="Arial" w:hAnsi="Arial"/>
          <w:sz w:val="12"/>
          <w:szCs w:val="12"/>
          <w:color w:val="auto"/>
        </w:rPr>
        <w:t>For the three and nine months ended June 30, 2014, we reported net unrealized (depreciation) appreciation on investments of $(0.1) million and $5.1 million, respectively. For the three and nine months ended June 30, 2013, we reported net unrealized (depreciation) on investments of $(3.3) million and $(3.2) million, respectively. As of June 30, 2014 and September 30, 2013, net unrealized appreciation (depreciation) on investments totaled $3.7 million and $(1.5) million, respectively. The change compared to September 30, 2013 was the result of changes in market values.</w:t>
      </w:r>
    </w:p>
    <w:p>
      <w:pPr>
        <w:spacing w:after="0" w:line="111" w:lineRule="exact"/>
        <w:rPr>
          <w:sz w:val="20"/>
          <w:szCs w:val="20"/>
          <w:color w:val="auto"/>
        </w:rPr>
      </w:pPr>
    </w:p>
    <w:p>
      <w:pPr>
        <w:ind w:right="20" w:firstLine="786"/>
        <w:spacing w:after="0" w:line="256" w:lineRule="auto"/>
        <w:rPr>
          <w:sz w:val="20"/>
          <w:szCs w:val="20"/>
          <w:color w:val="auto"/>
        </w:rPr>
      </w:pPr>
      <w:r>
        <w:rPr>
          <w:rFonts w:ascii="Arial" w:cs="Arial" w:eastAsia="Arial" w:hAnsi="Arial"/>
          <w:sz w:val="13"/>
          <w:szCs w:val="13"/>
          <w:color w:val="auto"/>
        </w:rPr>
        <w:t>For each of the three and nine months ended June 30, 2014, our Credit Facility had an unrealized appreciation of zero. For the three and nine months ended June 30, 2013, our Credit Facility had an unrealized appreciation of zero and $0.4 million, respectively. As of June 30, 2014 and September 30, 2013, net unrealized appreciation on our Credit Facility totaled zero. The change compared to last year was due to changes in the capital markets.</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Increase in Net Assets Resulting from Operations</w:t>
      </w:r>
    </w:p>
    <w:p>
      <w:pPr>
        <w:spacing w:after="0" w:line="80" w:lineRule="exact"/>
        <w:rPr>
          <w:sz w:val="20"/>
          <w:szCs w:val="20"/>
          <w:color w:val="auto"/>
        </w:rPr>
      </w:pPr>
    </w:p>
    <w:p>
      <w:pPr>
        <w:jc w:val="both"/>
        <w:ind w:right="180" w:firstLine="786"/>
        <w:spacing w:after="0" w:line="256" w:lineRule="auto"/>
        <w:rPr>
          <w:sz w:val="20"/>
          <w:szCs w:val="20"/>
          <w:color w:val="auto"/>
        </w:rPr>
      </w:pPr>
      <w:r>
        <w:rPr>
          <w:rFonts w:ascii="Arial" w:cs="Arial" w:eastAsia="Arial" w:hAnsi="Arial"/>
          <w:sz w:val="13"/>
          <w:szCs w:val="13"/>
          <w:color w:val="auto"/>
        </w:rPr>
        <w:t>Net increase in net assets resulting from operations totaled $4.9 million and $18.2 million, or $0.33 and $1.22 per share, respectively, for the three and nine months ended June 30, 2014. This compares to a net increase in net assets resulting from operations which totaled $1.6 million and $6.5 million, or $0.15 and $0.81 per share, respectively, for the three and nine months ended June 30, 2013. We continue to find attractive investment opportunities to grow net assets from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82" w:lineRule="exact"/>
        <w:rPr>
          <w:sz w:val="20"/>
          <w:szCs w:val="20"/>
          <w:color w:val="auto"/>
        </w:rPr>
      </w:pPr>
    </w:p>
    <w:p>
      <w:pPr>
        <w:jc w:val="both"/>
        <w:ind w:right="420" w:firstLine="786"/>
        <w:spacing w:after="0" w:line="256" w:lineRule="auto"/>
        <w:rPr>
          <w:sz w:val="20"/>
          <w:szCs w:val="20"/>
          <w:color w:val="auto"/>
        </w:rPr>
      </w:pPr>
      <w:r>
        <w:rPr>
          <w:rFonts w:ascii="Arial" w:cs="Arial" w:eastAsia="Arial" w:hAnsi="Arial"/>
          <w:sz w:val="13"/>
          <w:szCs w:val="13"/>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29" w:lineRule="exact"/>
        <w:rPr>
          <w:sz w:val="20"/>
          <w:szCs w:val="20"/>
          <w:color w:val="auto"/>
        </w:rPr>
      </w:pPr>
    </w:p>
    <w:p>
      <w:pPr>
        <w:ind w:right="60" w:firstLine="786"/>
        <w:spacing w:after="0" w:line="245" w:lineRule="auto"/>
        <w:rPr>
          <w:sz w:val="20"/>
          <w:szCs w:val="20"/>
          <w:color w:val="auto"/>
        </w:rPr>
      </w:pPr>
      <w:r>
        <w:rPr>
          <w:rFonts w:ascii="Arial" w:cs="Arial" w:eastAsia="Arial" w:hAnsi="Arial"/>
          <w:sz w:val="13"/>
          <w:szCs w:val="13"/>
          <w:color w:val="auto"/>
        </w:rPr>
        <w:t>Funding I’s Credit Facility with affiliates of SunTrust Bank, or the Lender, is $200 million, has an interest rate spread above LIBOR of 200 basis points, matures in May 2018 and its reinvestment period ends in May 2016. In November 2013, we expanded the Credit Facility to allow Funding I to borrow up to $200 million, up from $125 million. The Credit Facility is subject to satisfaction of certain conditions and the regulatory restrictions that the 1940 Act imposes on us as a BDC. As of June 30, 2014 and September 30, 2013, Funding I had $154.9 million and $99.6 million of outstanding borrowings under the Credit Facility, respectively, and carried an annual interest rate of 2.16% and 2.18%, respectively, excluding the 0.375% undrawn commitment fee. The annualized weighted average cost of debt for the nine months ended June 30, 2014 and 2013, inclusive of the fee on the undrawn commitment on the Credit Facility but excluding amendment costs, was 2.36% and 2.68%, respectively.</w:t>
      </w:r>
    </w:p>
    <w:p>
      <w:pPr>
        <w:spacing w:after="0" w:line="137" w:lineRule="exact"/>
        <w:rPr>
          <w:sz w:val="20"/>
          <w:szCs w:val="20"/>
          <w:color w:val="auto"/>
        </w:rPr>
      </w:pPr>
    </w:p>
    <w:p>
      <w:pPr>
        <w:ind w:right="100" w:firstLine="786"/>
        <w:spacing w:after="0" w:line="256" w:lineRule="auto"/>
        <w:rPr>
          <w:sz w:val="20"/>
          <w:szCs w:val="20"/>
          <w:color w:val="auto"/>
        </w:rPr>
      </w:pPr>
      <w:r>
        <w:rPr>
          <w:rFonts w:ascii="Arial" w:cs="Arial" w:eastAsia="Arial" w:hAnsi="Arial"/>
          <w:sz w:val="13"/>
          <w:szCs w:val="13"/>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29" w:lineRule="exact"/>
        <w:rPr>
          <w:sz w:val="20"/>
          <w:szCs w:val="20"/>
          <w:color w:val="auto"/>
        </w:rPr>
      </w:pPr>
    </w:p>
    <w:p>
      <w:pPr>
        <w:ind w:right="100" w:firstLine="786"/>
        <w:spacing w:after="0" w:line="250"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June 30, 2014, we were in compliance with the terms of our Credit Facility.</w:t>
      </w:r>
    </w:p>
    <w:p>
      <w:pPr>
        <w:spacing w:after="0" w:line="133" w:lineRule="exact"/>
        <w:rPr>
          <w:sz w:val="20"/>
          <w:szCs w:val="20"/>
          <w:color w:val="auto"/>
        </w:rPr>
      </w:pPr>
    </w:p>
    <w:p>
      <w:pPr>
        <w:jc w:val="both"/>
        <w:ind w:right="300" w:firstLine="786"/>
        <w:spacing w:after="0" w:line="317" w:lineRule="auto"/>
        <w:rPr>
          <w:sz w:val="20"/>
          <w:szCs w:val="20"/>
          <w:color w:val="auto"/>
        </w:rPr>
      </w:pPr>
      <w:r>
        <w:rPr>
          <w:rFonts w:ascii="Arial" w:cs="Arial" w:eastAsia="Arial" w:hAnsi="Arial"/>
          <w:sz w:val="12"/>
          <w:szCs w:val="12"/>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40" w:firstLine="786"/>
        <w:spacing w:after="0" w:line="268" w:lineRule="auto"/>
        <w:rPr>
          <w:sz w:val="20"/>
          <w:szCs w:val="20"/>
          <w:color w:val="auto"/>
        </w:rPr>
      </w:pPr>
      <w:r>
        <w:rPr>
          <w:rFonts w:ascii="Arial" w:cs="Arial" w:eastAsia="Arial" w:hAnsi="Arial"/>
          <w:sz w:val="12"/>
          <w:szCs w:val="12"/>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w:t>
      </w:r>
    </w:p>
    <w:p>
      <w:pPr>
        <w:spacing w:after="0" w:line="1" w:lineRule="exact"/>
        <w:rPr>
          <w:sz w:val="20"/>
          <w:szCs w:val="20"/>
          <w:color w:val="auto"/>
        </w:rPr>
      </w:pPr>
    </w:p>
    <w:p>
      <w:pPr>
        <w:ind w:firstLine="8"/>
        <w:spacing w:after="0" w:line="255" w:lineRule="auto"/>
        <w:tabs>
          <w:tab w:leader="none" w:pos="191" w:val="left"/>
        </w:tabs>
        <w:numPr>
          <w:ilvl w:val="0"/>
          <w:numId w:val="13"/>
        </w:numPr>
        <w:rPr>
          <w:rFonts w:ascii="Arial" w:cs="Arial" w:eastAsia="Arial" w:hAnsi="Arial"/>
          <w:sz w:val="13"/>
          <w:szCs w:val="13"/>
          <w:color w:val="auto"/>
        </w:rPr>
      </w:pPr>
      <w:r>
        <w:rPr>
          <w:rFonts w:ascii="Arial" w:cs="Arial" w:eastAsia="Arial" w:hAnsi="Arial"/>
          <w:sz w:val="13"/>
          <w:szCs w:val="13"/>
          <w:color w:val="auto"/>
        </w:rPr>
        <w:t>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48" w:lineRule="exact"/>
        <w:rPr>
          <w:sz w:val="20"/>
          <w:szCs w:val="20"/>
          <w:color w:val="auto"/>
        </w:rPr>
      </w:pPr>
    </w:p>
    <w:p>
      <w:pPr>
        <w:ind w:right="260" w:firstLine="786"/>
        <w:spacing w:after="0" w:line="288" w:lineRule="auto"/>
        <w:rPr>
          <w:sz w:val="20"/>
          <w:szCs w:val="20"/>
          <w:color w:val="auto"/>
        </w:rPr>
      </w:pPr>
      <w:r>
        <w:rPr>
          <w:rFonts w:ascii="Arial" w:cs="Arial" w:eastAsia="Arial" w:hAnsi="Arial"/>
          <w:sz w:val="12"/>
          <w:szCs w:val="12"/>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30" w:lineRule="exact"/>
        <w:rPr>
          <w:sz w:val="20"/>
          <w:szCs w:val="20"/>
          <w:color w:val="auto"/>
        </w:rPr>
      </w:pPr>
    </w:p>
    <w:p>
      <w:pPr>
        <w:ind w:right="420" w:firstLine="786"/>
        <w:spacing w:after="0" w:line="274" w:lineRule="auto"/>
        <w:rPr>
          <w:sz w:val="20"/>
          <w:szCs w:val="20"/>
          <w:color w:val="auto"/>
        </w:rPr>
      </w:pPr>
      <w:r>
        <w:rPr>
          <w:rFonts w:ascii="Arial" w:cs="Arial" w:eastAsia="Arial" w:hAnsi="Arial"/>
          <w:sz w:val="13"/>
          <w:szCs w:val="13"/>
          <w:color w:val="auto"/>
        </w:rPr>
        <w:t>On June 30, 2014 and September 30, 2013, we had cash equivalents of $9.9 million and $4.6 million, respectively, available for investing and general corporate purposes. We believe our liquidity and capital resources are sufficient to take advantage of market opportunities.</w:t>
      </w:r>
    </w:p>
    <w:p>
      <w:pPr>
        <w:spacing w:after="0" w:line="37" w:lineRule="exact"/>
        <w:rPr>
          <w:sz w:val="20"/>
          <w:szCs w:val="20"/>
          <w:color w:val="auto"/>
        </w:rPr>
      </w:pPr>
    </w:p>
    <w:p>
      <w:pPr>
        <w:ind w:right="340" w:firstLine="786"/>
        <w:spacing w:after="0" w:line="274" w:lineRule="auto"/>
        <w:rPr>
          <w:sz w:val="20"/>
          <w:szCs w:val="20"/>
          <w:color w:val="auto"/>
        </w:rPr>
      </w:pPr>
      <w:r>
        <w:rPr>
          <w:rFonts w:ascii="Arial" w:cs="Arial" w:eastAsia="Arial" w:hAnsi="Arial"/>
          <w:sz w:val="13"/>
          <w:szCs w:val="13"/>
          <w:color w:val="auto"/>
        </w:rPr>
        <w:t>Our operating activities used cash of $37.9 million for the nine months ended June 30, 2014, and our financing activities provided cash of $43.3 million for the same period. Our operating activities used cash primarily for our investment activities and our financing activities provided cash primarily from net draws under the Credit Facility.</w:t>
      </w:r>
    </w:p>
    <w:p>
      <w:pPr>
        <w:spacing w:after="0" w:line="37" w:lineRule="exact"/>
        <w:rPr>
          <w:sz w:val="20"/>
          <w:szCs w:val="20"/>
          <w:color w:val="auto"/>
        </w:rPr>
      </w:pPr>
    </w:p>
    <w:p>
      <w:pPr>
        <w:ind w:right="340" w:firstLine="786"/>
        <w:spacing w:after="0" w:line="317" w:lineRule="auto"/>
        <w:rPr>
          <w:sz w:val="20"/>
          <w:szCs w:val="20"/>
          <w:color w:val="auto"/>
        </w:rPr>
      </w:pPr>
      <w:r>
        <w:rPr>
          <w:rFonts w:ascii="Arial" w:cs="Arial" w:eastAsia="Arial" w:hAnsi="Arial"/>
          <w:sz w:val="12"/>
          <w:szCs w:val="12"/>
          <w:color w:val="auto"/>
        </w:rPr>
        <w:t>Our operating activities used cash of $47.1 million for the nine months ended June 30, 2013, and our financing activities provided cash of $50.2 million for the same period. Our operating activities used cash primarily for our investment activity that was offset by our financing activities, which provided cash primarily from a public offering and net repayments under the Credit Facility.</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80"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 summary of our significant contractual payment obligations as of June 30, 2014, including borrowings under our Credit Facility and other contractual obligations,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ind w:left="560"/>
              <w:spacing w:after="0"/>
              <w:rPr>
                <w:sz w:val="20"/>
                <w:szCs w:val="20"/>
                <w:color w:val="auto"/>
              </w:rPr>
            </w:pPr>
            <w:r>
              <w:rPr>
                <w:rFonts w:ascii="Arial" w:cs="Arial" w:eastAsia="Arial" w:hAnsi="Arial"/>
                <w:sz w:val="13"/>
                <w:szCs w:val="13"/>
                <w:b w:val="1"/>
                <w:bCs w:val="1"/>
                <w:color w:val="auto"/>
                <w:w w:val="93"/>
              </w:rPr>
              <w:t>Payments due by period (millions)</w:t>
            </w: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88"/>
              </w:rPr>
              <w:t>Less than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3"/>
                <w:szCs w:val="13"/>
                <w:b w:val="1"/>
                <w:bCs w:val="1"/>
                <w:color w:val="auto"/>
              </w:rPr>
              <w:t>1-3</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73"/>
              <w:spacing w:after="0"/>
              <w:rPr>
                <w:sz w:val="20"/>
                <w:szCs w:val="20"/>
                <w:color w:val="auto"/>
              </w:rPr>
            </w:pPr>
            <w:r>
              <w:rPr>
                <w:rFonts w:ascii="Arial" w:cs="Arial" w:eastAsia="Arial" w:hAnsi="Arial"/>
                <w:sz w:val="13"/>
                <w:szCs w:val="13"/>
                <w:b w:val="1"/>
                <w:bCs w:val="1"/>
                <w:color w:val="auto"/>
              </w:rPr>
              <w:t>3-5</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9"/>
              </w:rPr>
              <w:t>More than</w:t>
            </w:r>
          </w:p>
        </w:tc>
        <w:tc>
          <w:tcPr>
            <w:tcW w:w="0" w:type="dxa"/>
            <w:vAlign w:val="bottom"/>
          </w:tcPr>
          <w:p>
            <w:pPr>
              <w:spacing w:after="0"/>
              <w:rPr>
                <w:sz w:val="1"/>
                <w:szCs w:val="1"/>
                <w:color w:val="auto"/>
              </w:rPr>
            </w:pPr>
          </w:p>
        </w:tc>
      </w:tr>
      <w:tr>
        <w:trPr>
          <w:trHeight w:val="110"/>
        </w:trPr>
        <w:tc>
          <w:tcPr>
            <w:tcW w:w="5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1 year</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3"/>
                <w:szCs w:val="13"/>
                <w:b w:val="1"/>
                <w:bCs w:val="1"/>
                <w:color w:val="auto"/>
              </w:rPr>
              <w:t>years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13"/>
              <w:spacing w:after="0"/>
              <w:rPr>
                <w:sz w:val="20"/>
                <w:szCs w:val="20"/>
                <w:color w:val="auto"/>
              </w:rPr>
            </w:pPr>
            <w:r>
              <w:rPr>
                <w:rFonts w:ascii="Arial" w:cs="Arial" w:eastAsia="Arial" w:hAnsi="Arial"/>
                <w:sz w:val="13"/>
                <w:szCs w:val="13"/>
                <w:b w:val="1"/>
                <w:bCs w:val="1"/>
                <w:color w:val="auto"/>
                <w:w w:val="82"/>
              </w:rPr>
              <w:t>years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5 years</w:t>
            </w:r>
          </w:p>
        </w:tc>
        <w:tc>
          <w:tcPr>
            <w:tcW w:w="0" w:type="dxa"/>
            <w:vAlign w:val="bottom"/>
          </w:tcPr>
          <w:p>
            <w:pPr>
              <w:spacing w:after="0"/>
              <w:rPr>
                <w:sz w:val="1"/>
                <w:szCs w:val="1"/>
                <w:color w:val="auto"/>
              </w:rPr>
            </w:pPr>
          </w:p>
        </w:tc>
      </w:tr>
      <w:tr>
        <w:trPr>
          <w:trHeight w:val="142"/>
        </w:trPr>
        <w:tc>
          <w:tcPr>
            <w:tcW w:w="5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Credit Facility</w:t>
            </w:r>
          </w:p>
        </w:tc>
        <w:tc>
          <w:tcPr>
            <w:tcW w:w="18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154.9</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ind w:left="520"/>
              <w:spacing w:after="0" w:line="142"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ind w:left="380"/>
              <w:spacing w:after="0" w:line="142"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154.9</w:t>
            </w: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ind w:left="600"/>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Arial" w:cs="Arial" w:eastAsia="Arial" w:hAnsi="Arial"/>
                <w:sz w:val="11"/>
                <w:szCs w:val="11"/>
                <w:color w:val="auto"/>
              </w:rPr>
              <w:t xml:space="preserve">Unfunded investments </w:t>
            </w:r>
            <w:r>
              <w:rPr>
                <w:rFonts w:ascii="Arial" w:cs="Arial" w:eastAsia="Arial" w:hAnsi="Arial"/>
                <w:sz w:val="17"/>
                <w:szCs w:val="17"/>
                <w:color w:val="auto"/>
                <w:vertAlign w:val="superscript"/>
              </w:rPr>
              <w:t>(1)</w:t>
            </w:r>
          </w:p>
        </w:tc>
        <w:tc>
          <w:tcPr>
            <w:tcW w:w="180" w:type="dxa"/>
            <w:vAlign w:val="bottom"/>
          </w:tcPr>
          <w:p>
            <w:pPr>
              <w:spacing w:after="0"/>
              <w:rPr>
                <w:sz w:val="12"/>
                <w:szCs w:val="1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2.7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5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80" w:type="dxa"/>
            <w:vAlign w:val="bottom"/>
            <w:shd w:val="clear" w:color="auto" w:fill="CCEEFF"/>
          </w:tcPr>
          <w:p>
            <w:pPr>
              <w:spacing w:after="0"/>
              <w:rPr>
                <w:sz w:val="20"/>
                <w:szCs w:val="20"/>
                <w:color w:val="auto"/>
              </w:rPr>
            </w:pPr>
            <w:r>
              <w:rPr>
                <w:rFonts w:ascii="Arial" w:cs="Arial" w:eastAsia="Arial" w:hAnsi="Arial"/>
                <w:sz w:val="13"/>
                <w:szCs w:val="13"/>
                <w:color w:val="auto"/>
              </w:rPr>
              <w:t>Total contractual obligations</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157.6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5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3"/>
          <w:szCs w:val="13"/>
          <w:color w:val="auto"/>
        </w:rPr>
        <w:t>Unfunded investments described in the Consolidated Statements of Assets and Liabilities represent unfunded delayed draws on investments and/or revolving lines of credit.</w:t>
      </w:r>
    </w:p>
    <w:p>
      <w:pPr>
        <w:spacing w:after="0" w:line="69" w:lineRule="exact"/>
        <w:rPr>
          <w:sz w:val="20"/>
          <w:szCs w:val="20"/>
          <w:color w:val="auto"/>
        </w:rPr>
      </w:pPr>
    </w:p>
    <w:p>
      <w:pPr>
        <w:ind w:firstLine="786"/>
        <w:spacing w:after="0" w:line="277"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2014, PennantPark Investment Advisers serves as our Investment Adviser. Payments under our Investment Management Agreement in each reporting period are equal to (1) a base management fee equal to a percentage of the value of our gross assets and (2) an incentive fee based on our performance.</w:t>
      </w:r>
    </w:p>
    <w:p>
      <w:pPr>
        <w:spacing w:after="0" w:line="37" w:lineRule="exact"/>
        <w:rPr>
          <w:sz w:val="20"/>
          <w:szCs w:val="20"/>
          <w:color w:val="auto"/>
        </w:rPr>
      </w:pPr>
    </w:p>
    <w:p>
      <w:pPr>
        <w:ind w:right="40" w:firstLine="786"/>
        <w:spacing w:after="0" w:line="247" w:lineRule="auto"/>
        <w:rPr>
          <w:sz w:val="20"/>
          <w:szCs w:val="20"/>
          <w:color w:val="auto"/>
        </w:rPr>
      </w:pPr>
      <w:r>
        <w:rPr>
          <w:rFonts w:ascii="Arial" w:cs="Arial" w:eastAsia="Arial" w:hAnsi="Arial"/>
          <w:sz w:val="13"/>
          <w:szCs w:val="13"/>
          <w:color w:val="auto"/>
        </w:rPr>
        <w:t>Under our Administration Agreement, which was reapproved by our board of directors, including a majority of our directors who are not interested persons of us, in February 2014,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54" w:lineRule="exact"/>
        <w:rPr>
          <w:sz w:val="20"/>
          <w:szCs w:val="20"/>
          <w:color w:val="auto"/>
        </w:rPr>
      </w:pPr>
    </w:p>
    <w:p>
      <w:pPr>
        <w:jc w:val="both"/>
        <w:ind w:right="380" w:firstLine="786"/>
        <w:spacing w:after="0" w:line="256" w:lineRule="auto"/>
        <w:rPr>
          <w:sz w:val="20"/>
          <w:szCs w:val="20"/>
          <w:color w:val="auto"/>
        </w:rPr>
      </w:pPr>
      <w:r>
        <w:rPr>
          <w:rFonts w:ascii="Arial" w:cs="Arial" w:eastAsia="Arial" w:hAnsi="Arial"/>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80" w:lineRule="exact"/>
        <w:rPr>
          <w:sz w:val="20"/>
          <w:szCs w:val="20"/>
          <w:color w:val="auto"/>
        </w:rPr>
      </w:pPr>
    </w:p>
    <w:p>
      <w:pPr>
        <w:ind w:left="800"/>
        <w:spacing w:after="0"/>
        <w:rPr>
          <w:sz w:val="20"/>
          <w:szCs w:val="20"/>
          <w:color w:val="auto"/>
        </w:rPr>
      </w:pPr>
      <w:r>
        <w:rPr>
          <w:rFonts w:ascii="Arial" w:cs="Arial" w:eastAsia="Arial" w:hAnsi="Arial"/>
          <w:sz w:val="13"/>
          <w:szCs w:val="13"/>
          <w:color w:val="auto"/>
        </w:rPr>
        <w:t>We currently engage in no off-balance sheet arrangements, including any risk management of commodity pricing or other hedging practices.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Distributions</w:t>
      </w:r>
    </w:p>
    <w:p>
      <w:pPr>
        <w:spacing w:after="0" w:line="80" w:lineRule="exact"/>
        <w:rPr>
          <w:sz w:val="20"/>
          <w:szCs w:val="20"/>
          <w:color w:val="auto"/>
        </w:rPr>
      </w:pPr>
    </w:p>
    <w:p>
      <w:pPr>
        <w:ind w:firstLine="786"/>
        <w:spacing w:after="0" w:line="242" w:lineRule="auto"/>
        <w:rPr>
          <w:sz w:val="20"/>
          <w:szCs w:val="20"/>
          <w:color w:val="auto"/>
        </w:rPr>
      </w:pPr>
      <w:r>
        <w:rPr>
          <w:rFonts w:ascii="Arial" w:cs="Arial" w:eastAsia="Arial" w:hAnsi="Arial"/>
          <w:sz w:val="13"/>
          <w:szCs w:val="13"/>
          <w:color w:val="auto"/>
        </w:rPr>
        <w:t>In order to qualify as a RIC and to not be subject to corporate-level tax on income, we are required, under Subchapter M of the Code, to annually distribute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 As a RIC, we are generally not subject to tax and have elected to retain a portion of our calendar year income. For the three and nine months ended June 30, 2014, we accrued estimated excise taxes of $0.1 million and $0.4 million, respectively. For the three and nine months ended June 30, 2013, we accrued estimated excise taxes of less than $0.1 million and $0.1 million, respectively.</w:t>
      </w:r>
    </w:p>
    <w:p>
      <w:pPr>
        <w:spacing w:after="0" w:line="61" w:lineRule="exact"/>
        <w:rPr>
          <w:sz w:val="20"/>
          <w:szCs w:val="20"/>
          <w:color w:val="auto"/>
        </w:rPr>
      </w:pPr>
    </w:p>
    <w:p>
      <w:pPr>
        <w:ind w:right="180" w:firstLine="786"/>
        <w:spacing w:after="0" w:line="247" w:lineRule="auto"/>
        <w:rPr>
          <w:sz w:val="20"/>
          <w:szCs w:val="20"/>
          <w:color w:val="auto"/>
        </w:rPr>
      </w:pPr>
      <w:r>
        <w:rPr>
          <w:rFonts w:ascii="Arial" w:cs="Arial" w:eastAsia="Arial" w:hAnsi="Arial"/>
          <w:sz w:val="13"/>
          <w:szCs w:val="13"/>
          <w:color w:val="auto"/>
        </w:rPr>
        <w:t>During the three and nine months ended June 30, 2014, we declared to stockholders distributions of $0.270 and $0.808 per share, respectively, for total distributions of $4.0 million and $12.0 million, respectively. For the same periods in the prior year, we declared distributions of $0.263 and $0.765 per share, respectively, for total distributions of $2.7 million and $6.1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distributions will be reported to stockholders on Form 1099-DIV after the end of the calendar year and in our periodic reports filed with the SEC.</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We intend to continue to make monthly distributions to our stockholders. Our monthly distributions, if any, are determined by our board of directors quarterly.</w:t>
      </w:r>
    </w:p>
    <w:p>
      <w:pPr>
        <w:spacing w:after="0" w:line="14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520" w:firstLine="786"/>
        <w:spacing w:after="0" w:line="274"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18" w:lineRule="exact"/>
        <w:rPr>
          <w:sz w:val="20"/>
          <w:szCs w:val="20"/>
          <w:color w:val="auto"/>
        </w:rPr>
      </w:pPr>
    </w:p>
    <w:p>
      <w:pPr>
        <w:ind w:firstLine="786"/>
        <w:spacing w:after="0" w:line="250" w:lineRule="auto"/>
        <w:rPr>
          <w:sz w:val="20"/>
          <w:szCs w:val="20"/>
          <w:color w:val="auto"/>
        </w:rPr>
      </w:pPr>
      <w:r>
        <w:rPr>
          <w:rFonts w:ascii="Arial" w:cs="Arial" w:eastAsia="Arial" w:hAnsi="Arial"/>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33" w:lineRule="exact"/>
        <w:rPr>
          <w:sz w:val="20"/>
          <w:szCs w:val="20"/>
          <w:color w:val="auto"/>
        </w:rPr>
      </w:pPr>
    </w:p>
    <w:p>
      <w:pPr>
        <w:ind w:right="160" w:firstLine="786"/>
        <w:spacing w:after="0" w:line="256" w:lineRule="auto"/>
        <w:rPr>
          <w:sz w:val="20"/>
          <w:szCs w:val="20"/>
          <w:color w:val="auto"/>
        </w:rPr>
      </w:pPr>
      <w:r>
        <w:rPr>
          <w:rFonts w:ascii="Arial" w:cs="Arial" w:eastAsia="Arial" w:hAnsi="Arial"/>
          <w:sz w:val="13"/>
          <w:szCs w:val="13"/>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00"/>
          </w:cols>
          <w:pgMar w:left="320" w:top="459"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163" w:lineRule="exact"/>
        <w:rPr>
          <w:sz w:val="20"/>
          <w:szCs w:val="20"/>
          <w:color w:val="auto"/>
        </w:rPr>
      </w:pPr>
    </w:p>
    <w:p>
      <w:pPr>
        <w:ind w:right="40" w:firstLine="786"/>
        <w:spacing w:after="0" w:line="247" w:lineRule="auto"/>
        <w:rPr>
          <w:sz w:val="20"/>
          <w:szCs w:val="20"/>
          <w:color w:val="auto"/>
        </w:rPr>
      </w:pPr>
      <w:r>
        <w:rPr>
          <w:rFonts w:ascii="Arial" w:cs="Arial" w:eastAsia="Arial" w:hAnsi="Arial"/>
          <w:sz w:val="13"/>
          <w:szCs w:val="13"/>
          <w:color w:val="auto"/>
        </w:rPr>
        <w:t>We are subject to financial market risks, including changes in interest rates. As of June 30, 2014, our debt portfolio consisted of 95% variable-rate investments (including 93% with a LIBOR or prime floor) and 5%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35" w:lineRule="exact"/>
        <w:rPr>
          <w:sz w:val="20"/>
          <w:szCs w:val="20"/>
          <w:color w:val="auto"/>
        </w:rPr>
      </w:pPr>
    </w:p>
    <w:p>
      <w:pPr>
        <w:ind w:right="260" w:firstLine="786"/>
        <w:spacing w:after="0" w:line="274" w:lineRule="auto"/>
        <w:rPr>
          <w:sz w:val="20"/>
          <w:szCs w:val="20"/>
          <w:color w:val="auto"/>
        </w:rPr>
      </w:pPr>
      <w:r>
        <w:rPr>
          <w:rFonts w:ascii="Arial" w:cs="Arial" w:eastAsia="Arial" w:hAnsi="Arial"/>
          <w:sz w:val="13"/>
          <w:szCs w:val="13"/>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5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3"/>
                <w:szCs w:val="13"/>
                <w:color w:val="auto"/>
                <w:w w:val="95"/>
              </w:rPr>
              <w:t>Change In Interest</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00" w:type="dxa"/>
            <w:vAlign w:val="bottom"/>
            <w:vMerge w:val="restart"/>
          </w:tcPr>
          <w:p>
            <w:pPr>
              <w:spacing w:after="0"/>
              <w:rPr>
                <w:sz w:val="20"/>
                <w:szCs w:val="20"/>
                <w:color w:val="auto"/>
              </w:rPr>
            </w:pPr>
            <w:r>
              <w:rPr>
                <w:rFonts w:ascii="Arial" w:cs="Arial" w:eastAsia="Arial" w:hAnsi="Arial"/>
                <w:sz w:val="13"/>
                <w:szCs w:val="13"/>
                <w:color w:val="auto"/>
                <w:w w:val="95"/>
              </w:rPr>
              <w:t>Change In Interest Rates</w:t>
            </w:r>
          </w:p>
        </w:tc>
        <w:tc>
          <w:tcPr>
            <w:tcW w:w="3580" w:type="dxa"/>
            <w:vAlign w:val="bottom"/>
          </w:tcPr>
          <w:p>
            <w:pPr>
              <w:spacing w:after="0"/>
              <w:rPr>
                <w:sz w:val="12"/>
                <w:szCs w:val="12"/>
                <w:color w:val="auto"/>
              </w:rPr>
            </w:pPr>
          </w:p>
        </w:tc>
        <w:tc>
          <w:tcPr>
            <w:tcW w:w="1860" w:type="dxa"/>
            <w:vAlign w:val="bottom"/>
            <w:gridSpan w:val="3"/>
          </w:tcPr>
          <w:p>
            <w:pPr>
              <w:spacing w:after="0"/>
              <w:rPr>
                <w:sz w:val="20"/>
                <w:szCs w:val="20"/>
                <w:color w:val="auto"/>
              </w:rPr>
            </w:pPr>
            <w:r>
              <w:rPr>
                <w:rFonts w:ascii="Arial" w:cs="Arial" w:eastAsia="Arial" w:hAnsi="Arial"/>
                <w:sz w:val="13"/>
                <w:szCs w:val="13"/>
                <w:color w:val="auto"/>
              </w:rPr>
              <w:t>Income, Net Of Interest</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Per Share</w:t>
            </w:r>
          </w:p>
        </w:tc>
        <w:tc>
          <w:tcPr>
            <w:tcW w:w="0" w:type="dxa"/>
            <w:vAlign w:val="bottom"/>
          </w:tcPr>
          <w:p>
            <w:pPr>
              <w:spacing w:after="0"/>
              <w:rPr>
                <w:sz w:val="1"/>
                <w:szCs w:val="1"/>
                <w:color w:val="auto"/>
              </w:rPr>
            </w:pPr>
          </w:p>
        </w:tc>
      </w:tr>
      <w:tr>
        <w:trPr>
          <w:trHeight w:val="151"/>
        </w:trPr>
        <w:tc>
          <w:tcPr>
            <w:tcW w:w="1400" w:type="dxa"/>
            <w:vAlign w:val="bottom"/>
            <w:tcBorders>
              <w:bottom w:val="single" w:sz="8" w:color="auto"/>
            </w:tcBorders>
            <w:vMerge w:val="continue"/>
          </w:tcPr>
          <w:p>
            <w:pPr>
              <w:spacing w:after="0"/>
              <w:rPr>
                <w:sz w:val="12"/>
                <w:szCs w:val="12"/>
                <w:color w:val="auto"/>
              </w:rPr>
            </w:pPr>
          </w:p>
        </w:tc>
        <w:tc>
          <w:tcPr>
            <w:tcW w:w="3580" w:type="dxa"/>
            <w:vAlign w:val="bottom"/>
          </w:tcPr>
          <w:p>
            <w:pPr>
              <w:spacing w:after="0"/>
              <w:rPr>
                <w:sz w:val="12"/>
                <w:szCs w:val="12"/>
                <w:color w:val="auto"/>
              </w:rPr>
            </w:pPr>
          </w:p>
        </w:tc>
        <w:tc>
          <w:tcPr>
            <w:tcW w:w="1860" w:type="dxa"/>
            <w:vAlign w:val="bottom"/>
            <w:gridSpan w:val="3"/>
          </w:tcPr>
          <w:p>
            <w:pPr>
              <w:ind w:left="20"/>
              <w:spacing w:after="0" w:line="146" w:lineRule="exact"/>
              <w:rPr>
                <w:sz w:val="20"/>
                <w:szCs w:val="20"/>
                <w:color w:val="auto"/>
              </w:rPr>
            </w:pPr>
            <w:r>
              <w:rPr>
                <w:rFonts w:ascii="Arial" w:cs="Arial" w:eastAsia="Arial" w:hAnsi="Arial"/>
                <w:sz w:val="13"/>
                <w:szCs w:val="13"/>
                <w:color w:val="auto"/>
              </w:rPr>
              <w:t>Expense (in thousands)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Up 1%</w:t>
            </w:r>
          </w:p>
        </w:tc>
        <w:tc>
          <w:tcPr>
            <w:tcW w:w="3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400" w:type="dxa"/>
            <w:vAlign w:val="bottom"/>
            <w:vMerge w:val="continue"/>
            <w:shd w:val="clear" w:color="auto" w:fill="CCEEFF"/>
          </w:tcPr>
          <w:p>
            <w:pPr>
              <w:spacing w:after="0"/>
              <w:rPr>
                <w:sz w:val="11"/>
                <w:szCs w:val="11"/>
                <w:color w:val="auto"/>
              </w:rPr>
            </w:pPr>
          </w:p>
        </w:tc>
        <w:tc>
          <w:tcPr>
            <w:tcW w:w="35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(1,455)</w:t>
            </w:r>
          </w:p>
        </w:tc>
        <w:tc>
          <w:tcPr>
            <w:tcW w:w="58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jc w:val="right"/>
              <w:ind w:right="53"/>
              <w:spacing w:after="0" w:line="136" w:lineRule="exact"/>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20"/>
                <w:szCs w:val="20"/>
                <w:color w:val="auto"/>
              </w:rPr>
            </w:pPr>
            <w:r>
              <w:rPr>
                <w:rFonts w:ascii="Arial" w:cs="Arial" w:eastAsia="Arial" w:hAnsi="Arial"/>
                <w:sz w:val="13"/>
                <w:szCs w:val="13"/>
                <w:color w:val="auto"/>
              </w:rPr>
              <w:t>Up 2%</w:t>
            </w:r>
          </w:p>
        </w:tc>
        <w:tc>
          <w:tcPr>
            <w:tcW w:w="3680" w:type="dxa"/>
            <w:vAlign w:val="bottom"/>
            <w:gridSpan w:val="2"/>
          </w:tcPr>
          <w:p>
            <w:pPr>
              <w:ind w:left="3580"/>
              <w:spacing w:after="0"/>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580"/>
              <w:spacing w:after="0"/>
              <w:rPr>
                <w:sz w:val="20"/>
                <w:szCs w:val="20"/>
                <w:color w:val="auto"/>
              </w:rPr>
            </w:pPr>
            <w:r>
              <w:rPr>
                <w:rFonts w:ascii="Arial" w:cs="Arial" w:eastAsia="Arial" w:hAnsi="Arial"/>
                <w:sz w:val="13"/>
                <w:szCs w:val="13"/>
                <w:color w:val="auto"/>
              </w:rPr>
              <w:t>71</w:t>
            </w:r>
          </w:p>
        </w:tc>
        <w:tc>
          <w:tcPr>
            <w:tcW w:w="7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Up 3%</w:t>
            </w:r>
          </w:p>
        </w:tc>
        <w:tc>
          <w:tcPr>
            <w:tcW w:w="3680" w:type="dxa"/>
            <w:vAlign w:val="bottom"/>
            <w:gridSpan w:val="2"/>
            <w:shd w:val="clear" w:color="auto" w:fill="CCEEFF"/>
          </w:tcPr>
          <w:p>
            <w:pPr>
              <w:ind w:left="3580"/>
              <w:spacing w:after="0"/>
              <w:rPr>
                <w:sz w:val="20"/>
                <w:szCs w:val="20"/>
                <w:color w:val="auto"/>
              </w:rPr>
            </w:pPr>
            <w:r>
              <w:rPr>
                <w:rFonts w:ascii="Arial" w:cs="Arial" w:eastAsia="Arial" w:hAnsi="Arial"/>
                <w:sz w:val="13"/>
                <w:szCs w:val="13"/>
                <w:color w:val="auto"/>
              </w:rPr>
              <w:t>$</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2,005</w:t>
            </w:r>
          </w:p>
        </w:tc>
        <w:tc>
          <w:tcPr>
            <w:tcW w:w="74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172"/>
        </w:trPr>
        <w:tc>
          <w:tcPr>
            <w:tcW w:w="1400" w:type="dxa"/>
            <w:vAlign w:val="bottom"/>
          </w:tcPr>
          <w:p>
            <w:pPr>
              <w:spacing w:after="0"/>
              <w:rPr>
                <w:sz w:val="20"/>
                <w:szCs w:val="20"/>
                <w:color w:val="auto"/>
              </w:rPr>
            </w:pPr>
            <w:r>
              <w:rPr>
                <w:rFonts w:ascii="Arial" w:cs="Arial" w:eastAsia="Arial" w:hAnsi="Arial"/>
                <w:sz w:val="13"/>
                <w:szCs w:val="13"/>
                <w:color w:val="auto"/>
              </w:rPr>
              <w:t>Up 4%</w:t>
            </w:r>
          </w:p>
        </w:tc>
        <w:tc>
          <w:tcPr>
            <w:tcW w:w="3680" w:type="dxa"/>
            <w:vAlign w:val="bottom"/>
            <w:gridSpan w:val="2"/>
          </w:tcPr>
          <w:p>
            <w:pPr>
              <w:ind w:left="3580"/>
              <w:spacing w:after="0"/>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580"/>
              <w:spacing w:after="0"/>
              <w:rPr>
                <w:sz w:val="20"/>
                <w:szCs w:val="20"/>
                <w:color w:val="auto"/>
              </w:rPr>
            </w:pPr>
            <w:r>
              <w:rPr>
                <w:rFonts w:ascii="Arial" w:cs="Arial" w:eastAsia="Arial" w:hAnsi="Arial"/>
                <w:sz w:val="13"/>
                <w:szCs w:val="13"/>
                <w:color w:val="auto"/>
              </w:rPr>
              <w:t>3,938</w:t>
            </w:r>
          </w:p>
        </w:tc>
        <w:tc>
          <w:tcPr>
            <w:tcW w:w="7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0.26</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right="320" w:firstLine="786"/>
        <w:spacing w:after="0" w:line="256" w:lineRule="auto"/>
        <w:rPr>
          <w:sz w:val="20"/>
          <w:szCs w:val="20"/>
          <w:color w:val="auto"/>
        </w:rPr>
      </w:pPr>
      <w:r>
        <w:rPr>
          <w:rFonts w:ascii="Arial" w:cs="Arial" w:eastAsia="Arial" w:hAnsi="Arial"/>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29" w:lineRule="exact"/>
        <w:rPr>
          <w:sz w:val="20"/>
          <w:szCs w:val="20"/>
          <w:color w:val="auto"/>
        </w:rPr>
      </w:pPr>
    </w:p>
    <w:p>
      <w:pPr>
        <w:ind w:firstLine="786"/>
        <w:spacing w:after="0" w:line="317" w:lineRule="auto"/>
        <w:rPr>
          <w:sz w:val="20"/>
          <w:szCs w:val="20"/>
          <w:color w:val="auto"/>
        </w:rPr>
      </w:pPr>
      <w:r>
        <w:rPr>
          <w:rFonts w:ascii="Arial" w:cs="Arial" w:eastAsia="Arial" w:hAnsi="Arial"/>
          <w:sz w:val="12"/>
          <w:szCs w:val="12"/>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94" w:lineRule="exact"/>
        <w:rPr>
          <w:sz w:val="20"/>
          <w:szCs w:val="20"/>
          <w:color w:val="auto"/>
        </w:rPr>
      </w:pPr>
    </w:p>
    <w:p>
      <w:pPr>
        <w:ind w:right="60" w:firstLine="786"/>
        <w:spacing w:after="0" w:line="256" w:lineRule="auto"/>
        <w:rPr>
          <w:sz w:val="20"/>
          <w:szCs w:val="20"/>
          <w:color w:val="auto"/>
        </w:rPr>
      </w:pPr>
      <w:r>
        <w:rPr>
          <w:rFonts w:ascii="Arial" w:cs="Arial" w:eastAsia="Arial" w:hAnsi="Arial"/>
          <w:sz w:val="13"/>
          <w:szCs w:val="13"/>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the benefits of lower interest rates with respect to our portfolio of investments with fixed interest rates. During the periods covered by this Report, we did not engage in interest rate hedging activities.</w:t>
      </w:r>
    </w:p>
    <w:p>
      <w:pPr>
        <w:spacing w:after="0" w:line="330"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color w:val="auto"/>
        </w:rPr>
        <w:t>Controls and Procedures</w:t>
      </w:r>
    </w:p>
    <w:p>
      <w:pPr>
        <w:spacing w:after="0" w:line="82" w:lineRule="exact"/>
        <w:rPr>
          <w:sz w:val="20"/>
          <w:szCs w:val="20"/>
          <w:color w:val="auto"/>
        </w:rPr>
      </w:pPr>
    </w:p>
    <w:p>
      <w:pPr>
        <w:ind w:firstLine="786"/>
        <w:spacing w:after="0" w:line="244"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38" w:lineRule="exact"/>
        <w:rPr>
          <w:sz w:val="20"/>
          <w:szCs w:val="20"/>
          <w:color w:val="auto"/>
        </w:rPr>
      </w:pPr>
    </w:p>
    <w:p>
      <w:pPr>
        <w:ind w:right="440" w:firstLine="786"/>
        <w:spacing w:after="0" w:line="274" w:lineRule="auto"/>
        <w:rPr>
          <w:sz w:val="20"/>
          <w:szCs w:val="20"/>
          <w:color w:val="auto"/>
        </w:rPr>
      </w:pPr>
      <w:r>
        <w:rPr>
          <w:rFonts w:ascii="Arial" w:cs="Arial" w:eastAsia="Arial" w:hAnsi="Arial"/>
          <w:sz w:val="13"/>
          <w:szCs w:val="13"/>
          <w:color w:val="auto"/>
        </w:rPr>
        <w:t>There have been no changes in our internal control over financial reporting that occurred during the quarter ended June 30, 2014 that have materially affected, or are reasonably likely to materially affect, our internal control over financial reporting.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 – OTHER INFORMATION</w:t>
      </w:r>
    </w:p>
    <w:p>
      <w:pPr>
        <w:spacing w:after="0" w:line="80"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color w:val="auto"/>
        </w:rPr>
        <w:t>Legal Proceedings</w:t>
      </w:r>
    </w:p>
    <w:p>
      <w:pPr>
        <w:spacing w:after="0" w:line="82" w:lineRule="exact"/>
        <w:rPr>
          <w:sz w:val="20"/>
          <w:szCs w:val="20"/>
          <w:color w:val="auto"/>
        </w:rPr>
      </w:pPr>
    </w:p>
    <w:p>
      <w:pPr>
        <w:ind w:firstLine="786"/>
        <w:spacing w:after="0" w:line="250" w:lineRule="auto"/>
        <w:rPr>
          <w:sz w:val="20"/>
          <w:szCs w:val="20"/>
          <w:color w:val="auto"/>
        </w:rPr>
      </w:pPr>
      <w:r>
        <w:rPr>
          <w:rFonts w:ascii="Arial" w:cs="Arial" w:eastAsia="Arial" w:hAnsi="Arial"/>
          <w:sz w:val="13"/>
          <w:szCs w:val="13"/>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our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53"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82" w:lineRule="exact"/>
        <w:rPr>
          <w:sz w:val="20"/>
          <w:szCs w:val="20"/>
          <w:color w:val="auto"/>
        </w:rPr>
      </w:pPr>
    </w:p>
    <w:p>
      <w:pPr>
        <w:ind w:firstLine="786"/>
        <w:spacing w:after="0" w:line="250" w:lineRule="auto"/>
        <w:rPr>
          <w:sz w:val="20"/>
          <w:szCs w:val="20"/>
          <w:color w:val="auto"/>
        </w:rPr>
      </w:pPr>
      <w:r>
        <w:rPr>
          <w:rFonts w:ascii="Arial" w:cs="Arial" w:eastAsia="Arial" w:hAnsi="Arial"/>
          <w:sz w:val="13"/>
          <w:szCs w:val="13"/>
          <w:color w:val="auto"/>
        </w:rPr>
        <w:t>In addition to the other information set forth in this Report, you should consider carefully the factors discussed in Part I “Item 1A. Risk Factors” in our Annual Report on Form 10-K for the fiscal year ended September 30, 2013, which could materially affect our business, financial condition and/or operating results. The risks described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253"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color w:val="auto"/>
        </w:rPr>
        <w:t>Unregistered Sales of Equity Securities and Use of Proceeds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None.</w:t>
      </w:r>
    </w:p>
    <w:p>
      <w:pPr>
        <w:spacing w:after="0" w:line="28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color w:val="auto"/>
        </w:rPr>
        <w:t>Defaults Upon Senior Securities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None.</w:t>
      </w:r>
    </w:p>
    <w:p>
      <w:pPr>
        <w:spacing w:after="0" w:line="28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color w:val="auto"/>
        </w:rPr>
        <w:t>Mine Safety Disclosures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Not Applicable.</w:t>
      </w:r>
    </w:p>
    <w:p>
      <w:pPr>
        <w:spacing w:after="0" w:line="28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color w:val="auto"/>
        </w:rPr>
        <w:t>Other Information</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None.</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Unless specifically indicated otherwise, the following exhibits are incorporated by reference to exhibits previously filed with the SEC:</w:t>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440" w:type="dxa"/>
            <w:vAlign w:val="bottom"/>
          </w:tcPr>
          <w:p>
            <w:pPr>
              <w:jc w:val="right"/>
              <w:ind w:right="213"/>
              <w:spacing w:after="0"/>
              <w:rPr>
                <w:sz w:val="20"/>
                <w:szCs w:val="20"/>
                <w:color w:val="auto"/>
              </w:rPr>
            </w:pPr>
            <w:r>
              <w:rPr>
                <w:rFonts w:ascii="Arial" w:cs="Arial" w:eastAsia="Arial" w:hAnsi="Arial"/>
                <w:sz w:val="13"/>
                <w:szCs w:val="13"/>
                <w:color w:val="auto"/>
                <w:w w:val="77"/>
              </w:rPr>
              <w:t>3.1</w:t>
            </w:r>
          </w:p>
        </w:tc>
        <w:tc>
          <w:tcPr>
            <w:tcW w:w="10540" w:type="dxa"/>
            <w:vAlign w:val="bottom"/>
          </w:tcPr>
          <w:p>
            <w:pPr>
              <w:ind w:left="260"/>
              <w:spacing w:after="0"/>
              <w:rPr>
                <w:sz w:val="20"/>
                <w:szCs w:val="20"/>
                <w:color w:val="auto"/>
              </w:rPr>
            </w:pPr>
            <w:r>
              <w:rPr>
                <w:rFonts w:ascii="Arial" w:cs="Arial" w:eastAsia="Arial" w:hAnsi="Arial"/>
                <w:sz w:val="13"/>
                <w:szCs w:val="13"/>
                <w:color w:val="auto"/>
                <w:w w:val="94"/>
              </w:rPr>
              <w:t>Articles of Amendment and Restatement of the Registrant (Incorporated by reference to the Registrant’s Pre-Effective Amendment No. 3 to the Registration Statement on Form N-2 (File No.</w:t>
            </w:r>
          </w:p>
        </w:tc>
      </w:tr>
      <w:tr>
        <w:trPr>
          <w:trHeight w:val="172"/>
        </w:trPr>
        <w:tc>
          <w:tcPr>
            <w:tcW w:w="440" w:type="dxa"/>
            <w:vAlign w:val="bottom"/>
          </w:tcPr>
          <w:p>
            <w:pPr>
              <w:spacing w:after="0"/>
              <w:rPr>
                <w:sz w:val="14"/>
                <w:szCs w:val="14"/>
                <w:color w:val="auto"/>
              </w:rPr>
            </w:pPr>
          </w:p>
        </w:tc>
        <w:tc>
          <w:tcPr>
            <w:tcW w:w="10540" w:type="dxa"/>
            <w:vAlign w:val="bottom"/>
          </w:tcPr>
          <w:p>
            <w:pPr>
              <w:ind w:left="260"/>
              <w:spacing w:after="0"/>
              <w:rPr>
                <w:sz w:val="20"/>
                <w:szCs w:val="20"/>
                <w:color w:val="auto"/>
              </w:rPr>
            </w:pPr>
            <w:r>
              <w:rPr>
                <w:rFonts w:ascii="Arial" w:cs="Arial" w:eastAsia="Arial" w:hAnsi="Arial"/>
                <w:sz w:val="13"/>
                <w:szCs w:val="13"/>
                <w:color w:val="auto"/>
              </w:rPr>
              <w:t>333-170243), filed on March 29, 2011).</w:t>
            </w:r>
          </w:p>
        </w:tc>
      </w:tr>
      <w:tr>
        <w:trPr>
          <w:trHeight w:val="257"/>
        </w:trPr>
        <w:tc>
          <w:tcPr>
            <w:tcW w:w="440" w:type="dxa"/>
            <w:vAlign w:val="bottom"/>
          </w:tcPr>
          <w:p>
            <w:pPr>
              <w:jc w:val="right"/>
              <w:ind w:right="213"/>
              <w:spacing w:after="0"/>
              <w:rPr>
                <w:sz w:val="20"/>
                <w:szCs w:val="20"/>
                <w:color w:val="auto"/>
              </w:rPr>
            </w:pPr>
            <w:r>
              <w:rPr>
                <w:rFonts w:ascii="Arial" w:cs="Arial" w:eastAsia="Arial" w:hAnsi="Arial"/>
                <w:sz w:val="13"/>
                <w:szCs w:val="13"/>
                <w:color w:val="auto"/>
                <w:w w:val="77"/>
              </w:rPr>
              <w:t>3.2</w:t>
            </w:r>
          </w:p>
        </w:tc>
        <w:tc>
          <w:tcPr>
            <w:tcW w:w="10540" w:type="dxa"/>
            <w:vAlign w:val="bottom"/>
          </w:tcPr>
          <w:p>
            <w:pPr>
              <w:ind w:left="260"/>
              <w:spacing w:after="0"/>
              <w:rPr>
                <w:sz w:val="20"/>
                <w:szCs w:val="20"/>
                <w:color w:val="auto"/>
              </w:rPr>
            </w:pPr>
            <w:r>
              <w:rPr>
                <w:rFonts w:ascii="Arial" w:cs="Arial" w:eastAsia="Arial" w:hAnsi="Arial"/>
                <w:sz w:val="13"/>
                <w:szCs w:val="13"/>
                <w:color w:val="auto"/>
              </w:rPr>
              <w:t>Amended and Restated Bylaws of the Registrant (Incorporated by reference to the Registrant’s Annual Report on Form 10-K (File No. 814-00891), filed on November 14, 2013).</w:t>
            </w:r>
          </w:p>
        </w:tc>
      </w:tr>
      <w:tr>
        <w:trPr>
          <w:trHeight w:val="233"/>
        </w:trPr>
        <w:tc>
          <w:tcPr>
            <w:tcW w:w="440" w:type="dxa"/>
            <w:vAlign w:val="bottom"/>
          </w:tcPr>
          <w:p>
            <w:pPr>
              <w:jc w:val="right"/>
              <w:ind w:right="213"/>
              <w:spacing w:after="0"/>
              <w:rPr>
                <w:sz w:val="20"/>
                <w:szCs w:val="20"/>
                <w:color w:val="auto"/>
              </w:rPr>
            </w:pPr>
            <w:r>
              <w:rPr>
                <w:rFonts w:ascii="Arial" w:cs="Arial" w:eastAsia="Arial" w:hAnsi="Arial"/>
                <w:sz w:val="13"/>
                <w:szCs w:val="13"/>
                <w:color w:val="auto"/>
                <w:w w:val="77"/>
              </w:rPr>
              <w:t>4.1</w:t>
            </w:r>
          </w:p>
        </w:tc>
        <w:tc>
          <w:tcPr>
            <w:tcW w:w="10540" w:type="dxa"/>
            <w:vAlign w:val="bottom"/>
          </w:tcPr>
          <w:p>
            <w:pPr>
              <w:ind w:left="260"/>
              <w:spacing w:after="0"/>
              <w:rPr>
                <w:sz w:val="20"/>
                <w:szCs w:val="20"/>
                <w:color w:val="auto"/>
              </w:rPr>
            </w:pPr>
            <w:r>
              <w:rPr>
                <w:rFonts w:ascii="Arial" w:cs="Arial" w:eastAsia="Arial" w:hAnsi="Arial"/>
                <w:sz w:val="13"/>
                <w:szCs w:val="13"/>
                <w:color w:val="auto"/>
                <w:w w:val="96"/>
              </w:rPr>
              <w:t>Form of Share Certificate (Incorporated by reference to the Registrant’s Pre-Effective Amendment No. 5 to the Registration Statement on Form N-2 (File No. 333-170243), filed on April 5,</w:t>
            </w:r>
          </w:p>
        </w:tc>
      </w:tr>
      <w:tr>
        <w:trPr>
          <w:trHeight w:val="172"/>
        </w:trPr>
        <w:tc>
          <w:tcPr>
            <w:tcW w:w="440" w:type="dxa"/>
            <w:vAlign w:val="bottom"/>
          </w:tcPr>
          <w:p>
            <w:pPr>
              <w:spacing w:after="0"/>
              <w:rPr>
                <w:sz w:val="14"/>
                <w:szCs w:val="14"/>
                <w:color w:val="auto"/>
              </w:rPr>
            </w:pPr>
          </w:p>
        </w:tc>
        <w:tc>
          <w:tcPr>
            <w:tcW w:w="10540" w:type="dxa"/>
            <w:vAlign w:val="bottom"/>
          </w:tcPr>
          <w:p>
            <w:pPr>
              <w:ind w:left="260"/>
              <w:spacing w:after="0"/>
              <w:rPr>
                <w:sz w:val="20"/>
                <w:szCs w:val="20"/>
                <w:color w:val="auto"/>
              </w:rPr>
            </w:pPr>
            <w:r>
              <w:rPr>
                <w:rFonts w:ascii="Arial" w:cs="Arial" w:eastAsia="Arial" w:hAnsi="Arial"/>
                <w:sz w:val="13"/>
                <w:szCs w:val="13"/>
                <w:color w:val="auto"/>
              </w:rPr>
              <w:t>2011).</w:t>
            </w:r>
          </w:p>
        </w:tc>
      </w:tr>
    </w:tbl>
    <w:p>
      <w:pPr>
        <w:spacing w:after="0" w:line="84" w:lineRule="exact"/>
        <w:rPr>
          <w:sz w:val="20"/>
          <w:szCs w:val="20"/>
          <w:color w:val="auto"/>
        </w:rPr>
      </w:pPr>
    </w:p>
    <w:p>
      <w:pPr>
        <w:ind w:left="780" w:hanging="772"/>
        <w:spacing w:after="0"/>
        <w:tabs>
          <w:tab w:leader="none" w:pos="7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Computation of Per Share Earnings (included in the notes to the Consolidated Financial Statements contained in this Report).</w:t>
      </w:r>
    </w:p>
    <w:p>
      <w:pPr>
        <w:spacing w:after="0" w:line="107"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31.1 *</w:t>
      </w:r>
      <w:r>
        <w:rPr>
          <w:rFonts w:ascii="Arial" w:cs="Arial" w:eastAsia="Arial" w:hAnsi="Arial"/>
          <w:sz w:val="12"/>
          <w:szCs w:val="12"/>
          <w:color w:val="auto"/>
        </w:rPr>
        <w:t>Certification of Chief Executive Officer pursuant to Rule 13a-14 of the Securities Exchange Act of 1934, as amended.</w:t>
      </w:r>
    </w:p>
    <w:p>
      <w:pPr>
        <w:spacing w:after="0" w:line="107"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31.2 *</w:t>
      </w:r>
      <w:r>
        <w:rPr>
          <w:rFonts w:ascii="Arial" w:cs="Arial" w:eastAsia="Arial" w:hAnsi="Arial"/>
          <w:sz w:val="12"/>
          <w:szCs w:val="12"/>
          <w:color w:val="auto"/>
        </w:rPr>
        <w:t>Certification of Chief Financial Officer pursuant to Rule 13a-14 of the Securities Exchange Act of 1934, as amended.</w:t>
      </w:r>
    </w:p>
    <w:p>
      <w:pPr>
        <w:spacing w:after="0" w:line="107"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32.1 *</w:t>
      </w:r>
      <w:r>
        <w:rPr>
          <w:rFonts w:ascii="Arial" w:cs="Arial" w:eastAsia="Arial" w:hAnsi="Arial"/>
          <w:sz w:val="12"/>
          <w:szCs w:val="12"/>
          <w:color w:val="auto"/>
        </w:rPr>
        <w:t>Certification of Chief Executive Officer pursuant to section 906 of The Sarbanes-Oxley Act of 2002.</w:t>
      </w:r>
    </w:p>
    <w:p>
      <w:pPr>
        <w:spacing w:after="0" w:line="107"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32.2 *</w:t>
      </w:r>
      <w:r>
        <w:rPr>
          <w:rFonts w:ascii="Arial" w:cs="Arial" w:eastAsia="Arial" w:hAnsi="Arial"/>
          <w:sz w:val="12"/>
          <w:szCs w:val="12"/>
          <w:color w:val="auto"/>
        </w:rPr>
        <w:t>Certification of Chief Financial Officer pursuant to section 906 of The Sarbanes-Oxley Act of 2002.</w:t>
      </w:r>
    </w:p>
    <w:p>
      <w:pPr>
        <w:spacing w:after="0" w:line="107"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2"/>
          <w:szCs w:val="12"/>
          <w:color w:val="auto"/>
        </w:rPr>
        <w:t>Privacy Policy of the Registrant (Incorporated by reference to the Registrant’s Annual Report on Form 10-K (File No. 814-00891), filed on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12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19"/>
        <w:spacing w:after="0"/>
        <w:rPr>
          <w:sz w:val="20"/>
          <w:szCs w:val="20"/>
          <w:color w:val="auto"/>
        </w:rPr>
      </w:pPr>
      <w:r>
        <w:rPr>
          <w:rFonts w:ascii="Arial" w:cs="Arial" w:eastAsia="Arial" w:hAnsi="Arial"/>
          <w:sz w:val="13"/>
          <w:szCs w:val="13"/>
          <w:b w:val="1"/>
          <w:bCs w:val="1"/>
          <w:color w:val="auto"/>
        </w:rPr>
        <w:t>SIGNATURES</w:t>
      </w:r>
    </w:p>
    <w:p>
      <w:pPr>
        <w:spacing w:after="0" w:line="163" w:lineRule="exact"/>
        <w:rPr>
          <w:sz w:val="20"/>
          <w:szCs w:val="20"/>
          <w:color w:val="auto"/>
        </w:rPr>
      </w:pPr>
    </w:p>
    <w:p>
      <w:pPr>
        <w:ind w:firstLine="786"/>
        <w:spacing w:after="0" w:line="274" w:lineRule="auto"/>
        <w:rPr>
          <w:sz w:val="20"/>
          <w:szCs w:val="20"/>
          <w:color w:val="auto"/>
        </w:rPr>
      </w:pPr>
      <w:r>
        <w:rPr>
          <w:rFonts w:ascii="Arial" w:cs="Arial" w:eastAsia="Arial" w:hAnsi="Arial"/>
          <w:sz w:val="13"/>
          <w:szCs w:val="13"/>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58"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PENNANTPARK FLOATING RATE CAPITAL LTD.</w:t>
      </w:r>
    </w:p>
    <w:p>
      <w:pPr>
        <w:spacing w:after="0" w:line="215" w:lineRule="exact"/>
        <w:rPr>
          <w:sz w:val="20"/>
          <w:szCs w:val="20"/>
          <w:color w:val="auto"/>
        </w:rPr>
      </w:pPr>
    </w:p>
    <w:p>
      <w:pPr>
        <w:spacing w:after="0"/>
        <w:tabs>
          <w:tab w:leader="none" w:pos="5640" w:val="left"/>
          <w:tab w:leader="none" w:pos="7900" w:val="left"/>
          <w:tab w:leader="none" w:pos="8160" w:val="left"/>
        </w:tabs>
        <w:rPr>
          <w:sz w:val="20"/>
          <w:szCs w:val="20"/>
          <w:color w:val="auto"/>
        </w:rPr>
      </w:pPr>
      <w:r>
        <w:rPr>
          <w:rFonts w:ascii="Arial" w:cs="Arial" w:eastAsia="Arial" w:hAnsi="Arial"/>
          <w:sz w:val="13"/>
          <w:szCs w:val="13"/>
          <w:color w:val="auto"/>
        </w:rPr>
        <w:t>Date: August 6, 2014</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w:t>
      </w:r>
      <w:r>
        <w:rPr>
          <w:sz w:val="20"/>
          <w:szCs w:val="20"/>
          <w:color w:val="auto"/>
        </w:rPr>
        <w:tab/>
      </w:r>
      <w:r>
        <w:rPr>
          <w:rFonts w:ascii="Arial" w:cs="Arial" w:eastAsia="Arial" w:hAnsi="Arial"/>
          <w:sz w:val="12"/>
          <w:szCs w:val="12"/>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4" w:lineRule="exact"/>
        <w:rPr>
          <w:sz w:val="20"/>
          <w:szCs w:val="20"/>
          <w:color w:val="auto"/>
        </w:rPr>
      </w:pPr>
    </w:p>
    <w:p>
      <w:pPr>
        <w:jc w:val="center"/>
        <w:ind w:left="5960"/>
        <w:spacing w:after="0"/>
        <w:rPr>
          <w:sz w:val="20"/>
          <w:szCs w:val="20"/>
          <w:color w:val="auto"/>
        </w:rPr>
      </w:pPr>
      <w:r>
        <w:rPr>
          <w:rFonts w:ascii="Arial" w:cs="Arial" w:eastAsia="Arial" w:hAnsi="Arial"/>
          <w:sz w:val="13"/>
          <w:szCs w:val="13"/>
          <w:b w:val="1"/>
          <w:bCs w:val="1"/>
          <w:color w:val="auto"/>
        </w:rPr>
        <w:t>Arthur H. Penn</w:t>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3"/>
          <w:szCs w:val="13"/>
          <w:b w:val="1"/>
          <w:bCs w:val="1"/>
          <w:color w:val="auto"/>
        </w:rPr>
        <w:t>Chairman of the Board of Directors and Chief Executive Officer</w:t>
      </w:r>
    </w:p>
    <w:p>
      <w:pPr>
        <w:jc w:val="center"/>
        <w:ind w:left="5960"/>
        <w:spacing w:after="0"/>
        <w:rPr>
          <w:sz w:val="20"/>
          <w:szCs w:val="20"/>
          <w:color w:val="auto"/>
        </w:rPr>
      </w:pPr>
      <w:r>
        <w:rPr>
          <w:rFonts w:ascii="Arial" w:cs="Arial" w:eastAsia="Arial" w:hAnsi="Arial"/>
          <w:sz w:val="13"/>
          <w:szCs w:val="13"/>
          <w:b w:val="1"/>
          <w:bCs w:val="1"/>
          <w:color w:val="auto"/>
        </w:rPr>
        <w:t>(Principal Executive Officer)</w:t>
      </w:r>
    </w:p>
    <w:p>
      <w:pPr>
        <w:spacing w:after="0" w:line="217" w:lineRule="exact"/>
        <w:rPr>
          <w:sz w:val="20"/>
          <w:szCs w:val="20"/>
          <w:color w:val="auto"/>
        </w:rPr>
      </w:pPr>
    </w:p>
    <w:p>
      <w:pPr>
        <w:spacing w:after="0"/>
        <w:tabs>
          <w:tab w:leader="none" w:pos="5640" w:val="left"/>
          <w:tab w:leader="none" w:pos="8040" w:val="left"/>
          <w:tab w:leader="none" w:pos="8300" w:val="left"/>
        </w:tabs>
        <w:rPr>
          <w:sz w:val="20"/>
          <w:szCs w:val="20"/>
          <w:color w:val="auto"/>
        </w:rPr>
      </w:pPr>
      <w:r>
        <w:rPr>
          <w:rFonts w:ascii="Arial" w:cs="Arial" w:eastAsia="Arial" w:hAnsi="Arial"/>
          <w:sz w:val="13"/>
          <w:szCs w:val="13"/>
          <w:color w:val="auto"/>
        </w:rPr>
        <w:t>Date: August 6, 2014</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w:t>
        <w:tab/>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4" w:lineRule="exact"/>
        <w:rPr>
          <w:sz w:val="20"/>
          <w:szCs w:val="20"/>
          <w:color w:val="auto"/>
        </w:rPr>
      </w:pPr>
    </w:p>
    <w:p>
      <w:pPr>
        <w:jc w:val="center"/>
        <w:ind w:left="5960"/>
        <w:spacing w:after="0"/>
        <w:rPr>
          <w:sz w:val="20"/>
          <w:szCs w:val="20"/>
          <w:color w:val="auto"/>
        </w:rPr>
      </w:pPr>
      <w:r>
        <w:rPr>
          <w:rFonts w:ascii="Arial" w:cs="Arial" w:eastAsia="Arial" w:hAnsi="Arial"/>
          <w:sz w:val="13"/>
          <w:szCs w:val="13"/>
          <w:b w:val="1"/>
          <w:bCs w:val="1"/>
          <w:color w:val="auto"/>
        </w:rPr>
        <w:t>Aviv Efrat</w:t>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3"/>
          <w:szCs w:val="13"/>
          <w:b w:val="1"/>
          <w:bCs w:val="1"/>
          <w:color w:val="auto"/>
        </w:rPr>
        <w:t>Chief Financial Officer and Treasurer</w:t>
      </w:r>
    </w:p>
    <w:p>
      <w:pPr>
        <w:jc w:val="center"/>
        <w:ind w:left="5960"/>
        <w:spacing w:after="0"/>
        <w:rPr>
          <w:sz w:val="20"/>
          <w:szCs w:val="20"/>
          <w:color w:val="auto"/>
        </w:rPr>
      </w:pPr>
      <w:r>
        <w:rPr>
          <w:rFonts w:ascii="Arial" w:cs="Arial" w:eastAsia="Arial" w:hAnsi="Arial"/>
          <w:sz w:val="13"/>
          <w:szCs w:val="13"/>
          <w:b w:val="1"/>
          <w:bCs w:val="1"/>
          <w:color w:val="auto"/>
        </w:rPr>
        <w:t>(Principal Financial and Accounting Officer)</w:t>
      </w:r>
    </w:p>
    <w:p>
      <w:pPr>
        <w:spacing w:after="0" w:line="14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0740"/>
          </w:cols>
          <w:pgMar w:left="320" w:top="459" w:right="839" w:bottom="1440" w:gutter="0" w:footer="0" w:header="0"/>
        </w:sectPr>
      </w:pPr>
    </w:p>
    <w:bookmarkStart w:id="35" w:name="page36"/>
    <w:bookmarkEnd w:id="35"/>
    <w:p>
      <w:pPr>
        <w:jc w:val="right"/>
        <w:spacing w:after="0"/>
        <w:rPr>
          <w:sz w:val="20"/>
          <w:szCs w:val="20"/>
          <w:color w:val="auto"/>
        </w:rPr>
      </w:pPr>
      <w:r>
        <w:rPr>
          <w:rFonts w:ascii="Arial" w:cs="Arial" w:eastAsia="Arial" w:hAnsi="Arial"/>
          <w:sz w:val="13"/>
          <w:szCs w:val="13"/>
          <w:b w:val="1"/>
          <w:bCs w:val="1"/>
          <w:color w:val="auto"/>
        </w:rPr>
        <w:t>EXHIBIT 31.1</w:t>
      </w:r>
    </w:p>
    <w:p>
      <w:pPr>
        <w:spacing w:after="0" w:line="16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CHIEF EXECUTIVE OFFICER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I, Arthur H. Penn, Chief Executive Officer of PennantPark Floating Rate Capital Ltd., certify that:</w:t>
      </w:r>
    </w:p>
    <w:p>
      <w:pPr>
        <w:spacing w:after="0" w:line="161" w:lineRule="exact"/>
        <w:rPr>
          <w:sz w:val="20"/>
          <w:szCs w:val="20"/>
          <w:color w:val="auto"/>
        </w:rPr>
      </w:pPr>
    </w:p>
    <w:p>
      <w:pPr>
        <w:ind w:left="480" w:hanging="135"/>
        <w:spacing w:after="0"/>
        <w:tabs>
          <w:tab w:leader="none" w:pos="4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 have reviewed this Report on Form 10-Q of PennantPark Floating Rate Capital Ltd.;</w:t>
      </w:r>
    </w:p>
    <w:p>
      <w:pPr>
        <w:spacing w:after="0" w:line="161" w:lineRule="exact"/>
        <w:rPr>
          <w:rFonts w:ascii="Arial" w:cs="Arial" w:eastAsia="Arial" w:hAnsi="Arial"/>
          <w:sz w:val="13"/>
          <w:szCs w:val="13"/>
          <w:color w:val="auto"/>
        </w:rPr>
      </w:pPr>
    </w:p>
    <w:p>
      <w:pPr>
        <w:ind w:right="340" w:firstLine="345"/>
        <w:spacing w:after="0" w:line="274" w:lineRule="auto"/>
        <w:tabs>
          <w:tab w:leader="none" w:pos="472" w:val="left"/>
        </w:tabs>
        <w:numPr>
          <w:ilvl w:val="0"/>
          <w:numId w:val="1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3"/>
          <w:szCs w:val="13"/>
          <w:color w:val="auto"/>
        </w:rPr>
      </w:pPr>
    </w:p>
    <w:p>
      <w:pPr>
        <w:ind w:right="120" w:firstLine="345"/>
        <w:spacing w:after="0" w:line="274" w:lineRule="auto"/>
        <w:tabs>
          <w:tab w:leader="none" w:pos="472" w:val="left"/>
        </w:tabs>
        <w:numPr>
          <w:ilvl w:val="0"/>
          <w:numId w:val="1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3"/>
          <w:szCs w:val="13"/>
          <w:color w:val="auto"/>
        </w:rPr>
      </w:pPr>
    </w:p>
    <w:p>
      <w:pPr>
        <w:ind w:right="280" w:firstLine="345"/>
        <w:spacing w:after="0" w:line="274" w:lineRule="auto"/>
        <w:tabs>
          <w:tab w:leader="none" w:pos="472"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3"/>
          <w:szCs w:val="13"/>
          <w:color w:val="auto"/>
        </w:rPr>
      </w:pPr>
    </w:p>
    <w:p>
      <w:pPr>
        <w:ind w:right="100" w:firstLine="794"/>
        <w:spacing w:after="0" w:line="274" w:lineRule="auto"/>
        <w:tabs>
          <w:tab w:leader="none" w:pos="925" w:val="left"/>
        </w:tabs>
        <w:numPr>
          <w:ilvl w:val="1"/>
          <w:numId w:val="1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7" w:lineRule="exact"/>
        <w:rPr>
          <w:rFonts w:ascii="Arial" w:cs="Arial" w:eastAsia="Arial" w:hAnsi="Arial"/>
          <w:sz w:val="13"/>
          <w:szCs w:val="13"/>
          <w:color w:val="auto"/>
        </w:rPr>
      </w:pPr>
    </w:p>
    <w:p>
      <w:pPr>
        <w:ind w:right="500" w:firstLine="794"/>
        <w:spacing w:after="0" w:line="274" w:lineRule="auto"/>
        <w:tabs>
          <w:tab w:leader="none" w:pos="932" w:val="left"/>
        </w:tabs>
        <w:numPr>
          <w:ilvl w:val="1"/>
          <w:numId w:val="1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7" w:lineRule="exact"/>
        <w:rPr>
          <w:rFonts w:ascii="Arial" w:cs="Arial" w:eastAsia="Arial" w:hAnsi="Arial"/>
          <w:sz w:val="13"/>
          <w:szCs w:val="13"/>
          <w:color w:val="auto"/>
        </w:rPr>
      </w:pPr>
    </w:p>
    <w:p>
      <w:pPr>
        <w:ind w:right="620" w:firstLine="794"/>
        <w:spacing w:after="0" w:line="274" w:lineRule="auto"/>
        <w:tabs>
          <w:tab w:leader="none" w:pos="925" w:val="left"/>
        </w:tabs>
        <w:numPr>
          <w:ilvl w:val="1"/>
          <w:numId w:val="1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3"/>
          <w:szCs w:val="13"/>
          <w:color w:val="auto"/>
        </w:rPr>
      </w:pPr>
    </w:p>
    <w:p>
      <w:pPr>
        <w:ind w:right="60" w:firstLine="794"/>
        <w:spacing w:after="0" w:line="274" w:lineRule="auto"/>
        <w:tabs>
          <w:tab w:leader="none" w:pos="932" w:val="left"/>
        </w:tabs>
        <w:numPr>
          <w:ilvl w:val="1"/>
          <w:numId w:val="1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3"/>
          <w:szCs w:val="13"/>
          <w:color w:val="auto"/>
        </w:rPr>
      </w:pPr>
    </w:p>
    <w:p>
      <w:pPr>
        <w:ind w:right="40" w:firstLine="345"/>
        <w:spacing w:after="0" w:line="274" w:lineRule="auto"/>
        <w:tabs>
          <w:tab w:leader="none" w:pos="472"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Arial" w:cs="Arial" w:eastAsia="Arial" w:hAnsi="Arial"/>
          <w:sz w:val="13"/>
          <w:szCs w:val="13"/>
          <w:color w:val="auto"/>
        </w:rPr>
      </w:pPr>
    </w:p>
    <w:p>
      <w:pPr>
        <w:ind w:right="380" w:firstLine="794"/>
        <w:spacing w:after="0" w:line="274" w:lineRule="auto"/>
        <w:tabs>
          <w:tab w:leader="none" w:pos="925" w:val="left"/>
        </w:tabs>
        <w:numPr>
          <w:ilvl w:val="1"/>
          <w:numId w:val="1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3"/>
          <w:szCs w:val="13"/>
          <w:color w:val="auto"/>
        </w:rPr>
      </w:pPr>
    </w:p>
    <w:p>
      <w:pPr>
        <w:ind w:left="940" w:hanging="146"/>
        <w:spacing w:after="0"/>
        <w:tabs>
          <w:tab w:leader="none" w:pos="9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Dated: August 6, 2014</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Name:</w:t>
        <w:tab/>
        <w:t>Arthur H. Penn</w:t>
      </w:r>
    </w:p>
    <w:p>
      <w:pPr>
        <w:spacing w:after="0" w:line="11"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Title:</w:t>
        <w:tab/>
        <w:t>Chief Executive Officer</w:t>
      </w:r>
    </w:p>
    <w:p>
      <w:pPr>
        <w:sectPr>
          <w:pgSz w:w="11900" w:h="16838" w:orient="portrait"/>
          <w:cols w:equalWidth="0" w:num="1">
            <w:col w:w="11240"/>
          </w:cols>
          <w:pgMar w:left="320" w:top="12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3"/>
          <w:szCs w:val="13"/>
          <w:b w:val="1"/>
          <w:bCs w:val="1"/>
          <w:color w:val="auto"/>
        </w:rPr>
        <w:t>EXHIBIT 31.2</w:t>
      </w:r>
    </w:p>
    <w:p>
      <w:pPr>
        <w:spacing w:after="0" w:line="16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CHIEF FINANCIAL OFFICER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I, Aviv Efrat, Chief Financial Officer of PennantPark Floating Rate Capital Ltd., certify that:</w:t>
      </w:r>
    </w:p>
    <w:p>
      <w:pPr>
        <w:spacing w:after="0" w:line="161" w:lineRule="exact"/>
        <w:rPr>
          <w:sz w:val="20"/>
          <w:szCs w:val="20"/>
          <w:color w:val="auto"/>
        </w:rPr>
      </w:pPr>
    </w:p>
    <w:p>
      <w:pPr>
        <w:ind w:left="480" w:hanging="135"/>
        <w:spacing w:after="0"/>
        <w:tabs>
          <w:tab w:leader="none" w:pos="4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 have reviewed this Report on Form 10-Q of PennantPark Floating Rate Capital Ltd.;</w:t>
      </w:r>
    </w:p>
    <w:p>
      <w:pPr>
        <w:spacing w:after="0" w:line="161" w:lineRule="exact"/>
        <w:rPr>
          <w:rFonts w:ascii="Arial" w:cs="Arial" w:eastAsia="Arial" w:hAnsi="Arial"/>
          <w:sz w:val="13"/>
          <w:szCs w:val="13"/>
          <w:color w:val="auto"/>
        </w:rPr>
      </w:pPr>
    </w:p>
    <w:p>
      <w:pPr>
        <w:ind w:right="340" w:firstLine="345"/>
        <w:spacing w:after="0" w:line="274" w:lineRule="auto"/>
        <w:tabs>
          <w:tab w:leader="none" w:pos="472"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3"/>
          <w:szCs w:val="13"/>
          <w:color w:val="auto"/>
        </w:rPr>
      </w:pPr>
    </w:p>
    <w:p>
      <w:pPr>
        <w:ind w:right="120" w:firstLine="345"/>
        <w:spacing w:after="0" w:line="274" w:lineRule="auto"/>
        <w:tabs>
          <w:tab w:leader="none" w:pos="472"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3"/>
          <w:szCs w:val="13"/>
          <w:color w:val="auto"/>
        </w:rPr>
      </w:pPr>
    </w:p>
    <w:p>
      <w:pPr>
        <w:ind w:right="80" w:firstLine="345"/>
        <w:spacing w:after="0" w:line="274" w:lineRule="auto"/>
        <w:tabs>
          <w:tab w:leader="none" w:pos="472"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internal control over financial reporting (as defined in Exchange Act Rules 13a-15(f) and 15d-15(f)) for the registrant and have:</w:t>
      </w:r>
    </w:p>
    <w:p>
      <w:pPr>
        <w:spacing w:after="0" w:line="117" w:lineRule="exact"/>
        <w:rPr>
          <w:rFonts w:ascii="Arial" w:cs="Arial" w:eastAsia="Arial" w:hAnsi="Arial"/>
          <w:sz w:val="13"/>
          <w:szCs w:val="13"/>
          <w:color w:val="auto"/>
        </w:rPr>
      </w:pPr>
    </w:p>
    <w:p>
      <w:pPr>
        <w:ind w:right="100" w:firstLine="794"/>
        <w:spacing w:after="0" w:line="274" w:lineRule="auto"/>
        <w:tabs>
          <w:tab w:leader="none" w:pos="925" w:val="left"/>
        </w:tabs>
        <w:numPr>
          <w:ilvl w:val="1"/>
          <w:numId w:val="1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7" w:lineRule="exact"/>
        <w:rPr>
          <w:rFonts w:ascii="Arial" w:cs="Arial" w:eastAsia="Arial" w:hAnsi="Arial"/>
          <w:sz w:val="13"/>
          <w:szCs w:val="13"/>
          <w:color w:val="auto"/>
        </w:rPr>
      </w:pPr>
    </w:p>
    <w:p>
      <w:pPr>
        <w:ind w:right="500" w:firstLine="794"/>
        <w:spacing w:after="0" w:line="274" w:lineRule="auto"/>
        <w:tabs>
          <w:tab w:leader="none" w:pos="932" w:val="left"/>
        </w:tabs>
        <w:numPr>
          <w:ilvl w:val="1"/>
          <w:numId w:val="1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7" w:lineRule="exact"/>
        <w:rPr>
          <w:rFonts w:ascii="Arial" w:cs="Arial" w:eastAsia="Arial" w:hAnsi="Arial"/>
          <w:sz w:val="13"/>
          <w:szCs w:val="13"/>
          <w:color w:val="auto"/>
        </w:rPr>
      </w:pPr>
    </w:p>
    <w:p>
      <w:pPr>
        <w:ind w:right="620" w:firstLine="794"/>
        <w:spacing w:after="0" w:line="274" w:lineRule="auto"/>
        <w:tabs>
          <w:tab w:leader="none" w:pos="925" w:val="left"/>
        </w:tabs>
        <w:numPr>
          <w:ilvl w:val="1"/>
          <w:numId w:val="1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3"/>
          <w:szCs w:val="13"/>
          <w:color w:val="auto"/>
        </w:rPr>
      </w:pPr>
    </w:p>
    <w:p>
      <w:pPr>
        <w:ind w:right="60" w:firstLine="794"/>
        <w:spacing w:after="0" w:line="274" w:lineRule="auto"/>
        <w:tabs>
          <w:tab w:leader="none" w:pos="932" w:val="left"/>
        </w:tabs>
        <w:numPr>
          <w:ilvl w:val="1"/>
          <w:numId w:val="1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3"/>
          <w:szCs w:val="13"/>
          <w:color w:val="auto"/>
        </w:rPr>
      </w:pPr>
    </w:p>
    <w:p>
      <w:pPr>
        <w:ind w:right="40" w:firstLine="345"/>
        <w:spacing w:after="0" w:line="274" w:lineRule="auto"/>
        <w:tabs>
          <w:tab w:leader="none" w:pos="472"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Arial" w:cs="Arial" w:eastAsia="Arial" w:hAnsi="Arial"/>
          <w:sz w:val="13"/>
          <w:szCs w:val="13"/>
          <w:color w:val="auto"/>
        </w:rPr>
      </w:pPr>
    </w:p>
    <w:p>
      <w:pPr>
        <w:ind w:right="380" w:firstLine="794"/>
        <w:spacing w:after="0" w:line="274" w:lineRule="auto"/>
        <w:tabs>
          <w:tab w:leader="none" w:pos="925" w:val="left"/>
        </w:tabs>
        <w:numPr>
          <w:ilvl w:val="1"/>
          <w:numId w:val="1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3"/>
          <w:szCs w:val="13"/>
          <w:color w:val="auto"/>
        </w:rPr>
      </w:pPr>
    </w:p>
    <w:p>
      <w:pPr>
        <w:ind w:left="940" w:hanging="146"/>
        <w:spacing w:after="0"/>
        <w:tabs>
          <w:tab w:leader="none" w:pos="9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Dated: August 6, 2014</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Name:</w:t>
        <w:tab/>
        <w:t>Aviv Efrat</w:t>
      </w:r>
    </w:p>
    <w:p>
      <w:pPr>
        <w:spacing w:after="0" w:line="11"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Title:</w:t>
        <w:tab/>
        <w:t>Chief Financial Officer</w:t>
      </w:r>
    </w:p>
    <w:p>
      <w:pPr>
        <w:sectPr>
          <w:pgSz w:w="11900" w:h="16838" w:orient="portrait"/>
          <w:cols w:equalWidth="0" w:num="1">
            <w:col w:w="11240"/>
          </w:cols>
          <w:pgMar w:left="320" w:top="12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3"/>
          <w:szCs w:val="13"/>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w:t>
      </w:r>
    </w:p>
    <w:p>
      <w:pPr>
        <w:jc w:val="center"/>
        <w:spacing w:after="0"/>
        <w:rPr>
          <w:sz w:val="20"/>
          <w:szCs w:val="20"/>
          <w:color w:val="auto"/>
        </w:rPr>
      </w:pPr>
      <w:r>
        <w:rPr>
          <w:rFonts w:ascii="Arial" w:cs="Arial" w:eastAsia="Arial" w:hAnsi="Arial"/>
          <w:sz w:val="13"/>
          <w:szCs w:val="13"/>
          <w:b w:val="1"/>
          <w:bCs w:val="1"/>
          <w:color w:val="auto"/>
        </w:rPr>
        <w:t>SECTION 906 OF THE SARBANES-OXLEY ACT OF 2002 (18 U.S.C. 1350)</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In connection with this Report on Form 10-Q for the three and nine months ended June 30, 2014, or the Report, of PennantPark Floating Rate Capital Ltd., or the Registrant, as filed with the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Exchange Commission on the date hereof, I, Arthur H. Penn, Chief Executive Officer of the Registrant, hereby certify, to the best of my knowledge, that:</w:t>
      </w:r>
    </w:p>
    <w:p>
      <w:pPr>
        <w:spacing w:after="0" w:line="68" w:lineRule="exact"/>
        <w:rPr>
          <w:sz w:val="20"/>
          <w:szCs w:val="20"/>
          <w:color w:val="auto"/>
        </w:rPr>
      </w:pPr>
    </w:p>
    <w:p>
      <w:pPr>
        <w:ind w:left="780" w:hanging="448"/>
        <w:spacing w:after="0"/>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80" w:lineRule="exact"/>
        <w:rPr>
          <w:rFonts w:ascii="Arial" w:cs="Arial" w:eastAsia="Arial" w:hAnsi="Arial"/>
          <w:sz w:val="13"/>
          <w:szCs w:val="13"/>
          <w:color w:val="auto"/>
        </w:rPr>
      </w:pPr>
    </w:p>
    <w:p>
      <w:pPr>
        <w:ind w:left="780" w:hanging="448"/>
        <w:spacing w:after="0"/>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Name:</w:t>
        <w:tab/>
        <w:t>Arthur H. Penn</w:t>
      </w:r>
    </w:p>
    <w:p>
      <w:pPr>
        <w:spacing w:after="0" w:line="10"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Title:</w:t>
        <w:tab/>
        <w:t>Chief Executive Officer</w:t>
      </w:r>
    </w:p>
    <w:p>
      <w:pPr>
        <w:spacing w:after="0"/>
        <w:tabs>
          <w:tab w:leader="none" w:pos="480" w:val="left"/>
        </w:tabs>
        <w:rPr>
          <w:sz w:val="20"/>
          <w:szCs w:val="20"/>
          <w:color w:val="auto"/>
        </w:rPr>
      </w:pPr>
      <w:r>
        <w:rPr>
          <w:rFonts w:ascii="Arial" w:cs="Arial" w:eastAsia="Arial" w:hAnsi="Arial"/>
          <w:sz w:val="13"/>
          <w:szCs w:val="13"/>
          <w:color w:val="auto"/>
        </w:rPr>
        <w:t>Date:</w:t>
        <w:tab/>
        <w:t>August 6, 2014</w:t>
      </w:r>
    </w:p>
    <w:p>
      <w:pPr>
        <w:sectPr>
          <w:pgSz w:w="11900" w:h="16838" w:orient="portrait"/>
          <w:cols w:equalWidth="0" w:num="1">
            <w:col w:w="11240"/>
          </w:cols>
          <w:pgMar w:left="320" w:top="12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3"/>
          <w:szCs w:val="13"/>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w:t>
      </w:r>
    </w:p>
    <w:p>
      <w:pPr>
        <w:jc w:val="center"/>
        <w:spacing w:after="0"/>
        <w:rPr>
          <w:sz w:val="20"/>
          <w:szCs w:val="20"/>
          <w:color w:val="auto"/>
        </w:rPr>
      </w:pPr>
      <w:r>
        <w:rPr>
          <w:rFonts w:ascii="Arial" w:cs="Arial" w:eastAsia="Arial" w:hAnsi="Arial"/>
          <w:sz w:val="13"/>
          <w:szCs w:val="13"/>
          <w:b w:val="1"/>
          <w:bCs w:val="1"/>
          <w:color w:val="auto"/>
        </w:rPr>
        <w:t>SECTION 906 OF THE SARBANES-OXLEY ACT OF 2002 (18 U.S.C. 1350)</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In connection with this Report on Form 10-Q for the three and nine months ended June 30, 2014, or the Report, of PennantPark Floating Rate Capital Ltd., or the Registrant, as filed with the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Exchange Commission on the date hereof, I, Aviv Efrat, Chief Financial Officer of the Registrant, hereby certify, to the best of my knowledge, that:</w:t>
      </w:r>
    </w:p>
    <w:p>
      <w:pPr>
        <w:spacing w:after="0" w:line="68" w:lineRule="exact"/>
        <w:rPr>
          <w:sz w:val="20"/>
          <w:szCs w:val="20"/>
          <w:color w:val="auto"/>
        </w:rPr>
      </w:pPr>
    </w:p>
    <w:p>
      <w:pPr>
        <w:ind w:left="780" w:hanging="448"/>
        <w:spacing w:after="0"/>
        <w:tabs>
          <w:tab w:leader="none" w:pos="7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80" w:lineRule="exact"/>
        <w:rPr>
          <w:rFonts w:ascii="Arial" w:cs="Arial" w:eastAsia="Arial" w:hAnsi="Arial"/>
          <w:sz w:val="13"/>
          <w:szCs w:val="13"/>
          <w:color w:val="auto"/>
        </w:rPr>
      </w:pPr>
    </w:p>
    <w:p>
      <w:pPr>
        <w:ind w:left="780" w:hanging="448"/>
        <w:spacing w:after="0"/>
        <w:tabs>
          <w:tab w:leader="none" w:pos="7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Name:</w:t>
        <w:tab/>
        <w:t>Aviv Efrat</w:t>
      </w:r>
    </w:p>
    <w:p>
      <w:pPr>
        <w:spacing w:after="0" w:line="10"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Title:</w:t>
        <w:tab/>
        <w:t>Chief Financial Officer</w:t>
      </w:r>
    </w:p>
    <w:p>
      <w:pPr>
        <w:spacing w:after="0"/>
        <w:tabs>
          <w:tab w:leader="none" w:pos="480" w:val="left"/>
        </w:tabs>
        <w:rPr>
          <w:sz w:val="20"/>
          <w:szCs w:val="20"/>
          <w:color w:val="auto"/>
        </w:rPr>
      </w:pPr>
      <w:r>
        <w:rPr>
          <w:rFonts w:ascii="Arial" w:cs="Arial" w:eastAsia="Arial" w:hAnsi="Arial"/>
          <w:sz w:val="13"/>
          <w:szCs w:val="13"/>
          <w:color w:val="auto"/>
        </w:rPr>
        <w:t>Date:</w:t>
        <w:tab/>
        <w:t>August 6, 2014</w:t>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2"/>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2"/>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2020-05-05T12:06:20Z</dcterms:created>
  <dcterms:modified xsi:type="dcterms:W3CDTF">2020-05-05T12:06:20Z</dcterms:modified>
</cp:coreProperties>
</file>