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Washington, D.C. 20549</w:t>
      </w:r>
    </w:p>
    <w:p>
      <w:pPr>
        <w:spacing w:after="0" w:line="199" w:lineRule="exact"/>
        <w:rPr>
          <w:sz w:val="24"/>
          <w:szCs w:val="24"/>
          <w:color w:val="auto"/>
        </w:rPr>
      </w:pPr>
    </w:p>
    <w:p>
      <w:pPr>
        <w:ind w:left="4700"/>
        <w:spacing w:after="0"/>
        <w:rPr>
          <w:sz w:val="20"/>
          <w:szCs w:val="20"/>
          <w:color w:val="auto"/>
        </w:rPr>
      </w:pPr>
      <w:r>
        <w:rPr>
          <w:rFonts w:ascii="Arial" w:cs="Arial" w:eastAsia="Arial" w:hAnsi="Arial"/>
          <w:sz w:val="22"/>
          <w:szCs w:val="22"/>
          <w:color w:val="auto"/>
        </w:rPr>
        <w:t>_________________</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8-K</w:t>
      </w:r>
    </w:p>
    <w:p>
      <w:pPr>
        <w:spacing w:after="0" w:line="227" w:lineRule="exact"/>
        <w:rPr>
          <w:sz w:val="24"/>
          <w:szCs w:val="24"/>
          <w:color w:val="auto"/>
        </w:rPr>
      </w:pPr>
    </w:p>
    <w:p>
      <w:pPr>
        <w:ind w:left="4700"/>
        <w:spacing w:after="0"/>
        <w:rPr>
          <w:sz w:val="20"/>
          <w:szCs w:val="20"/>
          <w:color w:val="auto"/>
        </w:rPr>
      </w:pPr>
      <w:r>
        <w:rPr>
          <w:rFonts w:ascii="Arial" w:cs="Arial" w:eastAsia="Arial" w:hAnsi="Arial"/>
          <w:sz w:val="22"/>
          <w:szCs w:val="22"/>
          <w:color w:val="auto"/>
        </w:rPr>
        <w:t>_________________</w:t>
      </w:r>
    </w:p>
    <w:p>
      <w:pPr>
        <w:spacing w:after="0" w:line="200"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98" w:lineRule="exact"/>
        <w:rPr>
          <w:sz w:val="24"/>
          <w:szCs w:val="24"/>
          <w:color w:val="auto"/>
        </w:rPr>
      </w:pPr>
    </w:p>
    <w:p>
      <w:pPr>
        <w:ind w:left="4180"/>
        <w:spacing w:after="0"/>
        <w:rPr>
          <w:sz w:val="20"/>
          <w:szCs w:val="20"/>
          <w:color w:val="auto"/>
        </w:rPr>
      </w:pPr>
      <w:r>
        <w:rPr>
          <w:rFonts w:ascii="Arial" w:cs="Arial" w:eastAsia="Arial" w:hAnsi="Arial"/>
          <w:sz w:val="22"/>
          <w:szCs w:val="22"/>
          <w:b w:val="1"/>
          <w:bCs w:val="1"/>
          <w:color w:val="auto"/>
        </w:rPr>
        <w:t>Pursuant to Section 13 or 15(d)</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83"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Date of Report (Date of earliest event reported): October 4, 2022</w:t>
      </w:r>
    </w:p>
    <w:p>
      <w:pPr>
        <w:spacing w:after="0" w:line="233" w:lineRule="exact"/>
        <w:rPr>
          <w:sz w:val="24"/>
          <w:szCs w:val="24"/>
          <w:color w:val="auto"/>
        </w:rPr>
      </w:pPr>
    </w:p>
    <w:p>
      <w:pPr>
        <w:ind w:left="3960"/>
        <w:spacing w:after="0"/>
        <w:rPr>
          <w:sz w:val="20"/>
          <w:szCs w:val="20"/>
          <w:color w:val="auto"/>
        </w:rPr>
      </w:pPr>
      <w:r>
        <w:rPr>
          <w:rFonts w:ascii="Arial" w:cs="Arial" w:eastAsia="Arial" w:hAnsi="Arial"/>
          <w:sz w:val="22"/>
          <w:szCs w:val="22"/>
          <w:color w:val="auto"/>
        </w:rPr>
        <w:t>_______________________________</w:t>
      </w:r>
    </w:p>
    <w:p>
      <w:pPr>
        <w:spacing w:after="0" w:line="200" w:lineRule="exact"/>
        <w:rPr>
          <w:sz w:val="24"/>
          <w:szCs w:val="24"/>
          <w:color w:val="auto"/>
        </w:rPr>
      </w:pPr>
    </w:p>
    <w:p>
      <w:pPr>
        <w:ind w:left="3760"/>
        <w:spacing w:after="0"/>
        <w:rPr>
          <w:sz w:val="20"/>
          <w:szCs w:val="20"/>
          <w:color w:val="auto"/>
        </w:rPr>
      </w:pPr>
      <w:r>
        <w:rPr>
          <w:rFonts w:ascii="Arial" w:cs="Arial" w:eastAsia="Arial" w:hAnsi="Arial"/>
          <w:sz w:val="22"/>
          <w:szCs w:val="22"/>
          <w:b w:val="1"/>
          <w:bCs w:val="1"/>
          <w:color w:val="auto"/>
        </w:rPr>
        <w:t>PennantPark Floating Rate Capital Ltd.</w:t>
      </w:r>
    </w:p>
    <w:p>
      <w:pPr>
        <w:spacing w:after="0" w:line="19" w:lineRule="exact"/>
        <w:rPr>
          <w:sz w:val="24"/>
          <w:szCs w:val="24"/>
          <w:color w:val="auto"/>
        </w:rPr>
      </w:pPr>
    </w:p>
    <w:p>
      <w:pPr>
        <w:ind w:left="3760"/>
        <w:spacing w:after="0"/>
        <w:rPr>
          <w:sz w:val="20"/>
          <w:szCs w:val="20"/>
          <w:color w:val="auto"/>
        </w:rPr>
      </w:pPr>
      <w:r>
        <w:rPr>
          <w:rFonts w:ascii="Arial" w:cs="Arial" w:eastAsia="Arial" w:hAnsi="Arial"/>
          <w:sz w:val="18"/>
          <w:szCs w:val="18"/>
          <w:color w:val="auto"/>
        </w:rPr>
        <w:t>(Exact name of registrant as specified in its charter)</w:t>
      </w:r>
    </w:p>
    <w:p>
      <w:pPr>
        <w:spacing w:after="0" w:line="202" w:lineRule="exact"/>
        <w:rPr>
          <w:sz w:val="24"/>
          <w:szCs w:val="24"/>
          <w:color w:val="auto"/>
        </w:rPr>
      </w:pPr>
    </w:p>
    <w:p>
      <w:pPr>
        <w:ind w:left="3960"/>
        <w:spacing w:after="0"/>
        <w:rPr>
          <w:sz w:val="20"/>
          <w:szCs w:val="20"/>
          <w:color w:val="auto"/>
        </w:rPr>
      </w:pPr>
      <w:r>
        <w:rPr>
          <w:rFonts w:ascii="Arial" w:cs="Arial" w:eastAsia="Arial" w:hAnsi="Arial"/>
          <w:sz w:val="22"/>
          <w:szCs w:val="22"/>
          <w:color w:val="auto"/>
        </w:rPr>
        <w:t>_______________________________</w:t>
      </w:r>
    </w:p>
    <w:p>
      <w:pPr>
        <w:sectPr>
          <w:pgSz w:w="11900" w:h="16838" w:orient="portrait"/>
          <w:cols w:equalWidth="0" w:num="1">
            <w:col w:w="11240"/>
          </w:cols>
          <w:pgMar w:left="320" w:top="508" w:right="339" w:bottom="1440" w:gutter="0" w:footer="0" w:header="0"/>
        </w:sectPr>
      </w:pPr>
    </w:p>
    <w:p>
      <w:pPr>
        <w:spacing w:after="0" w:line="209"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Maryland</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9" w:lineRule="exact"/>
        <w:rPr>
          <w:sz w:val="24"/>
          <w:szCs w:val="24"/>
          <w:color w:val="auto"/>
        </w:rPr>
      </w:pPr>
    </w:p>
    <w:p>
      <w:pPr>
        <w:jc w:val="center"/>
        <w:ind w:right="740"/>
        <w:spacing w:after="0"/>
        <w:rPr>
          <w:sz w:val="20"/>
          <w:szCs w:val="20"/>
          <w:color w:val="auto"/>
        </w:rPr>
      </w:pPr>
      <w:r>
        <w:rPr>
          <w:rFonts w:ascii="Arial" w:cs="Arial" w:eastAsia="Arial" w:hAnsi="Arial"/>
          <w:sz w:val="18"/>
          <w:szCs w:val="18"/>
          <w:b w:val="1"/>
          <w:bCs w:val="1"/>
          <w:color w:val="auto"/>
        </w:rPr>
        <w:t>814-00891</w:t>
      </w:r>
    </w:p>
    <w:p>
      <w:pPr>
        <w:spacing w:after="0" w:line="27" w:lineRule="exact"/>
        <w:rPr>
          <w:sz w:val="24"/>
          <w:szCs w:val="24"/>
          <w:color w:val="auto"/>
        </w:rPr>
      </w:pPr>
    </w:p>
    <w:p>
      <w:pPr>
        <w:jc w:val="center"/>
        <w:ind w:right="74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9" w:lineRule="exact"/>
        <w:rPr>
          <w:sz w:val="24"/>
          <w:szCs w:val="24"/>
          <w:color w:val="auto"/>
        </w:rPr>
      </w:pPr>
    </w:p>
    <w:p>
      <w:pPr>
        <w:jc w:val="center"/>
        <w:ind w:right="540"/>
        <w:spacing w:after="0"/>
        <w:rPr>
          <w:sz w:val="20"/>
          <w:szCs w:val="20"/>
          <w:color w:val="auto"/>
        </w:rPr>
      </w:pPr>
      <w:r>
        <w:rPr>
          <w:rFonts w:ascii="Arial" w:cs="Arial" w:eastAsia="Arial" w:hAnsi="Arial"/>
          <w:sz w:val="18"/>
          <w:szCs w:val="18"/>
          <w:b w:val="1"/>
          <w:bCs w:val="1"/>
          <w:color w:val="auto"/>
        </w:rPr>
        <w:t>27-3794690</w:t>
      </w:r>
    </w:p>
    <w:p>
      <w:pPr>
        <w:spacing w:after="0" w:line="27" w:lineRule="exact"/>
        <w:rPr>
          <w:sz w:val="24"/>
          <w:szCs w:val="24"/>
          <w:color w:val="auto"/>
        </w:rPr>
      </w:pPr>
    </w:p>
    <w:p>
      <w:pPr>
        <w:jc w:val="center"/>
        <w:ind w:right="54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3">
            <w:col w:w="3920" w:space="720"/>
            <w:col w:w="2720" w:space="720"/>
            <w:col w:w="3160"/>
          </w:cols>
          <w:pgMar w:left="320" w:top="508" w:right="339" w:bottom="1440" w:gutter="0" w:footer="0" w:header="0"/>
          <w:type w:val="continuous"/>
        </w:sectPr>
      </w:pP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1691 Michigan Avenue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Miami Beach, Florida 33139</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(Address of Principal Executive Offices) (Zip Code)</w:t>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(212) 905-1000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240"/>
          </w:cols>
          <w:pgMar w:left="320" w:top="508" w:right="339" w:bottom="1440" w:gutter="0" w:footer="0" w:header="0"/>
          <w:type w:val="continuous"/>
        </w:sectPr>
      </w:pPr>
    </w:p>
    <w:p>
      <w:pPr>
        <w:spacing w:after="0" w:line="1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4" w:lineRule="exact"/>
        <w:rPr>
          <w:sz w:val="24"/>
          <w:szCs w:val="24"/>
          <w:color w:val="auto"/>
        </w:rPr>
      </w:pPr>
    </w:p>
    <w:p>
      <w:pPr>
        <w:ind w:left="3960"/>
        <w:spacing w:after="0"/>
        <w:rPr>
          <w:sz w:val="20"/>
          <w:szCs w:val="20"/>
          <w:color w:val="auto"/>
        </w:rPr>
      </w:pPr>
      <w:r>
        <w:rPr>
          <w:rFonts w:ascii="Arial" w:cs="Arial" w:eastAsia="Arial" w:hAnsi="Arial"/>
          <w:sz w:val="22"/>
          <w:szCs w:val="22"/>
          <w:color w:val="auto"/>
        </w:rPr>
        <w:t>_______________________________</w:t>
      </w:r>
    </w:p>
    <w:p>
      <w:pPr>
        <w:spacing w:after="0" w:line="213"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4"/>
          <w:szCs w:val="24"/>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580" w:type="dxa"/>
            <w:vAlign w:val="bottom"/>
          </w:tcPr>
          <w:p>
            <w:pPr>
              <w:spacing w:after="0"/>
              <w:rPr>
                <w:sz w:val="20"/>
                <w:szCs w:val="20"/>
                <w:color w:val="auto"/>
              </w:rPr>
            </w:pPr>
            <w:r>
              <w:rPr>
                <w:rFonts w:ascii="Arial" w:cs="Arial" w:eastAsia="Arial" w:hAnsi="Arial"/>
                <w:sz w:val="18"/>
                <w:szCs w:val="18"/>
                <w:color w:val="auto"/>
                <w:w w:val="99"/>
              </w:rPr>
              <w:t>Securities registered pursuant to Section 12(b) of the Act:</w:t>
            </w:r>
          </w:p>
        </w:tc>
        <w:tc>
          <w:tcPr>
            <w:tcW w:w="2360" w:type="dxa"/>
            <w:vAlign w:val="bottom"/>
          </w:tcPr>
          <w:p>
            <w:pPr>
              <w:spacing w:after="0"/>
              <w:rPr>
                <w:sz w:val="20"/>
                <w:szCs w:val="20"/>
                <w:color w:val="auto"/>
              </w:rPr>
            </w:pPr>
          </w:p>
        </w:tc>
        <w:tc>
          <w:tcPr>
            <w:tcW w:w="4300" w:type="dxa"/>
            <w:vAlign w:val="bottom"/>
          </w:tcPr>
          <w:p>
            <w:pPr>
              <w:spacing w:after="0"/>
              <w:rPr>
                <w:sz w:val="20"/>
                <w:szCs w:val="20"/>
                <w:color w:val="auto"/>
              </w:rPr>
            </w:pPr>
          </w:p>
        </w:tc>
      </w:tr>
      <w:tr>
        <w:trPr>
          <w:trHeight w:val="324"/>
        </w:trPr>
        <w:tc>
          <w:tcPr>
            <w:tcW w:w="45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0"/>
              </w:rPr>
              <w:t>Title of each class</w:t>
            </w:r>
          </w:p>
        </w:tc>
        <w:tc>
          <w:tcPr>
            <w:tcW w:w="23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2"/>
              </w:rPr>
              <w:t>Trading Symbol(s)</w:t>
            </w:r>
          </w:p>
        </w:tc>
        <w:tc>
          <w:tcPr>
            <w:tcW w:w="43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4"/>
        </w:trPr>
        <w:tc>
          <w:tcPr>
            <w:tcW w:w="4580" w:type="dxa"/>
            <w:vAlign w:val="bottom"/>
          </w:tcPr>
          <w:p>
            <w:pPr>
              <w:jc w:val="center"/>
              <w:ind w:right="90"/>
              <w:spacing w:after="0"/>
              <w:rPr>
                <w:sz w:val="20"/>
                <w:szCs w:val="20"/>
                <w:color w:val="auto"/>
              </w:rPr>
            </w:pPr>
            <w:r>
              <w:rPr>
                <w:rFonts w:ascii="Arial" w:cs="Arial" w:eastAsia="Arial" w:hAnsi="Arial"/>
                <w:sz w:val="18"/>
                <w:szCs w:val="18"/>
                <w:color w:val="auto"/>
                <w:w w:val="89"/>
              </w:rPr>
              <w:t>Common Stock, par value $0.001 per share</w:t>
            </w:r>
          </w:p>
        </w:tc>
        <w:tc>
          <w:tcPr>
            <w:tcW w:w="2360" w:type="dxa"/>
            <w:vAlign w:val="bottom"/>
          </w:tcPr>
          <w:p>
            <w:pPr>
              <w:jc w:val="center"/>
              <w:ind w:right="70"/>
              <w:spacing w:after="0"/>
              <w:rPr>
                <w:sz w:val="20"/>
                <w:szCs w:val="20"/>
                <w:color w:val="auto"/>
              </w:rPr>
            </w:pPr>
            <w:r>
              <w:rPr>
                <w:rFonts w:ascii="Arial" w:cs="Arial" w:eastAsia="Arial" w:hAnsi="Arial"/>
                <w:sz w:val="18"/>
                <w:szCs w:val="18"/>
                <w:color w:val="auto"/>
                <w:w w:val="90"/>
              </w:rPr>
              <w:t>PFLT</w:t>
            </w:r>
          </w:p>
        </w:tc>
        <w:tc>
          <w:tcPr>
            <w:tcW w:w="4300" w:type="dxa"/>
            <w:vAlign w:val="bottom"/>
          </w:tcPr>
          <w:p>
            <w:pPr>
              <w:jc w:val="center"/>
              <w:spacing w:after="0"/>
              <w:rPr>
                <w:sz w:val="20"/>
                <w:szCs w:val="20"/>
                <w:color w:val="auto"/>
              </w:rPr>
            </w:pPr>
            <w:r>
              <w:rPr>
                <w:rFonts w:ascii="Arial" w:cs="Arial" w:eastAsia="Arial" w:hAnsi="Arial"/>
                <w:sz w:val="18"/>
                <w:szCs w:val="18"/>
                <w:color w:val="auto"/>
                <w:w w:val="90"/>
              </w:rPr>
              <w:t>The New York Stock Exchange</w:t>
            </w:r>
          </w:p>
        </w:tc>
      </w:tr>
    </w:tbl>
    <w:p>
      <w:pPr>
        <w:spacing w:after="0" w:line="79"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0"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210820</wp:posOffset>
            </wp:positionV>
            <wp:extent cx="713232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08"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18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On October 4, 2022, PennantPark Floating Rate Capital Ltd. issued a press release announcing its monthly distribution. A copy of the press release is furnished as Exhibit 99.1 to this Form 8-K.</w:t>
      </w:r>
    </w:p>
    <w:p>
      <w:pPr>
        <w:spacing w:after="0" w:line="143"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89"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85" w:lineRule="exact"/>
        <w:rPr>
          <w:sz w:val="20"/>
          <w:szCs w:val="20"/>
          <w:color w:val="auto"/>
        </w:rPr>
      </w:pPr>
    </w:p>
    <w:p>
      <w:pPr>
        <w:ind w:left="600" w:right="9340" w:hanging="592"/>
        <w:spacing w:after="0" w:line="313" w:lineRule="auto"/>
        <w:tabs>
          <w:tab w:leader="none" w:pos="270" w:val="left"/>
        </w:tabs>
        <w:numPr>
          <w:ilvl w:val="0"/>
          <w:numId w:val="2"/>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Financial statements: </w:t>
      </w:r>
      <w:r>
        <w:rPr>
          <w:rFonts w:ascii="Arial" w:cs="Arial" w:eastAsia="Arial" w:hAnsi="Arial"/>
          <w:sz w:val="15"/>
          <w:szCs w:val="15"/>
          <w:color w:val="auto"/>
        </w:rPr>
        <w:t>None</w:t>
      </w:r>
    </w:p>
    <w:p>
      <w:pPr>
        <w:ind w:left="600" w:right="8400" w:hanging="547"/>
        <w:spacing w:after="0" w:line="250" w:lineRule="auto"/>
        <w:tabs>
          <w:tab w:leader="none" w:pos="325" w:val="left"/>
        </w:tabs>
        <w:numPr>
          <w:ilvl w:val="1"/>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 forma financial information: </w:t>
      </w:r>
      <w:r>
        <w:rPr>
          <w:rFonts w:ascii="Arial" w:cs="Arial" w:eastAsia="Arial" w:hAnsi="Arial"/>
          <w:sz w:val="18"/>
          <w:szCs w:val="18"/>
          <w:color w:val="auto"/>
        </w:rPr>
        <w:t>None</w:t>
      </w:r>
    </w:p>
    <w:p>
      <w:pPr>
        <w:ind w:left="600" w:right="8780" w:hanging="547"/>
        <w:spacing w:after="0" w:line="250" w:lineRule="auto"/>
        <w:tabs>
          <w:tab w:leader="none" w:pos="305" w:val="left"/>
        </w:tabs>
        <w:numPr>
          <w:ilvl w:val="1"/>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Shell company transactions: </w:t>
      </w:r>
      <w:r>
        <w:rPr>
          <w:rFonts w:ascii="Arial" w:cs="Arial" w:eastAsia="Arial" w:hAnsi="Arial"/>
          <w:sz w:val="18"/>
          <w:szCs w:val="18"/>
          <w:color w:val="auto"/>
        </w:rPr>
        <w:t>None</w:t>
      </w:r>
    </w:p>
    <w:p>
      <w:pPr>
        <w:ind w:left="320" w:hanging="267"/>
        <w:spacing w:after="0"/>
        <w:tabs>
          <w:tab w:leader="none" w:pos="320" w:val="left"/>
        </w:tabs>
        <w:numPr>
          <w:ilvl w:val="1"/>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9" w:lineRule="exact"/>
        <w:rPr>
          <w:sz w:val="20"/>
          <w:szCs w:val="20"/>
          <w:color w:val="auto"/>
        </w:rPr>
      </w:pPr>
    </w:p>
    <w:p>
      <w:pPr>
        <w:ind w:left="600"/>
        <w:spacing w:after="0"/>
        <w:tabs>
          <w:tab w:leader="none" w:pos="11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u w:val="single" w:color="auto"/>
          <w:color w:val="0000EE"/>
        </w:rPr>
        <w:t>Press Release of PennantPark Floating Rate Capital Ltd. Dated October 4, 2022</w:t>
      </w:r>
    </w:p>
    <w:p>
      <w:pPr>
        <w:spacing w:after="0" w:line="170" w:lineRule="exact"/>
        <w:rPr>
          <w:sz w:val="20"/>
          <w:szCs w:val="20"/>
          <w:color w:val="auto"/>
        </w:rPr>
      </w:pPr>
    </w:p>
    <w:p>
      <w:pPr>
        <w:ind w:left="600"/>
        <w:spacing w:after="0"/>
        <w:tabs>
          <w:tab w:leader="none" w:pos="116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5020" w:type="dxa"/>
            <w:vAlign w:val="bottom"/>
            <w:gridSpan w:val="3"/>
          </w:tcPr>
          <w:p>
            <w:pPr>
              <w:ind w:left="1920"/>
              <w:spacing w:after="0"/>
              <w:rPr>
                <w:sz w:val="20"/>
                <w:szCs w:val="20"/>
                <w:color w:val="auto"/>
              </w:rPr>
            </w:pPr>
            <w:r>
              <w:rPr>
                <w:rFonts w:ascii="Arial" w:cs="Arial" w:eastAsia="Arial" w:hAnsi="Arial"/>
                <w:sz w:val="18"/>
                <w:szCs w:val="18"/>
                <w:b w:val="1"/>
                <w:bCs w:val="1"/>
                <w:color w:val="auto"/>
                <w:w w:val="92"/>
              </w:rPr>
              <w:t>PennantPark Floating Rate Capital Ltd.</w:t>
            </w:r>
          </w:p>
        </w:tc>
      </w:tr>
      <w:tr>
        <w:trPr>
          <w:trHeight w:val="688"/>
        </w:trPr>
        <w:tc>
          <w:tcPr>
            <w:tcW w:w="3540" w:type="dxa"/>
            <w:vAlign w:val="bottom"/>
          </w:tcPr>
          <w:p>
            <w:pPr>
              <w:spacing w:after="0"/>
              <w:rPr>
                <w:sz w:val="20"/>
                <w:szCs w:val="20"/>
                <w:color w:val="auto"/>
              </w:rPr>
            </w:pPr>
            <w:r>
              <w:rPr>
                <w:rFonts w:ascii="Arial" w:cs="Arial" w:eastAsia="Arial" w:hAnsi="Arial"/>
                <w:sz w:val="18"/>
                <w:szCs w:val="18"/>
                <w:color w:val="auto"/>
              </w:rPr>
              <w:t>Date: October 4, 2022</w:t>
            </w:r>
          </w:p>
        </w:tc>
        <w:tc>
          <w:tcPr>
            <w:tcW w:w="5020" w:type="dxa"/>
            <w:vAlign w:val="bottom"/>
            <w:gridSpan w:val="3"/>
          </w:tcPr>
          <w:p>
            <w:pPr>
              <w:ind w:left="1920"/>
              <w:spacing w:after="0"/>
              <w:rPr>
                <w:sz w:val="20"/>
                <w:szCs w:val="20"/>
                <w:color w:val="auto"/>
              </w:rPr>
            </w:pPr>
            <w:r>
              <w:rPr>
                <w:rFonts w:ascii="Arial" w:cs="Arial" w:eastAsia="Arial" w:hAnsi="Arial"/>
                <w:sz w:val="18"/>
                <w:szCs w:val="18"/>
                <w:color w:val="auto"/>
              </w:rPr>
              <w:t>By: /s/ Richard T. Allorto, Jr.</w:t>
            </w:r>
          </w:p>
        </w:tc>
      </w:tr>
      <w:tr>
        <w:trPr>
          <w:trHeight w:val="237"/>
        </w:trPr>
        <w:tc>
          <w:tcPr>
            <w:tcW w:w="35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Richard T. Allorto, Jr.</w:t>
            </w:r>
          </w:p>
        </w:tc>
        <w:tc>
          <w:tcPr>
            <w:tcW w:w="640" w:type="dxa"/>
            <w:vAlign w:val="bottom"/>
          </w:tcPr>
          <w:p>
            <w:pPr>
              <w:spacing w:after="0"/>
              <w:rPr>
                <w:sz w:val="20"/>
                <w:szCs w:val="20"/>
                <w:color w:val="auto"/>
              </w:rPr>
            </w:pPr>
          </w:p>
        </w:tc>
      </w:tr>
      <w:tr>
        <w:trPr>
          <w:trHeight w:val="243"/>
        </w:trPr>
        <w:tc>
          <w:tcPr>
            <w:tcW w:w="354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auto"/>
                <w:w w:val="99"/>
              </w:rPr>
              <w:t>Chief Financial Officer &amp; Treasurer</w:t>
            </w:r>
          </w:p>
        </w:tc>
      </w:tr>
    </w:tbl>
    <w:p>
      <w:pPr>
        <w:sectPr>
          <w:pgSz w:w="11900" w:h="16838" w:orient="portrait"/>
          <w:cols w:equalWidth="0" w:num="1">
            <w:col w:w="11200"/>
          </w:cols>
          <w:pgMar w:left="320" w:top="540" w:right="379" w:bottom="1440" w:gutter="0" w:footer="0" w:header="0"/>
        </w:sectPr>
      </w:pPr>
    </w:p>
    <w:bookmarkStart w:id="3" w:name="page4"/>
    <w:bookmarkEnd w:id="3"/>
    <w:p>
      <w:pPr>
        <w:ind w:left="9880"/>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285875" cy="3003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587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PennantPark Floating Rate Capital Ltd. Announces Monthly Distribution of $0.095 per Share</w:t>
      </w:r>
    </w:p>
    <w:p>
      <w:pPr>
        <w:spacing w:after="0" w:line="212"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MIAMI, Oct. 04, 2022 (GLOBE NEWSWIRE) -- PennantPark Floating Rate Capital Ltd. (the "Company") (NYSE: PFLT) (TASE: PFLT) declares its monthly distribution for October 2022 of $0.095 per share, payable on November 1, 2022 to stockholders of record as of October 18, 2022. The distribution is expected to be paid from taxable net investment income. The final specific tax characteristics of the distribution will be reported to stockholders on Form 1099 after the end of the calendar year and in the Company's periodic report filed with the Securities and Exchange Commission.</w:t>
      </w:r>
    </w:p>
    <w:p>
      <w:pPr>
        <w:spacing w:after="0" w:line="178"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Company, which operates as a regulated investment company (“RIC”), generates qualified interest income and short-term capital gains that may be exempt from U.S. withholding tax when distributed to non-U.S. stockholders. The U.S. tax law permits a RIC to report the portion of distributions paid that represents interest-related dividends as exempt from U.S. withholding tax when paid to non-U.S. stockholders with proper documentation.</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The specific tax characteristics of this distribution can be found on our website www.pennantpark.com.</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FLOATING RATE CAPITAL LTD.</w:t>
      </w:r>
    </w:p>
    <w:p>
      <w:pPr>
        <w:spacing w:after="0" w:line="206"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PennantPark Floating Rate Capital Ltd. is a business development company which primarily invests in U.S. middle-market private companies in the form of floating rate senior secured loans, including first lien secured debt, second lien secured debt and subordinated debt. From time to time, the Company may also invest in equity investments. PennantPark Floating Rate Capital Ltd. is managed by PennantPark Investment Advisers, LLC.</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INVESTMENT ADVISERS, LLC</w:t>
      </w:r>
    </w:p>
    <w:p>
      <w:pPr>
        <w:spacing w:after="0" w:line="206" w:lineRule="exact"/>
        <w:rPr>
          <w:sz w:val="20"/>
          <w:szCs w:val="20"/>
          <w:color w:val="auto"/>
        </w:rPr>
      </w:pPr>
    </w:p>
    <w:p>
      <w:pPr>
        <w:ind w:right="40"/>
        <w:spacing w:after="0" w:line="249" w:lineRule="auto"/>
        <w:rPr>
          <w:sz w:val="20"/>
          <w:szCs w:val="20"/>
          <w:color w:val="auto"/>
        </w:rPr>
      </w:pPr>
      <w:r>
        <w:rPr>
          <w:rFonts w:ascii="Arial" w:cs="Arial" w:eastAsia="Arial" w:hAnsi="Arial"/>
          <w:sz w:val="21"/>
          <w:szCs w:val="21"/>
          <w:color w:val="auto"/>
        </w:rPr>
        <w:t>PennantPark Investment Advisers, LLC is a leading middle market credit platform, managing $6.0 billion of investable capital, including potential leverage. Since its inception in 2007, PennantPark Investment Advisers, LLC has provided investors access to middle market credit by offering private equity firms and their portfolio companies as well as other middle-market borrowers a comprehensive range of creative and flexible financing solutions. PennantPark Investment Advisers, LLC is headquartered in Miami and has offices in New York, Chicago, Houston and Los Angeles.</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200" w:lineRule="exact"/>
        <w:rPr>
          <w:sz w:val="20"/>
          <w:szCs w:val="20"/>
          <w:color w:val="auto"/>
        </w:rPr>
      </w:pPr>
    </w:p>
    <w:p>
      <w:pPr>
        <w:spacing w:after="0" w:line="201"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information contained herein is based on current tax laws, which may change in the future. The Company cannot be held responsible for any direct or incidental loss resulting from applying any of the information provided in this publication or from any other source mentioned. The information provided in this material does not constitute any specific legal, tax or accounting advice. Please consult with qualified professionals for this type of advice.</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Richard T. Allorto, Jr.</w:t>
      </w:r>
    </w:p>
    <w:p>
      <w:pPr>
        <w:spacing w:after="0" w:line="230" w:lineRule="auto"/>
        <w:rPr>
          <w:sz w:val="20"/>
          <w:szCs w:val="20"/>
          <w:color w:val="auto"/>
        </w:rPr>
      </w:pPr>
      <w:r>
        <w:rPr>
          <w:rFonts w:ascii="Arial" w:cs="Arial" w:eastAsia="Arial" w:hAnsi="Arial"/>
          <w:sz w:val="22"/>
          <w:szCs w:val="22"/>
          <w:color w:val="auto"/>
        </w:rPr>
        <w:t>PennantPark Floating Rate Capital Ltd.</w:t>
      </w:r>
    </w:p>
    <w:p>
      <w:pPr>
        <w:spacing w:after="0" w:line="1" w:lineRule="exact"/>
        <w:rPr>
          <w:sz w:val="20"/>
          <w:szCs w:val="20"/>
          <w:color w:val="auto"/>
        </w:rPr>
      </w:pPr>
    </w:p>
    <w:p>
      <w:pPr>
        <w:ind w:right="9240" w:firstLine="8"/>
        <w:spacing w:after="0" w:line="308" w:lineRule="auto"/>
        <w:tabs>
          <w:tab w:leader="none" w:pos="522" w:val="left"/>
        </w:tabs>
        <w:numPr>
          <w:ilvl w:val="0"/>
          <w:numId w:val="3"/>
        </w:numPr>
        <w:rPr>
          <w:rFonts w:ascii="Arial" w:cs="Arial" w:eastAsia="Arial" w:hAnsi="Arial"/>
          <w:sz w:val="19"/>
          <w:szCs w:val="19"/>
          <w:color w:val="auto"/>
        </w:rPr>
      </w:pPr>
      <w:r>
        <w:rPr>
          <w:rFonts w:ascii="Arial" w:cs="Arial" w:eastAsia="Arial" w:hAnsi="Arial"/>
          <w:sz w:val="19"/>
          <w:szCs w:val="19"/>
          <w:color w:val="auto"/>
        </w:rPr>
        <w:t>905-1000 www.pennantpark.com</w:t>
      </w: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lvl w:ilvl="1">
      <w:lvlJc w:val="left"/>
      <w:lvlText w:val="(%2)"/>
      <w:numFmt w:val="lowerLetter"/>
      <w:start w:val="2"/>
    </w:lvl>
  </w:abstractNum>
  <w:abstractNum w:abstractNumId="2">
    <w:nsid w:val="19495CFF"/>
    <w:multiLevelType w:val="hybridMultilevel"/>
    <w:lvl w:ilvl="0">
      <w:lvlJc w:val="left"/>
      <w:lvlText w:val="(%1)"/>
      <w:numFmt w:val="decimal"/>
      <w:start w:val="21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2022-10-04T15:49:09Z</dcterms:created>
  <dcterms:modified xsi:type="dcterms:W3CDTF">2022-10-04T15:49:09Z</dcterms:modified>
</cp:coreProperties>
</file>