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20,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November 20, 2019, PennantPark Floating Rate Capital Ltd. issued a press release announcing its financial results for the fourth quarter and fiscal year ended September 30, 2019. A copy of the press release is furnished as Exhibit 99.1 to this report pursuant to Item 2.02 on Form 8-K and Regulation FD.</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right="9340" w:firstLine="8"/>
        <w:spacing w:after="0" w:line="282"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right="8440" w:firstLine="8"/>
        <w:spacing w:after="0" w:line="282"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21" w:lineRule="exact"/>
        <w:rPr>
          <w:rFonts w:ascii="Arial" w:cs="Arial" w:eastAsia="Arial" w:hAnsi="Arial"/>
          <w:sz w:val="18"/>
          <w:szCs w:val="18"/>
          <w:b w:val="1"/>
          <w:bCs w:val="1"/>
          <w:color w:val="auto"/>
        </w:rPr>
      </w:pPr>
    </w:p>
    <w:p>
      <w:pPr>
        <w:ind w:right="8820" w:firstLine="8"/>
        <w:spacing w:after="0" w:line="282"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34" w:lineRule="exact"/>
        <w:rPr>
          <w:rFonts w:ascii="Arial" w:cs="Arial" w:eastAsia="Arial" w:hAnsi="Arial"/>
          <w:sz w:val="18"/>
          <w:szCs w:val="18"/>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Floating Rate Capital Ltd. dated November 20,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900" w:type="dxa"/>
            <w:vAlign w:val="bottom"/>
            <w:gridSpan w:val="3"/>
          </w:tcPr>
          <w:p>
            <w:pPr>
              <w:ind w:left="18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November 20, 2019</w:t>
            </w:r>
          </w:p>
        </w:tc>
        <w:tc>
          <w:tcPr>
            <w:tcW w:w="4900" w:type="dxa"/>
            <w:vAlign w:val="bottom"/>
            <w:gridSpan w:val="3"/>
          </w:tcPr>
          <w:p>
            <w:pPr>
              <w:ind w:left="1800"/>
              <w:spacing w:after="0"/>
              <w:rPr>
                <w:sz w:val="20"/>
                <w:szCs w:val="20"/>
                <w:color w:val="auto"/>
              </w:rPr>
            </w:pPr>
            <w:r>
              <w:rPr>
                <w:rFonts w:ascii="Arial" w:cs="Arial" w:eastAsia="Arial" w:hAnsi="Arial"/>
                <w:sz w:val="18"/>
                <w:szCs w:val="18"/>
                <w:color w:val="auto"/>
              </w:rPr>
              <w:t>By: /s/ Aviv Efrat</w:t>
            </w:r>
          </w:p>
        </w:tc>
      </w:tr>
      <w:tr>
        <w:trPr>
          <w:trHeight w:val="222"/>
        </w:trPr>
        <w:tc>
          <w:tcPr>
            <w:tcW w:w="3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spacing w:after="0" w:line="7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PennantPark Floating Rate Capital Ltd. Announces Financial Results for the Fourth Quarter and Fiscal Year Ended September 30, 2019</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color w:val="auto"/>
        </w:rPr>
        <w:t>NEW YORK, Nov. 20, 2019 (GLOBE NEWSWIRE) -- PennantPark Floating Rate Capital Ltd. (NASDAQ: PFLT) (TASE: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PFLT) announced today financial results for the fourth quarter and fiscal year ended September 30, 2019.</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HIGHLIGHTS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Quarter ended September 30, 2019</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 in millions, except per share amounts)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6220" w:type="dxa"/>
            <w:vAlign w:val="bottom"/>
            <w:gridSpan w:val="2"/>
          </w:tcPr>
          <w:p>
            <w:pPr>
              <w:spacing w:after="0"/>
              <w:rPr>
                <w:sz w:val="20"/>
                <w:szCs w:val="20"/>
                <w:color w:val="auto"/>
              </w:rPr>
            </w:pPr>
            <w:r>
              <w:rPr>
                <w:rFonts w:ascii="Arial" w:cs="Arial" w:eastAsia="Arial" w:hAnsi="Arial"/>
                <w:sz w:val="22"/>
                <w:szCs w:val="22"/>
                <w:color w:val="auto"/>
              </w:rPr>
              <w:t>Assets and Liabilities:</w:t>
            </w:r>
          </w:p>
        </w:tc>
        <w:tc>
          <w:tcPr>
            <w:tcW w:w="39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320"/>
        </w:trPr>
        <w:tc>
          <w:tcPr>
            <w:tcW w:w="6220" w:type="dxa"/>
            <w:vAlign w:val="bottom"/>
            <w:gridSpan w:val="2"/>
          </w:tcPr>
          <w:p>
            <w:pPr>
              <w:ind w:left="26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39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40" w:type="dxa"/>
            <w:vAlign w:val="bottom"/>
          </w:tcPr>
          <w:p>
            <w:pPr>
              <w:jc w:val="right"/>
              <w:spacing w:after="0"/>
              <w:rPr>
                <w:sz w:val="20"/>
                <w:szCs w:val="20"/>
                <w:color w:val="auto"/>
              </w:rPr>
            </w:pPr>
            <w:r>
              <w:rPr>
                <w:rFonts w:ascii="Arial" w:cs="Arial" w:eastAsia="Arial" w:hAnsi="Arial"/>
                <w:sz w:val="22"/>
                <w:szCs w:val="22"/>
                <w:color w:val="auto"/>
              </w:rPr>
              <w:t>1,081.7</w:t>
            </w:r>
          </w:p>
        </w:tc>
      </w:tr>
      <w:tr>
        <w:trPr>
          <w:trHeight w:val="270"/>
        </w:trPr>
        <w:tc>
          <w:tcPr>
            <w:tcW w:w="6220" w:type="dxa"/>
            <w:vAlign w:val="bottom"/>
            <w:gridSpan w:val="2"/>
          </w:tcPr>
          <w:p>
            <w:pPr>
              <w:ind w:left="260"/>
              <w:spacing w:after="0"/>
              <w:rPr>
                <w:sz w:val="20"/>
                <w:szCs w:val="20"/>
                <w:color w:val="auto"/>
              </w:rPr>
            </w:pPr>
            <w:r>
              <w:rPr>
                <w:rFonts w:ascii="Arial" w:cs="Arial" w:eastAsia="Arial" w:hAnsi="Arial"/>
                <w:sz w:val="22"/>
                <w:szCs w:val="22"/>
                <w:color w:val="auto"/>
              </w:rPr>
              <w:t>PSSL investment portfolio</w:t>
            </w:r>
          </w:p>
        </w:tc>
        <w:tc>
          <w:tcPr>
            <w:tcW w:w="39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40" w:type="dxa"/>
            <w:vAlign w:val="bottom"/>
          </w:tcPr>
          <w:p>
            <w:pPr>
              <w:jc w:val="right"/>
              <w:spacing w:after="0"/>
              <w:rPr>
                <w:sz w:val="20"/>
                <w:szCs w:val="20"/>
                <w:color w:val="auto"/>
              </w:rPr>
            </w:pPr>
            <w:r>
              <w:rPr>
                <w:rFonts w:ascii="Arial" w:cs="Arial" w:eastAsia="Arial" w:hAnsi="Arial"/>
                <w:sz w:val="22"/>
                <w:szCs w:val="22"/>
                <w:color w:val="auto"/>
              </w:rPr>
              <w:t>488.5</w:t>
            </w:r>
          </w:p>
        </w:tc>
      </w:tr>
      <w:tr>
        <w:trPr>
          <w:trHeight w:val="270"/>
        </w:trPr>
        <w:tc>
          <w:tcPr>
            <w:tcW w:w="6220" w:type="dxa"/>
            <w:vAlign w:val="bottom"/>
            <w:gridSpan w:val="2"/>
          </w:tcPr>
          <w:p>
            <w:pPr>
              <w:ind w:left="260"/>
              <w:spacing w:after="0"/>
              <w:rPr>
                <w:sz w:val="20"/>
                <w:szCs w:val="20"/>
                <w:color w:val="auto"/>
              </w:rPr>
            </w:pPr>
            <w:r>
              <w:rPr>
                <w:rFonts w:ascii="Arial" w:cs="Arial" w:eastAsia="Arial" w:hAnsi="Arial"/>
                <w:sz w:val="22"/>
                <w:szCs w:val="22"/>
                <w:color w:val="auto"/>
              </w:rPr>
              <w:t>Net assets</w:t>
            </w:r>
          </w:p>
        </w:tc>
        <w:tc>
          <w:tcPr>
            <w:tcW w:w="39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40" w:type="dxa"/>
            <w:vAlign w:val="bottom"/>
          </w:tcPr>
          <w:p>
            <w:pPr>
              <w:jc w:val="right"/>
              <w:spacing w:after="0"/>
              <w:rPr>
                <w:sz w:val="20"/>
                <w:szCs w:val="20"/>
                <w:color w:val="auto"/>
              </w:rPr>
            </w:pPr>
            <w:r>
              <w:rPr>
                <w:rFonts w:ascii="Arial" w:cs="Arial" w:eastAsia="Arial" w:hAnsi="Arial"/>
                <w:sz w:val="22"/>
                <w:szCs w:val="22"/>
                <w:color w:val="auto"/>
              </w:rPr>
              <w:t>503.1</w:t>
            </w:r>
          </w:p>
        </w:tc>
      </w:tr>
      <w:tr>
        <w:trPr>
          <w:trHeight w:val="274"/>
        </w:trPr>
        <w:tc>
          <w:tcPr>
            <w:tcW w:w="6220" w:type="dxa"/>
            <w:vAlign w:val="bottom"/>
            <w:gridSpan w:val="2"/>
          </w:tcPr>
          <w:p>
            <w:pPr>
              <w:ind w:left="260"/>
              <w:spacing w:after="0"/>
              <w:rPr>
                <w:sz w:val="20"/>
                <w:szCs w:val="20"/>
                <w:color w:val="auto"/>
              </w:rPr>
            </w:pPr>
            <w:r>
              <w:rPr>
                <w:rFonts w:ascii="Arial" w:cs="Arial" w:eastAsia="Arial" w:hAnsi="Arial"/>
                <w:sz w:val="22"/>
                <w:szCs w:val="22"/>
                <w:color w:val="auto"/>
              </w:rPr>
              <w:t>Net asset value per share</w:t>
            </w:r>
          </w:p>
        </w:tc>
        <w:tc>
          <w:tcPr>
            <w:tcW w:w="39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40" w:type="dxa"/>
            <w:vAlign w:val="bottom"/>
          </w:tcPr>
          <w:p>
            <w:pPr>
              <w:jc w:val="right"/>
              <w:spacing w:after="0"/>
              <w:rPr>
                <w:sz w:val="20"/>
                <w:szCs w:val="20"/>
                <w:color w:val="auto"/>
              </w:rPr>
            </w:pPr>
            <w:r>
              <w:rPr>
                <w:rFonts w:ascii="Arial" w:cs="Arial" w:eastAsia="Arial" w:hAnsi="Arial"/>
                <w:sz w:val="22"/>
                <w:szCs w:val="22"/>
                <w:color w:val="auto"/>
              </w:rPr>
              <w:t>12.97</w:t>
            </w:r>
          </w:p>
        </w:tc>
      </w:tr>
      <w:tr>
        <w:trPr>
          <w:trHeight w:val="536"/>
        </w:trPr>
        <w:tc>
          <w:tcPr>
            <w:tcW w:w="6220" w:type="dxa"/>
            <w:vAlign w:val="bottom"/>
            <w:gridSpan w:val="2"/>
          </w:tcPr>
          <w:p>
            <w:pPr>
              <w:ind w:left="260"/>
              <w:spacing w:after="0"/>
              <w:rPr>
                <w:sz w:val="20"/>
                <w:szCs w:val="20"/>
                <w:color w:val="auto"/>
              </w:rPr>
            </w:pPr>
            <w:r>
              <w:rPr>
                <w:rFonts w:ascii="Arial" w:cs="Arial" w:eastAsia="Arial" w:hAnsi="Arial"/>
                <w:sz w:val="22"/>
                <w:szCs w:val="22"/>
                <w:color w:val="auto"/>
              </w:rPr>
              <w:t>Credit Facility</w:t>
            </w:r>
          </w:p>
        </w:tc>
        <w:tc>
          <w:tcPr>
            <w:tcW w:w="39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40" w:type="dxa"/>
            <w:vAlign w:val="bottom"/>
          </w:tcPr>
          <w:p>
            <w:pPr>
              <w:jc w:val="right"/>
              <w:spacing w:after="0"/>
              <w:rPr>
                <w:sz w:val="20"/>
                <w:szCs w:val="20"/>
                <w:color w:val="auto"/>
              </w:rPr>
            </w:pPr>
            <w:r>
              <w:rPr>
                <w:rFonts w:ascii="Arial" w:cs="Arial" w:eastAsia="Arial" w:hAnsi="Arial"/>
                <w:sz w:val="22"/>
                <w:szCs w:val="22"/>
                <w:color w:val="auto"/>
              </w:rPr>
              <w:t>264.0</w:t>
            </w:r>
          </w:p>
        </w:tc>
      </w:tr>
      <w:tr>
        <w:trPr>
          <w:trHeight w:val="270"/>
        </w:trPr>
        <w:tc>
          <w:tcPr>
            <w:tcW w:w="720" w:type="dxa"/>
            <w:vAlign w:val="bottom"/>
          </w:tcPr>
          <w:p>
            <w:pPr>
              <w:ind w:left="260"/>
              <w:spacing w:after="0"/>
              <w:rPr>
                <w:sz w:val="20"/>
                <w:szCs w:val="20"/>
                <w:color w:val="auto"/>
              </w:rPr>
            </w:pPr>
            <w:r>
              <w:rPr>
                <w:rFonts w:ascii="Arial" w:cs="Arial" w:eastAsia="Arial" w:hAnsi="Arial"/>
                <w:sz w:val="22"/>
                <w:szCs w:val="22"/>
                <w:color w:val="auto"/>
                <w:w w:val="89"/>
              </w:rPr>
              <w:t>2023</w:t>
            </w:r>
          </w:p>
        </w:tc>
        <w:tc>
          <w:tcPr>
            <w:tcW w:w="5500" w:type="dxa"/>
            <w:vAlign w:val="bottom"/>
          </w:tcPr>
          <w:p>
            <w:pPr>
              <w:ind w:left="20"/>
              <w:spacing w:after="0"/>
              <w:rPr>
                <w:sz w:val="20"/>
                <w:szCs w:val="20"/>
                <w:color w:val="auto"/>
              </w:rPr>
            </w:pPr>
            <w:r>
              <w:rPr>
                <w:rFonts w:ascii="Arial" w:cs="Arial" w:eastAsia="Arial" w:hAnsi="Arial"/>
                <w:sz w:val="22"/>
                <w:szCs w:val="22"/>
                <w:color w:val="auto"/>
              </w:rPr>
              <w:t>Notes</w:t>
            </w:r>
          </w:p>
        </w:tc>
        <w:tc>
          <w:tcPr>
            <w:tcW w:w="39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40" w:type="dxa"/>
            <w:vAlign w:val="bottom"/>
          </w:tcPr>
          <w:p>
            <w:pPr>
              <w:jc w:val="right"/>
              <w:spacing w:after="0"/>
              <w:rPr>
                <w:sz w:val="20"/>
                <w:szCs w:val="20"/>
                <w:color w:val="auto"/>
              </w:rPr>
            </w:pPr>
            <w:r>
              <w:rPr>
                <w:rFonts w:ascii="Arial" w:cs="Arial" w:eastAsia="Arial" w:hAnsi="Arial"/>
                <w:sz w:val="22"/>
                <w:szCs w:val="22"/>
                <w:color w:val="auto"/>
              </w:rPr>
              <w:t>135.2</w:t>
            </w:r>
          </w:p>
        </w:tc>
      </w:tr>
      <w:tr>
        <w:trPr>
          <w:trHeight w:val="274"/>
        </w:trPr>
        <w:tc>
          <w:tcPr>
            <w:tcW w:w="720" w:type="dxa"/>
            <w:vAlign w:val="bottom"/>
          </w:tcPr>
          <w:p>
            <w:pPr>
              <w:ind w:left="260"/>
              <w:spacing w:after="0"/>
              <w:rPr>
                <w:sz w:val="20"/>
                <w:szCs w:val="20"/>
                <w:color w:val="auto"/>
              </w:rPr>
            </w:pPr>
            <w:r>
              <w:rPr>
                <w:rFonts w:ascii="Arial" w:cs="Arial" w:eastAsia="Arial" w:hAnsi="Arial"/>
                <w:sz w:val="22"/>
                <w:szCs w:val="22"/>
                <w:color w:val="auto"/>
                <w:w w:val="89"/>
              </w:rPr>
              <w:t>2031</w:t>
            </w:r>
          </w:p>
        </w:tc>
        <w:tc>
          <w:tcPr>
            <w:tcW w:w="5500" w:type="dxa"/>
            <w:vAlign w:val="bottom"/>
          </w:tcPr>
          <w:p>
            <w:pPr>
              <w:ind w:left="20"/>
              <w:spacing w:after="0"/>
              <w:rPr>
                <w:sz w:val="20"/>
                <w:szCs w:val="20"/>
                <w:color w:val="auto"/>
              </w:rPr>
            </w:pPr>
            <w:r>
              <w:rPr>
                <w:rFonts w:ascii="Arial" w:cs="Arial" w:eastAsia="Arial" w:hAnsi="Arial"/>
                <w:sz w:val="22"/>
                <w:szCs w:val="22"/>
                <w:color w:val="auto"/>
              </w:rPr>
              <w:t>Asset-Backed Debt</w:t>
            </w:r>
          </w:p>
        </w:tc>
        <w:tc>
          <w:tcPr>
            <w:tcW w:w="39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40" w:type="dxa"/>
            <w:vAlign w:val="bottom"/>
          </w:tcPr>
          <w:p>
            <w:pPr>
              <w:jc w:val="right"/>
              <w:spacing w:after="0"/>
              <w:rPr>
                <w:sz w:val="20"/>
                <w:szCs w:val="20"/>
                <w:color w:val="auto"/>
              </w:rPr>
            </w:pPr>
            <w:r>
              <w:rPr>
                <w:rFonts w:ascii="Arial" w:cs="Arial" w:eastAsia="Arial" w:hAnsi="Arial"/>
                <w:sz w:val="22"/>
                <w:szCs w:val="22"/>
                <w:color w:val="auto"/>
              </w:rPr>
              <w:t>224.3</w:t>
            </w:r>
          </w:p>
        </w:tc>
      </w:tr>
    </w:tbl>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960" w:type="dxa"/>
            <w:vAlign w:val="bottom"/>
          </w:tcPr>
          <w:p>
            <w:pPr>
              <w:spacing w:after="0"/>
              <w:rPr>
                <w:sz w:val="20"/>
                <w:szCs w:val="20"/>
                <w:color w:val="auto"/>
              </w:rPr>
            </w:pPr>
            <w:r>
              <w:rPr>
                <w:rFonts w:ascii="Arial" w:cs="Arial" w:eastAsia="Arial" w:hAnsi="Arial"/>
                <w:sz w:val="22"/>
                <w:szCs w:val="22"/>
                <w:color w:val="auto"/>
              </w:rPr>
              <w:t>Yield on debt investments at quarter-end</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8.7%</w:t>
            </w:r>
          </w:p>
        </w:tc>
      </w:tr>
      <w:tr>
        <w:trPr>
          <w:trHeight w:val="908"/>
        </w:trPr>
        <w:tc>
          <w:tcPr>
            <w:tcW w:w="7960" w:type="dxa"/>
            <w:vAlign w:val="bottom"/>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Arial" w:cs="Arial" w:eastAsia="Arial" w:hAnsi="Arial"/>
                <w:sz w:val="22"/>
                <w:szCs w:val="22"/>
                <w:b w:val="1"/>
                <w:bCs w:val="1"/>
                <w:color w:val="auto"/>
              </w:rPr>
              <w:t>Quarter Ended</w:t>
            </w:r>
          </w:p>
        </w:tc>
        <w:tc>
          <w:tcPr>
            <w:tcW w:w="16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89"/>
              </w:rPr>
              <w:t>Year Ended</w:t>
            </w:r>
          </w:p>
        </w:tc>
      </w:tr>
      <w:tr>
        <w:trPr>
          <w:trHeight w:val="243"/>
        </w:trPr>
        <w:tc>
          <w:tcPr>
            <w:tcW w:w="7960" w:type="dxa"/>
            <w:vAlign w:val="bottom"/>
          </w:tcPr>
          <w:p>
            <w:pPr>
              <w:spacing w:after="0"/>
              <w:rPr>
                <w:sz w:val="21"/>
                <w:szCs w:val="21"/>
                <w:color w:val="auto"/>
              </w:rPr>
            </w:pPr>
          </w:p>
        </w:tc>
        <w:tc>
          <w:tcPr>
            <w:tcW w:w="1680" w:type="dxa"/>
            <w:vAlign w:val="bottom"/>
            <w:gridSpan w:val="3"/>
          </w:tcPr>
          <w:p>
            <w:pPr>
              <w:ind w:left="80"/>
              <w:spacing w:after="0" w:line="243" w:lineRule="exact"/>
              <w:rPr>
                <w:sz w:val="20"/>
                <w:szCs w:val="20"/>
                <w:color w:val="auto"/>
              </w:rPr>
            </w:pPr>
            <w:r>
              <w:rPr>
                <w:rFonts w:ascii="Arial" w:cs="Arial" w:eastAsia="Arial" w:hAnsi="Arial"/>
                <w:sz w:val="22"/>
                <w:szCs w:val="22"/>
                <w:b w:val="1"/>
                <w:bCs w:val="1"/>
                <w:color w:val="auto"/>
              </w:rPr>
              <w:t>September 30,</w:t>
            </w:r>
          </w:p>
        </w:tc>
        <w:tc>
          <w:tcPr>
            <w:tcW w:w="1560" w:type="dxa"/>
            <w:vAlign w:val="bottom"/>
            <w:gridSpan w:val="3"/>
          </w:tcPr>
          <w:p>
            <w:pPr>
              <w:jc w:val="center"/>
              <w:ind w:right="80"/>
              <w:spacing w:after="0" w:line="243" w:lineRule="exact"/>
              <w:rPr>
                <w:sz w:val="20"/>
                <w:szCs w:val="20"/>
                <w:color w:val="auto"/>
              </w:rPr>
            </w:pPr>
            <w:r>
              <w:rPr>
                <w:rFonts w:ascii="Arial" w:cs="Arial" w:eastAsia="Arial" w:hAnsi="Arial"/>
                <w:sz w:val="22"/>
                <w:szCs w:val="22"/>
                <w:b w:val="1"/>
                <w:bCs w:val="1"/>
                <w:color w:val="auto"/>
                <w:w w:val="87"/>
              </w:rPr>
              <w:t>September 30,</w:t>
            </w:r>
          </w:p>
        </w:tc>
      </w:tr>
      <w:tr>
        <w:trPr>
          <w:trHeight w:val="280"/>
        </w:trPr>
        <w:tc>
          <w:tcPr>
            <w:tcW w:w="7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2019</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2019</w:t>
            </w:r>
          </w:p>
        </w:tc>
        <w:tc>
          <w:tcPr>
            <w:tcW w:w="80" w:type="dxa"/>
            <w:vAlign w:val="bottom"/>
          </w:tcPr>
          <w:p>
            <w:pPr>
              <w:spacing w:after="0"/>
              <w:rPr>
                <w:sz w:val="24"/>
                <w:szCs w:val="24"/>
                <w:color w:val="auto"/>
              </w:rPr>
            </w:pPr>
          </w:p>
        </w:tc>
      </w:tr>
      <w:tr>
        <w:trPr>
          <w:trHeight w:val="259"/>
        </w:trPr>
        <w:tc>
          <w:tcPr>
            <w:tcW w:w="7960" w:type="dxa"/>
            <w:vAlign w:val="bottom"/>
          </w:tcPr>
          <w:p>
            <w:pPr>
              <w:spacing w:after="0"/>
              <w:rPr>
                <w:sz w:val="20"/>
                <w:szCs w:val="20"/>
                <w:color w:val="auto"/>
              </w:rPr>
            </w:pPr>
            <w:r>
              <w:rPr>
                <w:rFonts w:ascii="Arial" w:cs="Arial" w:eastAsia="Arial" w:hAnsi="Arial"/>
                <w:sz w:val="22"/>
                <w:szCs w:val="22"/>
                <w:color w:val="auto"/>
              </w:rPr>
              <w:t>Operating Results: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960" w:type="dxa"/>
            <w:vAlign w:val="bottom"/>
          </w:tcPr>
          <w:p>
            <w:pPr>
              <w:ind w:left="260"/>
              <w:spacing w:after="0"/>
              <w:rPr>
                <w:sz w:val="20"/>
                <w:szCs w:val="20"/>
                <w:color w:val="auto"/>
              </w:rPr>
            </w:pPr>
            <w:r>
              <w:rPr>
                <w:rFonts w:ascii="Arial" w:cs="Arial" w:eastAsia="Arial" w:hAnsi="Arial"/>
                <w:sz w:val="22"/>
                <w:szCs w:val="22"/>
                <w:color w:val="auto"/>
              </w:rPr>
              <w:t>Net investment income</w:t>
            </w:r>
          </w:p>
        </w:tc>
        <w:tc>
          <w:tcPr>
            <w:tcW w:w="320" w:type="dxa"/>
            <w:vAlign w:val="bottom"/>
          </w:tcPr>
          <w:p>
            <w:pPr>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11.4</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Pr>
          <w:p>
            <w:pPr>
              <w:jc w:val="right"/>
              <w:spacing w:after="0"/>
              <w:rPr>
                <w:sz w:val="20"/>
                <w:szCs w:val="20"/>
                <w:color w:val="auto"/>
              </w:rPr>
            </w:pPr>
            <w:r>
              <w:rPr>
                <w:rFonts w:ascii="Arial" w:cs="Arial" w:eastAsia="Arial" w:hAnsi="Arial"/>
                <w:sz w:val="22"/>
                <w:szCs w:val="22"/>
                <w:color w:val="auto"/>
              </w:rPr>
              <w:t>45.5</w:t>
            </w:r>
          </w:p>
        </w:tc>
        <w:tc>
          <w:tcPr>
            <w:tcW w:w="80" w:type="dxa"/>
            <w:vAlign w:val="bottom"/>
          </w:tcPr>
          <w:p>
            <w:pPr>
              <w:spacing w:after="0"/>
              <w:rPr>
                <w:sz w:val="23"/>
                <w:szCs w:val="23"/>
                <w:color w:val="auto"/>
              </w:rPr>
            </w:pPr>
          </w:p>
        </w:tc>
      </w:tr>
      <w:tr>
        <w:trPr>
          <w:trHeight w:val="270"/>
        </w:trPr>
        <w:tc>
          <w:tcPr>
            <w:tcW w:w="7960" w:type="dxa"/>
            <w:vAlign w:val="bottom"/>
          </w:tcPr>
          <w:p>
            <w:pPr>
              <w:ind w:left="260"/>
              <w:spacing w:after="0"/>
              <w:rPr>
                <w:sz w:val="20"/>
                <w:szCs w:val="20"/>
                <w:color w:val="auto"/>
              </w:rPr>
            </w:pPr>
            <w:r>
              <w:rPr>
                <w:rFonts w:ascii="Arial" w:cs="Arial" w:eastAsia="Arial" w:hAnsi="Arial"/>
                <w:sz w:val="22"/>
                <w:szCs w:val="22"/>
                <w:color w:val="auto"/>
              </w:rPr>
              <w:t>GAAP net investment income per share</w:t>
            </w:r>
          </w:p>
        </w:tc>
        <w:tc>
          <w:tcPr>
            <w:tcW w:w="320" w:type="dxa"/>
            <w:vAlign w:val="bottom"/>
          </w:tcPr>
          <w:p>
            <w:pPr>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0.29</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Pr>
          <w:p>
            <w:pPr>
              <w:jc w:val="right"/>
              <w:spacing w:after="0"/>
              <w:rPr>
                <w:sz w:val="20"/>
                <w:szCs w:val="20"/>
                <w:color w:val="auto"/>
              </w:rPr>
            </w:pPr>
            <w:r>
              <w:rPr>
                <w:rFonts w:ascii="Arial" w:cs="Arial" w:eastAsia="Arial" w:hAnsi="Arial"/>
                <w:sz w:val="22"/>
                <w:szCs w:val="22"/>
                <w:color w:val="auto"/>
              </w:rPr>
              <w:t>1.17</w:t>
            </w:r>
          </w:p>
        </w:tc>
        <w:tc>
          <w:tcPr>
            <w:tcW w:w="80" w:type="dxa"/>
            <w:vAlign w:val="bottom"/>
          </w:tcPr>
          <w:p>
            <w:pPr>
              <w:spacing w:after="0"/>
              <w:rPr>
                <w:sz w:val="23"/>
                <w:szCs w:val="23"/>
                <w:color w:val="auto"/>
              </w:rPr>
            </w:pPr>
          </w:p>
        </w:tc>
      </w:tr>
      <w:tr>
        <w:trPr>
          <w:trHeight w:val="270"/>
        </w:trPr>
        <w:tc>
          <w:tcPr>
            <w:tcW w:w="7960" w:type="dxa"/>
            <w:vAlign w:val="bottom"/>
          </w:tcPr>
          <w:p>
            <w:pPr>
              <w:ind w:left="260"/>
              <w:spacing w:after="0"/>
              <w:rPr>
                <w:sz w:val="20"/>
                <w:szCs w:val="20"/>
                <w:color w:val="auto"/>
              </w:rPr>
            </w:pPr>
            <w:r>
              <w:rPr>
                <w:rFonts w:ascii="Arial" w:cs="Arial" w:eastAsia="Arial" w:hAnsi="Arial"/>
                <w:sz w:val="22"/>
                <w:szCs w:val="22"/>
                <w:color w:val="auto"/>
              </w:rPr>
              <w:t>Capital gain incentive fee accrued but not payable per share</w:t>
            </w:r>
          </w:p>
        </w:tc>
        <w:tc>
          <w:tcPr>
            <w:tcW w:w="320" w:type="dxa"/>
            <w:vAlign w:val="bottom"/>
          </w:tcPr>
          <w:p>
            <w:pPr>
              <w:spacing w:after="0"/>
              <w:rPr>
                <w:sz w:val="20"/>
                <w:szCs w:val="20"/>
                <w:color w:val="auto"/>
              </w:rPr>
            </w:pPr>
            <w:r>
              <w:rPr>
                <w:rFonts w:ascii="Arial" w:cs="Arial" w:eastAsia="Arial" w:hAnsi="Arial"/>
                <w:sz w:val="22"/>
                <w:szCs w:val="22"/>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(0.04)</w:t>
            </w:r>
          </w:p>
        </w:tc>
      </w:tr>
      <w:tr>
        <w:trPr>
          <w:trHeight w:val="274"/>
        </w:trPr>
        <w:tc>
          <w:tcPr>
            <w:tcW w:w="7960" w:type="dxa"/>
            <w:vAlign w:val="bottom"/>
          </w:tcPr>
          <w:p>
            <w:pPr>
              <w:ind w:left="260"/>
              <w:spacing w:after="0"/>
              <w:rPr>
                <w:sz w:val="20"/>
                <w:szCs w:val="20"/>
                <w:color w:val="auto"/>
              </w:rPr>
            </w:pPr>
            <w:r>
              <w:rPr>
                <w:rFonts w:ascii="Arial" w:cs="Arial" w:eastAsia="Arial" w:hAnsi="Arial"/>
                <w:sz w:val="22"/>
                <w:szCs w:val="22"/>
                <w:color w:val="auto"/>
              </w:rPr>
              <w:t>Credit facility amendment costs per share</w:t>
            </w:r>
          </w:p>
        </w:tc>
        <w:tc>
          <w:tcPr>
            <w:tcW w:w="320" w:type="dxa"/>
            <w:vAlign w:val="bottom"/>
          </w:tcPr>
          <w:p>
            <w:pPr>
              <w:spacing w:after="0"/>
              <w:rPr>
                <w:sz w:val="20"/>
                <w:szCs w:val="20"/>
                <w:color w:val="auto"/>
              </w:rPr>
            </w:pPr>
            <w:r>
              <w:rPr>
                <w:rFonts w:ascii="Arial" w:cs="Arial" w:eastAsia="Arial" w:hAnsi="Arial"/>
                <w:sz w:val="22"/>
                <w:szCs w:val="22"/>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Pr>
          <w:p>
            <w:pPr>
              <w:jc w:val="right"/>
              <w:spacing w:after="0"/>
              <w:rPr>
                <w:sz w:val="20"/>
                <w:szCs w:val="20"/>
                <w:color w:val="auto"/>
              </w:rPr>
            </w:pPr>
            <w:r>
              <w:rPr>
                <w:rFonts w:ascii="Arial" w:cs="Arial" w:eastAsia="Arial" w:hAnsi="Arial"/>
                <w:sz w:val="22"/>
                <w:szCs w:val="22"/>
                <w:color w:val="auto"/>
              </w:rPr>
              <w:t>0.12</w:t>
            </w:r>
          </w:p>
        </w:tc>
        <w:tc>
          <w:tcPr>
            <w:tcW w:w="80" w:type="dxa"/>
            <w:vAlign w:val="bottom"/>
          </w:tcPr>
          <w:p>
            <w:pPr>
              <w:spacing w:after="0"/>
              <w:rPr>
                <w:sz w:val="23"/>
                <w:szCs w:val="23"/>
                <w:color w:val="auto"/>
              </w:rPr>
            </w:pPr>
          </w:p>
        </w:tc>
      </w:tr>
      <w:tr>
        <w:trPr>
          <w:trHeight w:val="320"/>
        </w:trPr>
        <w:tc>
          <w:tcPr>
            <w:tcW w:w="7960" w:type="dxa"/>
            <w:vAlign w:val="bottom"/>
          </w:tcPr>
          <w:p>
            <w:pPr>
              <w:ind w:left="260"/>
              <w:spacing w:after="0" w:line="319" w:lineRule="exact"/>
              <w:rPr>
                <w:sz w:val="20"/>
                <w:szCs w:val="20"/>
                <w:color w:val="auto"/>
              </w:rPr>
            </w:pPr>
            <w:r>
              <w:rPr>
                <w:rFonts w:ascii="Arial" w:cs="Arial" w:eastAsia="Arial" w:hAnsi="Arial"/>
                <w:sz w:val="22"/>
                <w:szCs w:val="22"/>
                <w:color w:val="auto"/>
              </w:rPr>
              <w:t xml:space="preserve">Core net investment income per share </w:t>
            </w:r>
            <w:r>
              <w:rPr>
                <w:rFonts w:ascii="Arial" w:cs="Arial" w:eastAsia="Arial" w:hAnsi="Arial"/>
                <w:sz w:val="35"/>
                <w:szCs w:val="35"/>
                <w:color w:val="auto"/>
                <w:vertAlign w:val="superscript"/>
              </w:rPr>
              <w:t>(2)</w:t>
            </w:r>
          </w:p>
        </w:tc>
        <w:tc>
          <w:tcPr>
            <w:tcW w:w="320" w:type="dxa"/>
            <w:vAlign w:val="bottom"/>
          </w:tcPr>
          <w:p>
            <w:pPr>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0.29</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Pr>
          <w:p>
            <w:pPr>
              <w:jc w:val="right"/>
              <w:spacing w:after="0"/>
              <w:rPr>
                <w:sz w:val="20"/>
                <w:szCs w:val="20"/>
                <w:color w:val="auto"/>
              </w:rPr>
            </w:pPr>
            <w:r>
              <w:rPr>
                <w:rFonts w:ascii="Arial" w:cs="Arial" w:eastAsia="Arial" w:hAnsi="Arial"/>
                <w:sz w:val="22"/>
                <w:szCs w:val="22"/>
                <w:color w:val="auto"/>
              </w:rPr>
              <w:t>1.25</w:t>
            </w:r>
          </w:p>
        </w:tc>
        <w:tc>
          <w:tcPr>
            <w:tcW w:w="80" w:type="dxa"/>
            <w:vAlign w:val="bottom"/>
          </w:tcPr>
          <w:p>
            <w:pPr>
              <w:spacing w:after="0"/>
              <w:rPr>
                <w:sz w:val="24"/>
                <w:szCs w:val="24"/>
                <w:color w:val="auto"/>
              </w:rPr>
            </w:pPr>
          </w:p>
        </w:tc>
      </w:tr>
      <w:tr>
        <w:trPr>
          <w:trHeight w:val="274"/>
        </w:trPr>
        <w:tc>
          <w:tcPr>
            <w:tcW w:w="7960" w:type="dxa"/>
            <w:vAlign w:val="bottom"/>
          </w:tcPr>
          <w:p>
            <w:pPr>
              <w:ind w:left="260"/>
              <w:spacing w:after="0"/>
              <w:rPr>
                <w:sz w:val="20"/>
                <w:szCs w:val="20"/>
                <w:color w:val="auto"/>
              </w:rPr>
            </w:pPr>
            <w:r>
              <w:rPr>
                <w:rFonts w:ascii="Arial" w:cs="Arial" w:eastAsia="Arial" w:hAnsi="Arial"/>
                <w:sz w:val="22"/>
                <w:szCs w:val="22"/>
                <w:color w:val="auto"/>
              </w:rPr>
              <w:t>Distributions declared per share</w:t>
            </w:r>
          </w:p>
        </w:tc>
        <w:tc>
          <w:tcPr>
            <w:tcW w:w="320" w:type="dxa"/>
            <w:vAlign w:val="bottom"/>
          </w:tcPr>
          <w:p>
            <w:pPr>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0.285</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Pr>
          <w:p>
            <w:pPr>
              <w:jc w:val="right"/>
              <w:spacing w:after="0"/>
              <w:rPr>
                <w:sz w:val="20"/>
                <w:szCs w:val="20"/>
                <w:color w:val="auto"/>
              </w:rPr>
            </w:pPr>
            <w:r>
              <w:rPr>
                <w:rFonts w:ascii="Arial" w:cs="Arial" w:eastAsia="Arial" w:hAnsi="Arial"/>
                <w:sz w:val="22"/>
                <w:szCs w:val="22"/>
                <w:color w:val="auto"/>
              </w:rPr>
              <w:t>1.14</w:t>
            </w:r>
          </w:p>
        </w:tc>
        <w:tc>
          <w:tcPr>
            <w:tcW w:w="80" w:type="dxa"/>
            <w:vAlign w:val="bottom"/>
          </w:tcPr>
          <w:p>
            <w:pPr>
              <w:spacing w:after="0"/>
              <w:rPr>
                <w:sz w:val="23"/>
                <w:szCs w:val="23"/>
                <w:color w:val="auto"/>
              </w:rPr>
            </w:pPr>
          </w:p>
        </w:tc>
      </w:tr>
      <w:tr>
        <w:trPr>
          <w:trHeight w:val="536"/>
        </w:trPr>
        <w:tc>
          <w:tcPr>
            <w:tcW w:w="7960" w:type="dxa"/>
            <w:vAlign w:val="bottom"/>
          </w:tcPr>
          <w:p>
            <w:pPr>
              <w:spacing w:after="0"/>
              <w:rPr>
                <w:sz w:val="20"/>
                <w:szCs w:val="20"/>
                <w:color w:val="auto"/>
              </w:rPr>
            </w:pPr>
            <w:r>
              <w:rPr>
                <w:rFonts w:ascii="Arial" w:cs="Arial" w:eastAsia="Arial" w:hAnsi="Arial"/>
                <w:sz w:val="22"/>
                <w:szCs w:val="22"/>
                <w:color w:val="auto"/>
              </w:rPr>
              <w:t>Portfolio Activity:</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7960" w:type="dxa"/>
            <w:vAlign w:val="bottom"/>
          </w:tcPr>
          <w:p>
            <w:pPr>
              <w:ind w:left="260"/>
              <w:spacing w:after="0"/>
              <w:rPr>
                <w:sz w:val="20"/>
                <w:szCs w:val="20"/>
                <w:color w:val="auto"/>
              </w:rPr>
            </w:pPr>
            <w:r>
              <w:rPr>
                <w:rFonts w:ascii="Arial" w:cs="Arial" w:eastAsia="Arial" w:hAnsi="Arial"/>
                <w:sz w:val="22"/>
                <w:szCs w:val="22"/>
                <w:color w:val="auto"/>
              </w:rPr>
              <w:t>Purchases of investments</w:t>
            </w:r>
          </w:p>
        </w:tc>
        <w:tc>
          <w:tcPr>
            <w:tcW w:w="320" w:type="dxa"/>
            <w:vAlign w:val="bottom"/>
          </w:tcPr>
          <w:p>
            <w:pPr>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140.6</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Pr>
          <w:p>
            <w:pPr>
              <w:jc w:val="right"/>
              <w:spacing w:after="0"/>
              <w:rPr>
                <w:sz w:val="20"/>
                <w:szCs w:val="20"/>
                <w:color w:val="auto"/>
              </w:rPr>
            </w:pPr>
            <w:r>
              <w:rPr>
                <w:rFonts w:ascii="Arial" w:cs="Arial" w:eastAsia="Arial" w:hAnsi="Arial"/>
                <w:sz w:val="22"/>
                <w:szCs w:val="22"/>
                <w:color w:val="auto"/>
              </w:rPr>
              <w:t>640.1</w:t>
            </w:r>
          </w:p>
        </w:tc>
        <w:tc>
          <w:tcPr>
            <w:tcW w:w="80" w:type="dxa"/>
            <w:vAlign w:val="bottom"/>
          </w:tcPr>
          <w:p>
            <w:pPr>
              <w:spacing w:after="0"/>
              <w:rPr>
                <w:sz w:val="23"/>
                <w:szCs w:val="23"/>
                <w:color w:val="auto"/>
              </w:rPr>
            </w:pPr>
          </w:p>
        </w:tc>
      </w:tr>
      <w:tr>
        <w:trPr>
          <w:trHeight w:val="274"/>
        </w:trPr>
        <w:tc>
          <w:tcPr>
            <w:tcW w:w="7960" w:type="dxa"/>
            <w:vAlign w:val="bottom"/>
          </w:tcPr>
          <w:p>
            <w:pPr>
              <w:ind w:left="260"/>
              <w:spacing w:after="0"/>
              <w:rPr>
                <w:sz w:val="20"/>
                <w:szCs w:val="20"/>
                <w:color w:val="auto"/>
              </w:rPr>
            </w:pPr>
            <w:r>
              <w:rPr>
                <w:rFonts w:ascii="Arial" w:cs="Arial" w:eastAsia="Arial" w:hAnsi="Arial"/>
                <w:sz w:val="22"/>
                <w:szCs w:val="22"/>
                <w:color w:val="auto"/>
              </w:rPr>
              <w:t>Sales and repayments of investments</w:t>
            </w:r>
          </w:p>
        </w:tc>
        <w:tc>
          <w:tcPr>
            <w:tcW w:w="320" w:type="dxa"/>
            <w:vAlign w:val="bottom"/>
          </w:tcPr>
          <w:p>
            <w:pPr>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127.1</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Pr>
          <w:p>
            <w:pPr>
              <w:jc w:val="right"/>
              <w:spacing w:after="0"/>
              <w:rPr>
                <w:sz w:val="20"/>
                <w:szCs w:val="20"/>
                <w:color w:val="auto"/>
              </w:rPr>
            </w:pPr>
            <w:r>
              <w:rPr>
                <w:rFonts w:ascii="Arial" w:cs="Arial" w:eastAsia="Arial" w:hAnsi="Arial"/>
                <w:sz w:val="22"/>
                <w:szCs w:val="22"/>
                <w:color w:val="auto"/>
              </w:rPr>
              <w:t>527.3</w:t>
            </w:r>
          </w:p>
        </w:tc>
        <w:tc>
          <w:tcPr>
            <w:tcW w:w="80" w:type="dxa"/>
            <w:vAlign w:val="bottom"/>
          </w:tcPr>
          <w:p>
            <w:pPr>
              <w:spacing w:after="0"/>
              <w:rPr>
                <w:sz w:val="23"/>
                <w:szCs w:val="23"/>
                <w:color w:val="auto"/>
              </w:rPr>
            </w:pPr>
          </w:p>
        </w:tc>
      </w:tr>
      <w:tr>
        <w:trPr>
          <w:trHeight w:val="536"/>
        </w:trPr>
        <w:tc>
          <w:tcPr>
            <w:tcW w:w="7960" w:type="dxa"/>
            <w:vAlign w:val="bottom"/>
          </w:tcPr>
          <w:p>
            <w:pPr>
              <w:ind w:left="260"/>
              <w:spacing w:after="0"/>
              <w:rPr>
                <w:sz w:val="20"/>
                <w:szCs w:val="20"/>
                <w:color w:val="auto"/>
              </w:rPr>
            </w:pPr>
            <w:r>
              <w:rPr>
                <w:rFonts w:ascii="Arial" w:cs="Arial" w:eastAsia="Arial" w:hAnsi="Arial"/>
                <w:sz w:val="22"/>
                <w:szCs w:val="22"/>
                <w:color w:val="auto"/>
              </w:rPr>
              <w:t>Number of new portfolio companies invested</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28</w:t>
            </w:r>
          </w:p>
        </w:tc>
        <w:tc>
          <w:tcPr>
            <w:tcW w:w="80" w:type="dxa"/>
            <w:vAlign w:val="bottom"/>
          </w:tcPr>
          <w:p>
            <w:pPr>
              <w:spacing w:after="0"/>
              <w:rPr>
                <w:sz w:val="24"/>
                <w:szCs w:val="24"/>
                <w:color w:val="auto"/>
              </w:rPr>
            </w:pPr>
          </w:p>
        </w:tc>
      </w:tr>
      <w:tr>
        <w:trPr>
          <w:trHeight w:val="270"/>
        </w:trPr>
        <w:tc>
          <w:tcPr>
            <w:tcW w:w="7960" w:type="dxa"/>
            <w:vAlign w:val="bottom"/>
          </w:tcPr>
          <w:p>
            <w:pPr>
              <w:ind w:left="260"/>
              <w:spacing w:after="0"/>
              <w:rPr>
                <w:sz w:val="20"/>
                <w:szCs w:val="20"/>
                <w:color w:val="auto"/>
              </w:rPr>
            </w:pPr>
            <w:r>
              <w:rPr>
                <w:rFonts w:ascii="Arial" w:cs="Arial" w:eastAsia="Arial" w:hAnsi="Arial"/>
                <w:sz w:val="22"/>
                <w:szCs w:val="22"/>
                <w:color w:val="auto"/>
              </w:rPr>
              <w:t>Number of existing portfolio companies invested</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83</w:t>
            </w:r>
          </w:p>
        </w:tc>
        <w:tc>
          <w:tcPr>
            <w:tcW w:w="80" w:type="dxa"/>
            <w:vAlign w:val="bottom"/>
          </w:tcPr>
          <w:p>
            <w:pPr>
              <w:spacing w:after="0"/>
              <w:rPr>
                <w:sz w:val="23"/>
                <w:szCs w:val="23"/>
                <w:color w:val="auto"/>
              </w:rPr>
            </w:pPr>
          </w:p>
        </w:tc>
      </w:tr>
      <w:tr>
        <w:trPr>
          <w:trHeight w:val="274"/>
        </w:trPr>
        <w:tc>
          <w:tcPr>
            <w:tcW w:w="7960" w:type="dxa"/>
            <w:vAlign w:val="bottom"/>
          </w:tcPr>
          <w:p>
            <w:pPr>
              <w:ind w:left="260"/>
              <w:spacing w:after="0"/>
              <w:rPr>
                <w:sz w:val="20"/>
                <w:szCs w:val="20"/>
                <w:color w:val="auto"/>
              </w:rPr>
            </w:pPr>
            <w:r>
              <w:rPr>
                <w:rFonts w:ascii="Arial" w:cs="Arial" w:eastAsia="Arial" w:hAnsi="Arial"/>
                <w:sz w:val="22"/>
                <w:szCs w:val="22"/>
                <w:color w:val="auto"/>
              </w:rPr>
              <w:t>Number of ending portfolio companies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95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95</w:t>
            </w:r>
          </w:p>
        </w:tc>
        <w:tc>
          <w:tcPr>
            <w:tcW w:w="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right="360" w:hanging="299"/>
        <w:spacing w:after="0" w:line="245"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22"/>
          <w:szCs w:val="22"/>
          <w:color w:val="auto"/>
        </w:rPr>
        <w:t>Includes investments in PennantPark Senior Secured Loan Fund I LLC, or PSSL, an unconsolidated joint venture, totaling $172.2 million, at fair value.</w:t>
      </w:r>
    </w:p>
    <w:p>
      <w:pPr>
        <w:ind w:left="320" w:right="120" w:hanging="299"/>
        <w:spacing w:after="0" w:line="247"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21"/>
          <w:szCs w:val="21"/>
          <w:color w:val="auto"/>
        </w:rPr>
        <w:t>Core net investment income is a non-GAAP financial measure. The Company believes that core net investment income provides useful information to investors and management because it reflects the Company’s financial performance excluding the charges related to incentive fee on net unrealized gains accrued under GAAP but not payable unless such net unrealized gains are realized and the costs associated with amending our multi-currency senior secured revolving credit facility, or the Credit Facility. The presentation of this additional information is not meant to be considered in isolation or as a substitute for financial results prepared in accordance with GAAP.</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EST ON NOVEMBER 21, 2019</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PennantPark Floating Rate Capital Ltd. (“we,” “our,” “us” or the “Company”) will host a conference call at 10:00 a.m. (Eastern Standard Time) on Thursday, November 21, 2019 to discuss its financial results. All interested parties are welcome to participate. You can access the conference call by dialing toll-free (800) 263-0877 approximately 5-10 minutes prior to the call. International callers should dial (646) 828-8143. All callers should reference conference ID #9659175 or PennantPark Floating Rate Capital</w:t>
      </w:r>
    </w:p>
    <w:p>
      <w:pPr>
        <w:sectPr>
          <w:pgSz w:w="11900" w:h="16916" w:orient="portrait"/>
          <w:cols w:equalWidth="0" w:num="1">
            <w:col w:w="11240"/>
          </w:cols>
          <w:pgMar w:left="320" w:top="112" w:right="339" w:bottom="0" w:gutter="0" w:footer="0" w:header="0"/>
        </w:sectPr>
      </w:pPr>
    </w:p>
    <w:bookmarkStart w:id="4" w:name="page5"/>
    <w:bookmarkEnd w:id="4"/>
    <w:p>
      <w:pPr>
        <w:jc w:val="both"/>
        <w:spacing w:after="0" w:line="251" w:lineRule="auto"/>
        <w:rPr>
          <w:sz w:val="20"/>
          <w:szCs w:val="20"/>
          <w:color w:val="auto"/>
        </w:rPr>
      </w:pPr>
      <w:r>
        <w:rPr>
          <w:rFonts w:ascii="Arial" w:cs="Arial" w:eastAsia="Arial" w:hAnsi="Arial"/>
          <w:sz w:val="22"/>
          <w:szCs w:val="22"/>
          <w:color w:val="auto"/>
        </w:rPr>
        <w:t>Ltd. An archived replay of the call will be available through December 5, 2019 by calling toll-free (888) 203-1112. International callers please dial (719) 457-0820. For all phone replays, please reference conference ID #9659175.</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are pleased that our strategy and execution has resulted in net investment income covering our dividend,” said Arthur Penn, Chairman and CEO. “We believe that our earnings stream will continue to have a nice tailwind, creating value for our investors as we gradually increase our debt to equity ratio, while maintaining a prudent debt profile. Additionally, our overall portfolio continues to perform well. Our portfolio companies generally have strong underlying financial performance.”</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September 30, 2019, our portfolio totaled $1,081.7 million and consisted of $944.9 million of first lien secured debt (including $122.2 million invested in PSSL), $34.4 million of second lien secured debt and $102.4 million of preferred and common equity (including $50.0 million invested in PSSL). Our debt portfolio consisted of 99% variable-rate investments. As of September 30, 2019, we had one portfolio company on non-accrual, representing 0.4% and zero of our overall portfolio on a cost and fair value basis, respectively. Overall, the portfolio had net unrealized depreciation of $3.5 million. Our overall portfolio consisted of 95 companies with an average investment size of $11.4 million, had a weighted average yield on debt investments of 8.7%, and was invested 87% in first lien secured debt (including 11% invested in PSSL), 3% in second lien secured debt and 10% in preferred and common equity (including 5% invested in PSSL). As of September 30, 2019, 97% of the investments held by PSSL were first lien secured debt.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of September 30, 2018, our portfolio totaled $1,000.6 million and consisted of $913.3 million of first lien secured debt (including $101.1 million invested in PSSL), $21.2 million of second lien secured debt and $66.1 million of preferred and common equity (including $44.8 million invested in PSSL). Our debt portfolio consisted of 100% variable-rate investments. As of September 30, 2018, we had no portfolio companies on non-accrual. Overall, the portfolio had net unrealized depreciation of $0.9 million. Our overall portfolio consisted of 88 companies with an average investment size of $11.4 million, had a weighted average yield on debt investments of 8.8%, and was invested 91% in first lien secured debt (including 10% invested in PSSL), 2% in second lien secured debt and 7% in preferred and common equity (including 4% invested in PSSL). As of September 30, 2018, all of the investments held by PSSL were first lien secured debt</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the three months ended September 30, 2019, we invested $140.6 million of investments in 6 new and 23 existing portfolio companies with a weighted average yield on debt investments of 8.5%. Sales and repayments of investments for the same period totaled $127.1 million. This compares to the three months ended September 30, 2018, in which we invested $202.1 million in 10 new and 15 existing portfolio companies with a weighted average yield on debt investments of 8.4%. Sales and repayments of investments for the same period totaled $107.9 million.</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year ended September 30, 2019, we invested $640.1 million of investments in 28 new and 83 existing portfolio companies with a weighted average yield on debt investments of 8.8%. Sales and repayments of investments for the same period totaled $527.3 million. This compares to the year ended September 30, 2018, in which we invested $682.7 million of investments in 32 new and 66 existing portfolio companies with a weighted average yield on debt investments of 8.1%. Sales and repayments of investments for the same period totaled $391.4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September 30, 2019, PSSL’s portfolio totaled $488.5 million, consisted of 45 companies with an average investment size of $10.9 million and had a weighted average yield on debt investments of 7.6%. As of September 30, 2018, PSSL’s portfolio totaled $425.4 million, consisted of 42 companies with an average investment size of $10.1 million and had a weighted average yield on debt investments of 7.8%.</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months ended September 30, 2019, PSSL invested $52.6 million (including $31.8 million purchased from the Company) in 5 new and 3 existing portfolio companies with a weighted average yield on debt investments of 7.8%. PSSL’s sales and repayments of investments for the same period totaled $31.8 million. For the three months ended September 30, 2018, PSSL invested $100.9 million (including $47.4 million purchased from the Company) in five new and eight existing portfolio companies with a weighted average yield on debt investments of 7.8%. PSSL’s sales and repayments of investments for the same period totaled $22.0 million.</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year ended September 30, 2019, PSSL invested $228.6 million (including $89.6 million purchased from the Company) in 16 new and 16 existing portfolio companies with a weighted average yield on debt investments of 8.1%. PSSL’s sales and repayments of investments for the same period totaled $159.9 million. For the year ended September 30, 2018, PSSL invested $371.3 million (including $108.0 million purchased from the Company) in 28 new and 14 existing portfolio companies with a weighted average yield on debt investments of 7.5%. PSSL’s sales and repayments of investments for the same period totaled $45.8 million.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Set forth below are the results of operations for the three-month periods and fiscal years ended September 30, 2019 and 2018.</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ectPr>
          <w:pgSz w:w="11900" w:h="16838" w:orient="portrait"/>
          <w:cols w:equalWidth="0" w:num="1">
            <w:col w:w="11240"/>
          </w:cols>
          <w:pgMar w:left="320" w:top="118" w:right="339" w:bottom="221" w:gutter="0" w:footer="0" w:header="0"/>
        </w:sectPr>
      </w:pPr>
    </w:p>
    <w:bookmarkStart w:id="5" w:name="page6"/>
    <w:bookmarkEnd w:id="5"/>
    <w:p>
      <w:pPr>
        <w:jc w:val="both"/>
        <w:spacing w:after="0"/>
        <w:rPr>
          <w:sz w:val="20"/>
          <w:szCs w:val="20"/>
          <w:color w:val="auto"/>
        </w:rPr>
      </w:pPr>
      <w:r>
        <w:rPr>
          <w:rFonts w:ascii="Arial" w:cs="Arial" w:eastAsia="Arial" w:hAnsi="Arial"/>
          <w:sz w:val="22"/>
          <w:szCs w:val="22"/>
          <w:color w:val="auto"/>
        </w:rPr>
        <w:t>Investment income for the three months ended September 30, 2019 and 2018 was $23.9 million and $21.3 million, respectively, and was primarily attributable to $22.1 million and $19.5 million from first lien secured debt, $1.8 million and $1.8 million from second lien secured debt, subordinated debt and preferred equity, respectively.</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Investment income for the years ended September 30, 2019 and 2018 was $92.9 million and $72.2 million, respectively, and was attributable to $84.0 million and $65.5 million from first lien secured debt, $8.9 million and $6.7 million from second lien secured debt, subordinated debt and preferred equity, respectively. The increase in investment income over the prior year was primarily due to the growth of our portfolio.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Expenses for the three months ended September 30, 2019 and 2018 totaled $12.5 million and $9.7 million, respectively. Base management fee totaled $2.7 million and $2.4 million, incentive fee totaled $2.5 million and $1.5 million (including $(0.4) million on net unrealized gains accrued but not payable), debt related interest and expenses totaled $6.3 million and $4.4 million, general and administrative expenses totaled $1.0 million and $1.2 million and provision for taxes totaled zero and $0.2 million, respectively, for the same periods.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Expenses for the years ended September 30, 2019 and 2018 totaled $47.5 million and $41.2 million, respectively. Base management fee totaled $10.2 million and $8.4 million, incentive fee totaled $6.2 million (including $(1.4) million on net unrealized gains accrued but not payable) and $2.4 million (including $(0.1) million on realized gains and $(1.0) million on net unrealized gains accrued but not payable), debt related interest and expenses totaled $27.1 million (including $4.5 million in Credit Facility amendment fees) and $25.2 million (including $10.9 million in Credit Facility amendment and debt issuance costs on the 2023 Notes), general and administrative expenses totaled $4.0 million and $4.4 million and provision for taxes totaled zero and $0.8 million, respectively, for the same periods. The increase in expenses compared to the prior year was primarily due to the growth of our portfolio which resulted in higher management and financing costs in the current year.</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investment income totaled $11.4 million or $0.29 per share and $11.7 million or $0.30 per share, for the three months ended September 30, 2019 and 2018, respectively.</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investment income totaled $45.5 million or $1.17 per share and $31.0 million or $0.81 per share, for the years ended September 30, 2019 and 2018, respectively. The increase in net investment income compared to the prior year was primarily due to higher investment income in the current year as well as expenses incurred in connection with the Credit Facility amendment and debt issuance costs on the 2023 Notes in the prior year.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Sales and repayments of investments for the three months ended September 30, 2019 and 2018 totaled $127.1 million and $107.9 million, respectively. Net realized (losses) gains totaled $(15.0) million and $0.8 million for the same periods, respectively.</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Sales and repayments of investments for the years ended September 30, 2019 and 2018 totaled $527.3 million and $391.4 million, respectively. Net realized losses totaled $31.4 million and $2.3 million for the same periods, respectively. The change in realized gains/losses compared to the prior year was primarily due to changes in the market conditions of our investments and the values at which they were realized.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2023 Notes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For the three months ended September 30, 2019 and 2018, we reported a net change in unrealized appreciation (depreciation) on investments of $10.6 million and $(2.6) million, respectively. For the years ended September 30, 2019 and 2018, we reported net change in unrealized depreciation on investments of $2.6 million and $2.9 million, respectively. As of September 30, 2019 and 2018, our net unrealized depreciation on investments totaled $3.5 million and $0.9 million, respectively. The net change in unrealized appreciation (depreciation) on our investments for the year ended September 30, 2019 compared to the prior year was primarily due to changes in the capital market conditions, the financial performance of certain portfolio companies and the reversal of unrealized appreciation (depreciation) on investments that were realized.</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For the three months ended September 30, 2019, our Credit Facility and 2023 Notes had a net change in unrealized depreciation of $0.4 million. For the three months ended September 30, 2018, our Credit Facility and the 2023 Notes had a net change in unrealized depreciation of $1.2 million. For the year ended September 30, 2019, our Credit Facility and the 2023 Notes had a net change in unrealized (appreciation) depreciation of less than $(0.1) million and $7.8 million, respectively. As of September 30, 2019 and 2018, our net unrealized depreciation on our Credit Facility and the 2023 Notes totaled $4.7 million and $4.7 million, respectively. The net change in unrealized depreciation for the year ended September 30, 2019 compared to the prior year was primarily due to changes in the capital markets.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change in net assets resulting from operations totaled $7.4 million or $0.19 per share and $11.0 million or $0.28 per share, for the three months ended September 30, 2019 and 2018, respectively.</w:t>
      </w:r>
    </w:p>
    <w:p>
      <w:pPr>
        <w:sectPr>
          <w:pgSz w:w="11900" w:h="16838" w:orient="portrait"/>
          <w:cols w:equalWidth="0" w:num="1">
            <w:col w:w="11240"/>
          </w:cols>
          <w:pgMar w:left="320" w:top="118" w:right="339" w:bottom="0" w:gutter="0" w:footer="0" w:header="0"/>
        </w:sectPr>
      </w:pPr>
    </w:p>
    <w:bookmarkStart w:id="6" w:name="page7"/>
    <w:bookmarkEnd w:id="6"/>
    <w:p>
      <w:pPr>
        <w:jc w:val="both"/>
        <w:spacing w:after="0" w:line="287" w:lineRule="auto"/>
        <w:rPr>
          <w:sz w:val="20"/>
          <w:szCs w:val="20"/>
          <w:color w:val="auto"/>
        </w:rPr>
      </w:pPr>
      <w:r>
        <w:rPr>
          <w:rFonts w:ascii="Arial" w:cs="Arial" w:eastAsia="Arial" w:hAnsi="Arial"/>
          <w:sz w:val="19"/>
          <w:szCs w:val="19"/>
          <w:color w:val="auto"/>
        </w:rPr>
        <w:t>Net change in net assets resulting from operations totaled $11.4 million or $0.29 per share and $33.5 million or $0.87 per share, for the years ended September 30, 2019 and 2018, respectively. The decrease in net assets from operations for the year ended September 30, 2019 compared to the prior year was primarily due net realized losses and change in unrealized depreciation on our investment portfolio, partially offset by an increase in investment income due to the growth of our portfolio.</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annualized weighted average cost of debt for the years ended September 30, 2019 and 2018, inclusive of the fee on the undrawn commitment on the Credit Facility, amendment costs and debt issuance costs, was 5.3% and 7.1%, respectively (excluding amendment and debt issuance costs, amounts were 4.4% and 4.1%, respectively).</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September 30, 2019 and 2018, PennantPark Floating Rate Funding I, LLC, or Funding I, had $265.3 million and $333.7 million of outstanding borrowings under the Credit Facility, respectively. The Credit Facility had a weighted average interest rate of 4.1% and 4.1%, exclusive of the fee on undrawn commitments, as of September 30, 2019 and 2018, respectively. As of September 30, 2019 and 2018, we had $254.7 million and $71.3 million of unused borrowing capacity under our Credit Facility, respectively, subject to the regulatory restrictions.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September 30, 2019 and 2018, we had cash equivalents of $63.3 million and $72.2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Our operating activities used cash of $121.4 million for the year ended September 30, 2019, and our financing activities provided cash of $111.7 million for the same period. Our operating activities used cash primarily for our investment activities and our financing activities provided cash primarily from the issuance of 2031 Asset-Backed Debt.</w:t>
      </w:r>
    </w:p>
    <w:p>
      <w:pPr>
        <w:spacing w:after="0" w:line="16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used cash of $208.3 million for the year ended September 30, 2018, and our financing activities provided cash of $263.6 million for the same period. Our operating activities used cash primarily for our investment activities and our financing activities provided cash primarily from a follow-on equity offering and the issuance of the 2023 Notes.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During both years ended September 30, 2019 and 2018, we declared distributions of $1.14 per share, for total distributions of $44.2 and $43.6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The Company makes available on its website its report on Form 10-K filed with the SEC and stockholders may find the report on its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September 30,</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22"/>
                <w:szCs w:val="22"/>
                <w:b w:val="1"/>
                <w:bCs w:val="1"/>
                <w:color w:val="auto"/>
                <w:w w:val="87"/>
              </w:rPr>
              <w:t>September 30,</w:t>
            </w:r>
          </w:p>
        </w:tc>
        <w:tc>
          <w:tcPr>
            <w:tcW w:w="0" w:type="dxa"/>
            <w:vAlign w:val="bottom"/>
          </w:tcPr>
          <w:p>
            <w:pPr>
              <w:spacing w:after="0"/>
              <w:rPr>
                <w:sz w:val="1"/>
                <w:szCs w:val="1"/>
                <w:color w:val="auto"/>
              </w:rPr>
            </w:pPr>
          </w:p>
        </w:tc>
      </w:tr>
      <w:tr>
        <w:trPr>
          <w:trHeight w:val="282"/>
        </w:trPr>
        <w:tc>
          <w:tcPr>
            <w:tcW w:w="770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2019</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2018</w:t>
            </w:r>
          </w:p>
        </w:tc>
        <w:tc>
          <w:tcPr>
            <w:tcW w:w="0" w:type="dxa"/>
            <w:vAlign w:val="bottom"/>
          </w:tcPr>
          <w:p>
            <w:pPr>
              <w:spacing w:after="0"/>
              <w:rPr>
                <w:sz w:val="1"/>
                <w:szCs w:val="1"/>
                <w:color w:val="auto"/>
              </w:rPr>
            </w:pPr>
          </w:p>
        </w:tc>
      </w:tr>
      <w:tr>
        <w:trPr>
          <w:trHeight w:val="248"/>
        </w:trPr>
        <w:tc>
          <w:tcPr>
            <w:tcW w:w="77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770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60"/>
              <w:spacing w:after="0" w:line="243" w:lineRule="exact"/>
              <w:rPr>
                <w:sz w:val="20"/>
                <w:szCs w:val="20"/>
                <w:color w:val="auto"/>
              </w:rPr>
            </w:pPr>
            <w:r>
              <w:rPr>
                <w:rFonts w:ascii="Arial" w:cs="Arial" w:eastAsia="Arial" w:hAnsi="Arial"/>
                <w:sz w:val="22"/>
                <w:szCs w:val="22"/>
                <w:color w:val="auto"/>
                <w:w w:val="92"/>
              </w:rPr>
              <w:t>Non-controlled, non-affiliated investments (cost—$886,955,156 and $856,893,017,</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460" w:type="dxa"/>
            <w:vAlign w:val="bottom"/>
          </w:tcPr>
          <w:p>
            <w:pPr>
              <w:jc w:val="right"/>
              <w:spacing w:after="0"/>
              <w:rPr>
                <w:sz w:val="20"/>
                <w:szCs w:val="20"/>
                <w:color w:val="auto"/>
              </w:rPr>
            </w:pPr>
            <w:r>
              <w:rPr>
                <w:rFonts w:ascii="Arial" w:cs="Arial" w:eastAsia="Arial" w:hAnsi="Arial"/>
                <w:sz w:val="22"/>
                <w:szCs w:val="22"/>
                <w:color w:val="auto"/>
              </w:rPr>
              <w:t>889,113,264</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Pr>
          <w:p>
            <w:pPr>
              <w:jc w:val="right"/>
              <w:spacing w:after="0"/>
              <w:rPr>
                <w:sz w:val="20"/>
                <w:szCs w:val="20"/>
                <w:color w:val="auto"/>
              </w:rPr>
            </w:pPr>
            <w:r>
              <w:rPr>
                <w:rFonts w:ascii="Arial" w:cs="Arial" w:eastAsia="Arial" w:hAnsi="Arial"/>
                <w:sz w:val="22"/>
                <w:szCs w:val="22"/>
                <w:color w:val="auto"/>
              </w:rPr>
              <w:t>854,753,064</w:t>
            </w:r>
          </w:p>
        </w:tc>
        <w:tc>
          <w:tcPr>
            <w:tcW w:w="0" w:type="dxa"/>
            <w:vAlign w:val="bottom"/>
          </w:tcPr>
          <w:p>
            <w:pPr>
              <w:spacing w:after="0"/>
              <w:rPr>
                <w:sz w:val="1"/>
                <w:szCs w:val="1"/>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w w:val="94"/>
              </w:rPr>
              <w:t>Non-controlled, affiliated investments (cost—$23,645,693 and zero, respectively)</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20,430,565.00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7700" w:type="dxa"/>
            <w:vAlign w:val="bottom"/>
          </w:tcPr>
          <w:p>
            <w:pPr>
              <w:ind w:left="260"/>
              <w:spacing w:after="0" w:line="243" w:lineRule="exact"/>
              <w:rPr>
                <w:sz w:val="20"/>
                <w:szCs w:val="20"/>
                <w:color w:val="auto"/>
              </w:rPr>
            </w:pPr>
            <w:r>
              <w:rPr>
                <w:rFonts w:ascii="Arial" w:cs="Arial" w:eastAsia="Arial" w:hAnsi="Arial"/>
                <w:sz w:val="22"/>
                <w:szCs w:val="22"/>
                <w:color w:val="auto"/>
              </w:rPr>
              <w:t>Controlled, affiliated investments (cost—$174,562,500 and $144,375,000,</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172,163,080.00</w:t>
            </w:r>
          </w:p>
        </w:tc>
        <w:tc>
          <w:tcPr>
            <w:tcW w:w="2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145,860,229.00</w:t>
            </w:r>
          </w:p>
        </w:tc>
        <w:tc>
          <w:tcPr>
            <w:tcW w:w="0" w:type="dxa"/>
            <w:vAlign w:val="bottom"/>
          </w:tcPr>
          <w:p>
            <w:pPr>
              <w:spacing w:after="0"/>
              <w:rPr>
                <w:sz w:val="1"/>
                <w:szCs w:val="1"/>
                <w:color w:val="auto"/>
              </w:rPr>
            </w:pPr>
          </w:p>
        </w:tc>
      </w:tr>
      <w:tr>
        <w:trPr>
          <w:trHeight w:val="259"/>
        </w:trPr>
        <w:tc>
          <w:tcPr>
            <w:tcW w:w="7700" w:type="dxa"/>
            <w:vAlign w:val="bottom"/>
          </w:tcPr>
          <w:p>
            <w:pPr>
              <w:spacing w:after="0"/>
              <w:rPr>
                <w:sz w:val="20"/>
                <w:szCs w:val="20"/>
                <w:color w:val="auto"/>
              </w:rPr>
            </w:pPr>
            <w:r>
              <w:rPr>
                <w:rFonts w:ascii="Arial" w:cs="Arial" w:eastAsia="Arial" w:hAnsi="Arial"/>
                <w:sz w:val="22"/>
                <w:szCs w:val="22"/>
                <w:color w:val="auto"/>
              </w:rPr>
              <w:t>Total of investments (cost—$1,085,172,349 and $1,001,268,017, respectively)</w:t>
            </w: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1,081,706,909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1,000,613,293</w:t>
            </w: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w w:val="99"/>
              </w:rPr>
              <w:t>Cash and cash equivalents (cost—$63,367,237 and $72,231,801, respectively)</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63,337,728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72,224,183</w:t>
            </w: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3,892,292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2,813,808</w:t>
            </w: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2,997,546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6"/>
        </w:trPr>
        <w:tc>
          <w:tcPr>
            <w:tcW w:w="770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441,337</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792,069</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0" w:gutter="0" w:footer="0" w:header="0"/>
        </w:sectPr>
      </w:pPr>
    </w:p>
    <w:bookmarkStart w:id="7" w:name="page8"/>
    <w:bookmarkEnd w:id="7"/>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70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3"/>
              </w:rPr>
              <w:t>1,152,375,812</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5"/>
              </w:rPr>
              <w:t>1,076,443,353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70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Distributions payable</w:t>
            </w: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3,683,347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3,683,347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12,033,794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59,587,222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700" w:type="dxa"/>
            <w:vAlign w:val="bottom"/>
          </w:tcPr>
          <w:p>
            <w:pPr>
              <w:spacing w:after="0" w:line="243" w:lineRule="exact"/>
              <w:rPr>
                <w:sz w:val="20"/>
                <w:szCs w:val="20"/>
                <w:color w:val="auto"/>
              </w:rPr>
            </w:pPr>
            <w:r>
              <w:rPr>
                <w:rFonts w:ascii="Arial" w:cs="Arial" w:eastAsia="Arial" w:hAnsi="Arial"/>
                <w:sz w:val="22"/>
                <w:szCs w:val="22"/>
                <w:color w:val="auto"/>
              </w:rPr>
              <w:t>Credit Facility payable, at fair value (cost—$265,307,500 and $333,727,520,</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respectively)</w:t>
            </w: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263,988,583</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332,128,815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w w:val="91"/>
              </w:rPr>
              <w:t>2023 Notes payable, at fair value (par—$138,579,858 and $138,579,858, respectively)</w:t>
            </w: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135,240,084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135,503,385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2031 Asset-Backed Debt, net (par—$228,000,000 and zero, respectively)</w:t>
            </w: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224,321,845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3,275,481</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2,638,504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2,728,019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2,419,629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2,532,205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3,298,404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700" w:type="dxa"/>
            <w:vAlign w:val="bottom"/>
          </w:tcPr>
          <w:p>
            <w:pPr>
              <w:spacing w:after="0"/>
              <w:rPr>
                <w:sz w:val="20"/>
                <w:szCs w:val="20"/>
                <w:color w:val="auto"/>
              </w:rPr>
            </w:pPr>
            <w:r>
              <w:rPr>
                <w:rFonts w:ascii="Arial" w:cs="Arial" w:eastAsia="Arial" w:hAnsi="Arial"/>
                <w:sz w:val="22"/>
                <w:szCs w:val="22"/>
                <w:color w:val="auto"/>
              </w:rPr>
              <w:t>Accrued other expenses</w:t>
            </w: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1,514,943</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1,342,479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70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649,318,301</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540,601,785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70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0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00" w:type="dxa"/>
            <w:vAlign w:val="bottom"/>
          </w:tcPr>
          <w:p>
            <w:pPr>
              <w:spacing w:after="0" w:line="243" w:lineRule="exact"/>
              <w:rPr>
                <w:sz w:val="20"/>
                <w:szCs w:val="20"/>
                <w:color w:val="auto"/>
              </w:rPr>
            </w:pPr>
            <w:r>
              <w:rPr>
                <w:rFonts w:ascii="Arial" w:cs="Arial" w:eastAsia="Arial" w:hAnsi="Arial"/>
                <w:sz w:val="22"/>
                <w:szCs w:val="22"/>
                <w:color w:val="auto"/>
                <w:w w:val="89"/>
              </w:rPr>
              <w:t>Common stock, 38,772,074 and 38,772,074 shares issued and outstanding, respectively</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0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38,772</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38,772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538,632,828</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539,462,336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700" w:type="dxa"/>
            <w:vAlign w:val="bottom"/>
          </w:tcPr>
          <w:p>
            <w:pPr>
              <w:spacing w:after="0"/>
              <w:rPr>
                <w:sz w:val="20"/>
                <w:szCs w:val="20"/>
                <w:color w:val="auto"/>
              </w:rPr>
            </w:pPr>
            <w:r>
              <w:rPr>
                <w:rFonts w:ascii="Arial" w:cs="Arial" w:eastAsia="Arial" w:hAnsi="Arial"/>
                <w:sz w:val="22"/>
                <w:szCs w:val="22"/>
                <w:color w:val="auto"/>
              </w:rPr>
              <w:t>Distributable income</w:t>
            </w:r>
          </w:p>
        </w:tc>
        <w:tc>
          <w:tcPr>
            <w:tcW w:w="240" w:type="dxa"/>
            <w:vAlign w:val="bottom"/>
          </w:tcPr>
          <w:p>
            <w:pPr>
              <w:spacing w:after="0"/>
              <w:rPr>
                <w:sz w:val="23"/>
                <w:szCs w:val="23"/>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22"/>
                <w:szCs w:val="22"/>
                <w:color w:val="auto"/>
              </w:rPr>
              <w:t>(35,614,089)</w:t>
            </w:r>
          </w:p>
        </w:tc>
        <w:tc>
          <w:tcPr>
            <w:tcW w:w="22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(3,659,540)</w:t>
            </w:r>
          </w:p>
        </w:tc>
        <w:tc>
          <w:tcPr>
            <w:tcW w:w="0" w:type="dxa"/>
            <w:vAlign w:val="bottom"/>
          </w:tcPr>
          <w:p>
            <w:pPr>
              <w:spacing w:after="0"/>
              <w:rPr>
                <w:sz w:val="1"/>
                <w:szCs w:val="1"/>
                <w:color w:val="auto"/>
              </w:rPr>
            </w:pPr>
          </w:p>
        </w:tc>
      </w:tr>
      <w:tr>
        <w:trPr>
          <w:trHeight w:val="267"/>
        </w:trPr>
        <w:tc>
          <w:tcPr>
            <w:tcW w:w="770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503,057,511</w:t>
            </w:r>
          </w:p>
        </w:tc>
        <w:tc>
          <w:tcPr>
            <w:tcW w:w="22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535,841,568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70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3"/>
              </w:rPr>
              <w:t>1,152,375,812</w:t>
            </w:r>
          </w:p>
        </w:tc>
        <w:tc>
          <w:tcPr>
            <w:tcW w:w="22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5"/>
              </w:rPr>
              <w:t>1,076,443,353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700" w:type="dxa"/>
            <w:vAlign w:val="bottom"/>
            <w:vMerge w:val="restart"/>
          </w:tcPr>
          <w:p>
            <w:pPr>
              <w:spacing w:after="0"/>
              <w:rPr>
                <w:sz w:val="20"/>
                <w:szCs w:val="20"/>
                <w:color w:val="auto"/>
              </w:rPr>
            </w:pPr>
            <w:r>
              <w:rPr>
                <w:rFonts w:ascii="Arial" w:cs="Arial" w:eastAsia="Arial" w:hAnsi="Arial"/>
                <w:sz w:val="22"/>
                <w:szCs w:val="22"/>
                <w:b w:val="1"/>
                <w:bCs w:val="1"/>
                <w:color w:val="auto"/>
              </w:rPr>
              <w:t>Net asset value per share</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700" w:type="dxa"/>
            <w:vAlign w:val="bottom"/>
            <w:vMerge w:val="continue"/>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12.97</w:t>
            </w:r>
          </w:p>
        </w:tc>
        <w:tc>
          <w:tcPr>
            <w:tcW w:w="22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13.82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920" w:type="dxa"/>
            <w:vAlign w:val="bottom"/>
          </w:tcPr>
          <w:p>
            <w:pPr>
              <w:spacing w:after="0"/>
              <w:rPr>
                <w:sz w:val="24"/>
                <w:szCs w:val="24"/>
                <w:color w:val="auto"/>
              </w:rPr>
            </w:pPr>
          </w:p>
        </w:tc>
        <w:tc>
          <w:tcPr>
            <w:tcW w:w="4200" w:type="dxa"/>
            <w:vAlign w:val="bottom"/>
            <w:tcBorders>
              <w:bottom w:val="single" w:sz="8" w:color="auto"/>
            </w:tcBorders>
            <w:gridSpan w:val="5"/>
          </w:tcPr>
          <w:p>
            <w:pPr>
              <w:jc w:val="right"/>
              <w:ind w:right="732"/>
              <w:spacing w:after="0"/>
              <w:rPr>
                <w:sz w:val="20"/>
                <w:szCs w:val="20"/>
                <w:color w:val="auto"/>
              </w:rPr>
            </w:pPr>
            <w:r>
              <w:rPr>
                <w:rFonts w:ascii="Arial" w:cs="Arial" w:eastAsia="Arial" w:hAnsi="Arial"/>
                <w:sz w:val="22"/>
                <w:szCs w:val="22"/>
                <w:b w:val="1"/>
                <w:bCs w:val="1"/>
                <w:color w:val="auto"/>
              </w:rPr>
              <w:t>Years Ended September 30,</w:t>
            </w:r>
          </w:p>
        </w:tc>
        <w:tc>
          <w:tcPr>
            <w:tcW w:w="0" w:type="dxa"/>
            <w:vAlign w:val="bottom"/>
          </w:tcPr>
          <w:p>
            <w:pPr>
              <w:spacing w:after="0"/>
              <w:rPr>
                <w:sz w:val="1"/>
                <w:szCs w:val="1"/>
                <w:color w:val="auto"/>
              </w:rPr>
            </w:pPr>
          </w:p>
        </w:tc>
      </w:tr>
      <w:tr>
        <w:trPr>
          <w:trHeight w:val="265"/>
        </w:trPr>
        <w:tc>
          <w:tcPr>
            <w:tcW w:w="6920" w:type="dxa"/>
            <w:vAlign w:val="bottom"/>
            <w:vMerge w:val="restart"/>
          </w:tcPr>
          <w:p>
            <w:pPr>
              <w:spacing w:after="0"/>
              <w:rPr>
                <w:sz w:val="20"/>
                <w:szCs w:val="20"/>
                <w:color w:val="auto"/>
              </w:rPr>
            </w:pPr>
            <w:r>
              <w:rPr>
                <w:rFonts w:ascii="Arial" w:cs="Arial" w:eastAsia="Arial" w:hAnsi="Arial"/>
                <w:sz w:val="22"/>
                <w:szCs w:val="22"/>
                <w:b w:val="1"/>
                <w:bCs w:val="1"/>
                <w:color w:val="auto"/>
              </w:rPr>
              <w:t>Investment income:</w:t>
            </w:r>
          </w:p>
        </w:tc>
        <w:tc>
          <w:tcPr>
            <w:tcW w:w="124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2019</w:t>
            </w:r>
          </w:p>
        </w:tc>
        <w:tc>
          <w:tcPr>
            <w:tcW w:w="220" w:type="dxa"/>
            <w:vAlign w:val="bottom"/>
          </w:tcPr>
          <w:p>
            <w:pPr>
              <w:spacing w:after="0"/>
              <w:rPr>
                <w:sz w:val="23"/>
                <w:szCs w:val="23"/>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220" w:type="dxa"/>
            <w:vAlign w:val="bottom"/>
          </w:tcPr>
          <w:p>
            <w:pPr>
              <w:spacing w:after="0"/>
              <w:rPr>
                <w:sz w:val="23"/>
                <w:szCs w:val="23"/>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2017</w:t>
            </w:r>
          </w:p>
        </w:tc>
        <w:tc>
          <w:tcPr>
            <w:tcW w:w="0" w:type="dxa"/>
            <w:vAlign w:val="bottom"/>
          </w:tcPr>
          <w:p>
            <w:pPr>
              <w:spacing w:after="0"/>
              <w:rPr>
                <w:sz w:val="1"/>
                <w:szCs w:val="1"/>
                <w:color w:val="auto"/>
              </w:rPr>
            </w:pPr>
          </w:p>
        </w:tc>
      </w:tr>
      <w:tr>
        <w:trPr>
          <w:trHeight w:val="247"/>
        </w:trPr>
        <w:tc>
          <w:tcPr>
            <w:tcW w:w="6920" w:type="dxa"/>
            <w:vAlign w:val="bottom"/>
            <w:vMerge w:val="continue"/>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692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20"/>
              <w:spacing w:after="0"/>
              <w:rPr>
                <w:sz w:val="20"/>
                <w:szCs w:val="20"/>
                <w:color w:val="auto"/>
              </w:rPr>
            </w:pPr>
            <w:r>
              <w:rPr>
                <w:rFonts w:ascii="Arial" w:cs="Arial" w:eastAsia="Arial" w:hAnsi="Arial"/>
                <w:sz w:val="22"/>
                <w:szCs w:val="22"/>
                <w:color w:val="auto"/>
              </w:rPr>
              <w:t>Interest</w:t>
            </w:r>
          </w:p>
        </w:tc>
        <w:tc>
          <w:tcPr>
            <w:tcW w:w="1240" w:type="dxa"/>
            <w:vAlign w:val="bottom"/>
          </w:tcPr>
          <w:p>
            <w:pPr>
              <w:jc w:val="right"/>
              <w:spacing w:after="0"/>
              <w:rPr>
                <w:sz w:val="20"/>
                <w:szCs w:val="20"/>
                <w:color w:val="auto"/>
              </w:rPr>
            </w:pPr>
            <w:r>
              <w:rPr>
                <w:rFonts w:ascii="Arial" w:cs="Arial" w:eastAsia="Arial" w:hAnsi="Arial"/>
                <w:sz w:val="22"/>
                <w:szCs w:val="22"/>
                <w:color w:val="auto"/>
                <w:w w:val="90"/>
              </w:rPr>
              <w:t>$  69,319,954</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w w:val="90"/>
              </w:rPr>
              <w:t>$  62,469,275</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w w:val="90"/>
              </w:rPr>
              <w:t>$  52,772,368</w:t>
            </w:r>
          </w:p>
        </w:tc>
        <w:tc>
          <w:tcPr>
            <w:tcW w:w="0" w:type="dxa"/>
            <w:vAlign w:val="bottom"/>
          </w:tcPr>
          <w:p>
            <w:pPr>
              <w:spacing w:after="0"/>
              <w:rPr>
                <w:sz w:val="1"/>
                <w:szCs w:val="1"/>
                <w:color w:val="auto"/>
              </w:rPr>
            </w:pPr>
          </w:p>
        </w:tc>
      </w:tr>
      <w:tr>
        <w:trPr>
          <w:trHeight w:val="270"/>
        </w:trPr>
        <w:tc>
          <w:tcPr>
            <w:tcW w:w="6920" w:type="dxa"/>
            <w:vAlign w:val="bottom"/>
          </w:tcPr>
          <w:p>
            <w:pPr>
              <w:ind w:left="120"/>
              <w:spacing w:after="0"/>
              <w:rPr>
                <w:sz w:val="20"/>
                <w:szCs w:val="20"/>
                <w:color w:val="auto"/>
              </w:rPr>
            </w:pPr>
            <w:r>
              <w:rPr>
                <w:rFonts w:ascii="Arial" w:cs="Arial" w:eastAsia="Arial" w:hAnsi="Arial"/>
                <w:sz w:val="22"/>
                <w:szCs w:val="22"/>
                <w:color w:val="auto"/>
              </w:rPr>
              <w:t>Other income</w:t>
            </w:r>
          </w:p>
        </w:tc>
        <w:tc>
          <w:tcPr>
            <w:tcW w:w="1240" w:type="dxa"/>
            <w:vAlign w:val="bottom"/>
          </w:tcPr>
          <w:p>
            <w:pPr>
              <w:jc w:val="right"/>
              <w:spacing w:after="0"/>
              <w:rPr>
                <w:sz w:val="20"/>
                <w:szCs w:val="20"/>
                <w:color w:val="auto"/>
              </w:rPr>
            </w:pPr>
            <w:r>
              <w:rPr>
                <w:rFonts w:ascii="Arial" w:cs="Arial" w:eastAsia="Arial" w:hAnsi="Arial"/>
                <w:sz w:val="22"/>
                <w:szCs w:val="22"/>
                <w:color w:val="auto"/>
              </w:rPr>
              <w:t>3,497,784</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2,244,895</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1,660,371</w:t>
            </w:r>
          </w:p>
        </w:tc>
        <w:tc>
          <w:tcPr>
            <w:tcW w:w="0" w:type="dxa"/>
            <w:vAlign w:val="bottom"/>
          </w:tcPr>
          <w:p>
            <w:pPr>
              <w:spacing w:after="0"/>
              <w:rPr>
                <w:sz w:val="1"/>
                <w:szCs w:val="1"/>
                <w:color w:val="auto"/>
              </w:rPr>
            </w:pPr>
          </w:p>
        </w:tc>
      </w:tr>
      <w:tr>
        <w:trPr>
          <w:trHeight w:val="270"/>
        </w:trPr>
        <w:tc>
          <w:tcPr>
            <w:tcW w:w="6920" w:type="dxa"/>
            <w:vAlign w:val="bottom"/>
          </w:tcPr>
          <w:p>
            <w:pPr>
              <w:ind w:left="120"/>
              <w:spacing w:after="0"/>
              <w:rPr>
                <w:sz w:val="20"/>
                <w:szCs w:val="20"/>
                <w:color w:val="auto"/>
              </w:rPr>
            </w:pPr>
            <w:r>
              <w:rPr>
                <w:rFonts w:ascii="Arial" w:cs="Arial" w:eastAsia="Arial" w:hAnsi="Arial"/>
                <w:sz w:val="22"/>
                <w:szCs w:val="22"/>
                <w:color w:val="auto"/>
              </w:rPr>
              <w:t>Settlement proceeds</w:t>
            </w:r>
          </w:p>
        </w:tc>
        <w:tc>
          <w:tcPr>
            <w:tcW w:w="1460" w:type="dxa"/>
            <w:vAlign w:val="bottom"/>
            <w:gridSpan w:val="2"/>
          </w:tcPr>
          <w:p>
            <w:pPr>
              <w:jc w:val="right"/>
              <w:ind w:right="112"/>
              <w:spacing w:after="0"/>
              <w:rPr>
                <w:sz w:val="20"/>
                <w:szCs w:val="20"/>
                <w:color w:val="auto"/>
              </w:rPr>
            </w:pPr>
            <w:r>
              <w:rPr>
                <w:rFonts w:ascii="Arial" w:cs="Arial" w:eastAsia="Arial" w:hAnsi="Arial"/>
                <w:sz w:val="22"/>
                <w:szCs w:val="22"/>
                <w:color w:val="auto"/>
              </w:rPr>
              <w:t>—</w:t>
            </w:r>
          </w:p>
        </w:tc>
        <w:tc>
          <w:tcPr>
            <w:tcW w:w="1480" w:type="dxa"/>
            <w:vAlign w:val="bottom"/>
            <w:gridSpan w:val="2"/>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4,551,485</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20"/>
              <w:spacing w:after="0"/>
              <w:rPr>
                <w:sz w:val="20"/>
                <w:szCs w:val="20"/>
                <w:color w:val="auto"/>
              </w:rPr>
            </w:pPr>
            <w:r>
              <w:rPr>
                <w:rFonts w:ascii="Arial" w:cs="Arial" w:eastAsia="Arial" w:hAnsi="Arial"/>
                <w:sz w:val="22"/>
                <w:szCs w:val="22"/>
                <w:color w:val="auto"/>
              </w:rPr>
              <w:t>Interest</w:t>
            </w:r>
          </w:p>
        </w:tc>
        <w:tc>
          <w:tcPr>
            <w:tcW w:w="1240" w:type="dxa"/>
            <w:vAlign w:val="bottom"/>
          </w:tcPr>
          <w:p>
            <w:pPr>
              <w:jc w:val="right"/>
              <w:spacing w:after="0"/>
              <w:rPr>
                <w:sz w:val="20"/>
                <w:szCs w:val="20"/>
                <w:color w:val="auto"/>
              </w:rPr>
            </w:pPr>
            <w:r>
              <w:rPr>
                <w:rFonts w:ascii="Arial" w:cs="Arial" w:eastAsia="Arial" w:hAnsi="Arial"/>
                <w:sz w:val="22"/>
                <w:szCs w:val="22"/>
                <w:color w:val="auto"/>
              </w:rPr>
              <w:t>1,237,675</w:t>
            </w:r>
          </w:p>
        </w:tc>
        <w:tc>
          <w:tcPr>
            <w:tcW w:w="220" w:type="dxa"/>
            <w:vAlign w:val="bottom"/>
          </w:tcPr>
          <w:p>
            <w:pPr>
              <w:spacing w:after="0"/>
              <w:rPr>
                <w:sz w:val="23"/>
                <w:szCs w:val="23"/>
                <w:color w:val="auto"/>
              </w:rPr>
            </w:pPr>
          </w:p>
        </w:tc>
        <w:tc>
          <w:tcPr>
            <w:tcW w:w="1480" w:type="dxa"/>
            <w:vAlign w:val="bottom"/>
            <w:gridSpan w:val="2"/>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920" w:type="dxa"/>
            <w:vAlign w:val="bottom"/>
          </w:tcPr>
          <w:p>
            <w:pPr>
              <w:ind w:left="120"/>
              <w:spacing w:after="0"/>
              <w:rPr>
                <w:sz w:val="20"/>
                <w:szCs w:val="20"/>
                <w:color w:val="auto"/>
              </w:rPr>
            </w:pPr>
            <w:r>
              <w:rPr>
                <w:rFonts w:ascii="Arial" w:cs="Arial" w:eastAsia="Arial" w:hAnsi="Arial"/>
                <w:sz w:val="22"/>
                <w:szCs w:val="22"/>
                <w:color w:val="auto"/>
              </w:rPr>
              <w:t>Other income</w:t>
            </w:r>
          </w:p>
        </w:tc>
        <w:tc>
          <w:tcPr>
            <w:tcW w:w="1240" w:type="dxa"/>
            <w:vAlign w:val="bottom"/>
          </w:tcPr>
          <w:p>
            <w:pPr>
              <w:jc w:val="right"/>
              <w:spacing w:after="0"/>
              <w:rPr>
                <w:sz w:val="20"/>
                <w:szCs w:val="20"/>
                <w:color w:val="auto"/>
              </w:rPr>
            </w:pPr>
            <w:r>
              <w:rPr>
                <w:rFonts w:ascii="Arial" w:cs="Arial" w:eastAsia="Arial" w:hAnsi="Arial"/>
                <w:sz w:val="22"/>
                <w:szCs w:val="22"/>
                <w:color w:val="auto"/>
              </w:rPr>
              <w:t>127,734</w:t>
            </w:r>
          </w:p>
        </w:tc>
        <w:tc>
          <w:tcPr>
            <w:tcW w:w="220" w:type="dxa"/>
            <w:vAlign w:val="bottom"/>
          </w:tcPr>
          <w:p>
            <w:pPr>
              <w:spacing w:after="0"/>
              <w:rPr>
                <w:sz w:val="23"/>
                <w:szCs w:val="23"/>
                <w:color w:val="auto"/>
              </w:rPr>
            </w:pPr>
          </w:p>
        </w:tc>
        <w:tc>
          <w:tcPr>
            <w:tcW w:w="1480" w:type="dxa"/>
            <w:vAlign w:val="bottom"/>
            <w:gridSpan w:val="2"/>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20"/>
              <w:spacing w:after="0"/>
              <w:rPr>
                <w:sz w:val="20"/>
                <w:szCs w:val="20"/>
                <w:color w:val="auto"/>
              </w:rPr>
            </w:pPr>
            <w:r>
              <w:rPr>
                <w:rFonts w:ascii="Arial" w:cs="Arial" w:eastAsia="Arial" w:hAnsi="Arial"/>
                <w:sz w:val="22"/>
                <w:szCs w:val="22"/>
                <w:color w:val="auto"/>
              </w:rPr>
              <w:t>Interest</w:t>
            </w:r>
          </w:p>
        </w:tc>
        <w:tc>
          <w:tcPr>
            <w:tcW w:w="1240" w:type="dxa"/>
            <w:vAlign w:val="bottom"/>
          </w:tcPr>
          <w:p>
            <w:pPr>
              <w:jc w:val="right"/>
              <w:spacing w:after="0"/>
              <w:rPr>
                <w:sz w:val="20"/>
                <w:szCs w:val="20"/>
                <w:color w:val="auto"/>
              </w:rPr>
            </w:pPr>
            <w:r>
              <w:rPr>
                <w:rFonts w:ascii="Arial" w:cs="Arial" w:eastAsia="Arial" w:hAnsi="Arial"/>
                <w:sz w:val="22"/>
                <w:szCs w:val="22"/>
                <w:color w:val="auto"/>
              </w:rPr>
              <w:t>12,464,035</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5,302,909</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512,610</w:t>
            </w:r>
          </w:p>
        </w:tc>
        <w:tc>
          <w:tcPr>
            <w:tcW w:w="0" w:type="dxa"/>
            <w:vAlign w:val="bottom"/>
          </w:tcPr>
          <w:p>
            <w:pPr>
              <w:spacing w:after="0"/>
              <w:rPr>
                <w:sz w:val="1"/>
                <w:szCs w:val="1"/>
                <w:color w:val="auto"/>
              </w:rPr>
            </w:pPr>
          </w:p>
        </w:tc>
      </w:tr>
      <w:tr>
        <w:trPr>
          <w:trHeight w:val="274"/>
        </w:trPr>
        <w:tc>
          <w:tcPr>
            <w:tcW w:w="6920" w:type="dxa"/>
            <w:vAlign w:val="bottom"/>
          </w:tcPr>
          <w:p>
            <w:pPr>
              <w:ind w:left="120"/>
              <w:spacing w:after="0"/>
              <w:rPr>
                <w:sz w:val="20"/>
                <w:szCs w:val="20"/>
                <w:color w:val="auto"/>
              </w:rPr>
            </w:pPr>
            <w:r>
              <w:rPr>
                <w:rFonts w:ascii="Arial" w:cs="Arial" w:eastAsia="Arial" w:hAnsi="Arial"/>
                <w:sz w:val="22"/>
                <w:szCs w:val="22"/>
                <w:color w:val="auto"/>
              </w:rPr>
              <w:t>Dividend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6,300,000</w:t>
            </w:r>
          </w:p>
        </w:tc>
        <w:tc>
          <w:tcPr>
            <w:tcW w:w="22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2,187,500</w:t>
            </w:r>
          </w:p>
        </w:tc>
        <w:tc>
          <w:tcPr>
            <w:tcW w:w="22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6920" w:type="dxa"/>
            <w:vAlign w:val="bottom"/>
          </w:tcPr>
          <w:p>
            <w:pPr>
              <w:ind w:left="120"/>
              <w:spacing w:after="0"/>
              <w:rPr>
                <w:sz w:val="20"/>
                <w:szCs w:val="20"/>
                <w:color w:val="auto"/>
              </w:rPr>
            </w:pPr>
            <w:r>
              <w:rPr>
                <w:rFonts w:ascii="Arial" w:cs="Arial" w:eastAsia="Arial" w:hAnsi="Arial"/>
                <w:sz w:val="22"/>
                <w:szCs w:val="22"/>
                <w:b w:val="1"/>
                <w:bCs w:val="1"/>
                <w:color w:val="auto"/>
              </w:rPr>
              <w:t>Total investment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92,947,182</w:t>
            </w:r>
          </w:p>
        </w:tc>
        <w:tc>
          <w:tcPr>
            <w:tcW w:w="22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72,204,579</w:t>
            </w:r>
          </w:p>
        </w:tc>
        <w:tc>
          <w:tcPr>
            <w:tcW w:w="22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59,496,834</w:t>
            </w:r>
          </w:p>
        </w:tc>
        <w:tc>
          <w:tcPr>
            <w:tcW w:w="0" w:type="dxa"/>
            <w:vAlign w:val="bottom"/>
          </w:tcPr>
          <w:p>
            <w:pPr>
              <w:spacing w:after="0"/>
              <w:rPr>
                <w:sz w:val="1"/>
                <w:szCs w:val="1"/>
                <w:color w:val="auto"/>
              </w:rPr>
            </w:pPr>
          </w:p>
        </w:tc>
      </w:tr>
      <w:tr>
        <w:trPr>
          <w:trHeight w:val="256"/>
        </w:trPr>
        <w:tc>
          <w:tcPr>
            <w:tcW w:w="692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20"/>
              <w:spacing w:after="0"/>
              <w:rPr>
                <w:sz w:val="20"/>
                <w:szCs w:val="20"/>
                <w:color w:val="auto"/>
              </w:rPr>
            </w:pPr>
            <w:r>
              <w:rPr>
                <w:rFonts w:ascii="Arial" w:cs="Arial" w:eastAsia="Arial" w:hAnsi="Arial"/>
                <w:sz w:val="22"/>
                <w:szCs w:val="22"/>
                <w:color w:val="auto"/>
              </w:rPr>
              <w:t>Base management fee</w:t>
            </w:r>
          </w:p>
        </w:tc>
        <w:tc>
          <w:tcPr>
            <w:tcW w:w="1240" w:type="dxa"/>
            <w:vAlign w:val="bottom"/>
          </w:tcPr>
          <w:p>
            <w:pPr>
              <w:jc w:val="right"/>
              <w:spacing w:after="0"/>
              <w:rPr>
                <w:sz w:val="20"/>
                <w:szCs w:val="20"/>
                <w:color w:val="auto"/>
              </w:rPr>
            </w:pPr>
            <w:r>
              <w:rPr>
                <w:rFonts w:ascii="Arial" w:cs="Arial" w:eastAsia="Arial" w:hAnsi="Arial"/>
                <w:sz w:val="22"/>
                <w:szCs w:val="22"/>
                <w:color w:val="auto"/>
              </w:rPr>
              <w:t>10,209,566</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8,351,653</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6,902,645</w:t>
            </w:r>
          </w:p>
        </w:tc>
        <w:tc>
          <w:tcPr>
            <w:tcW w:w="0" w:type="dxa"/>
            <w:vAlign w:val="bottom"/>
          </w:tcPr>
          <w:p>
            <w:pPr>
              <w:spacing w:after="0"/>
              <w:rPr>
                <w:sz w:val="1"/>
                <w:szCs w:val="1"/>
                <w:color w:val="auto"/>
              </w:rPr>
            </w:pPr>
          </w:p>
        </w:tc>
      </w:tr>
      <w:tr>
        <w:trPr>
          <w:trHeight w:val="270"/>
        </w:trPr>
        <w:tc>
          <w:tcPr>
            <w:tcW w:w="6920" w:type="dxa"/>
            <w:vAlign w:val="bottom"/>
          </w:tcPr>
          <w:p>
            <w:pPr>
              <w:ind w:left="120"/>
              <w:spacing w:after="0"/>
              <w:rPr>
                <w:sz w:val="20"/>
                <w:szCs w:val="20"/>
                <w:color w:val="auto"/>
              </w:rPr>
            </w:pPr>
            <w:r>
              <w:rPr>
                <w:rFonts w:ascii="Arial" w:cs="Arial" w:eastAsia="Arial" w:hAnsi="Arial"/>
                <w:sz w:val="22"/>
                <w:szCs w:val="22"/>
                <w:color w:val="auto"/>
              </w:rPr>
              <w:t>Performance-based incentive fee</w:t>
            </w:r>
          </w:p>
        </w:tc>
        <w:tc>
          <w:tcPr>
            <w:tcW w:w="1240" w:type="dxa"/>
            <w:vAlign w:val="bottom"/>
          </w:tcPr>
          <w:p>
            <w:pPr>
              <w:jc w:val="right"/>
              <w:spacing w:after="0"/>
              <w:rPr>
                <w:sz w:val="20"/>
                <w:szCs w:val="20"/>
                <w:color w:val="auto"/>
              </w:rPr>
            </w:pPr>
            <w:r>
              <w:rPr>
                <w:rFonts w:ascii="Arial" w:cs="Arial" w:eastAsia="Arial" w:hAnsi="Arial"/>
                <w:sz w:val="22"/>
                <w:szCs w:val="22"/>
                <w:color w:val="auto"/>
              </w:rPr>
              <w:t>6,204,112</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2,399,249</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6,217,210</w:t>
            </w:r>
          </w:p>
        </w:tc>
        <w:tc>
          <w:tcPr>
            <w:tcW w:w="0" w:type="dxa"/>
            <w:vAlign w:val="bottom"/>
          </w:tcPr>
          <w:p>
            <w:pPr>
              <w:spacing w:after="0"/>
              <w:rPr>
                <w:sz w:val="1"/>
                <w:szCs w:val="1"/>
                <w:color w:val="auto"/>
              </w:rPr>
            </w:pPr>
          </w:p>
        </w:tc>
      </w:tr>
      <w:tr>
        <w:trPr>
          <w:trHeight w:val="270"/>
        </w:trPr>
        <w:tc>
          <w:tcPr>
            <w:tcW w:w="6920" w:type="dxa"/>
            <w:vAlign w:val="bottom"/>
          </w:tcPr>
          <w:p>
            <w:pPr>
              <w:ind w:left="120"/>
              <w:spacing w:after="0"/>
              <w:rPr>
                <w:sz w:val="20"/>
                <w:szCs w:val="20"/>
                <w:color w:val="auto"/>
              </w:rPr>
            </w:pPr>
            <w:r>
              <w:rPr>
                <w:rFonts w:ascii="Arial" w:cs="Arial" w:eastAsia="Arial" w:hAnsi="Arial"/>
                <w:sz w:val="22"/>
                <w:szCs w:val="22"/>
                <w:color w:val="auto"/>
              </w:rPr>
              <w:t>Interest and expenses on debt</w:t>
            </w:r>
          </w:p>
        </w:tc>
        <w:tc>
          <w:tcPr>
            <w:tcW w:w="1240" w:type="dxa"/>
            <w:vAlign w:val="bottom"/>
          </w:tcPr>
          <w:p>
            <w:pPr>
              <w:jc w:val="right"/>
              <w:spacing w:after="0"/>
              <w:rPr>
                <w:sz w:val="20"/>
                <w:szCs w:val="20"/>
                <w:color w:val="auto"/>
              </w:rPr>
            </w:pPr>
            <w:r>
              <w:rPr>
                <w:rFonts w:ascii="Arial" w:cs="Arial" w:eastAsia="Arial" w:hAnsi="Arial"/>
                <w:sz w:val="22"/>
                <w:szCs w:val="22"/>
                <w:color w:val="auto"/>
              </w:rPr>
              <w:t>22,540,098</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14,359,908</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8,338,880</w:t>
            </w:r>
          </w:p>
        </w:tc>
        <w:tc>
          <w:tcPr>
            <w:tcW w:w="0" w:type="dxa"/>
            <w:vAlign w:val="bottom"/>
          </w:tcPr>
          <w:p>
            <w:pPr>
              <w:spacing w:after="0"/>
              <w:rPr>
                <w:sz w:val="1"/>
                <w:szCs w:val="1"/>
                <w:color w:val="auto"/>
              </w:rPr>
            </w:pPr>
          </w:p>
        </w:tc>
      </w:tr>
      <w:tr>
        <w:trPr>
          <w:trHeight w:val="270"/>
        </w:trPr>
        <w:tc>
          <w:tcPr>
            <w:tcW w:w="6920" w:type="dxa"/>
            <w:vAlign w:val="bottom"/>
          </w:tcPr>
          <w:p>
            <w:pPr>
              <w:ind w:left="120"/>
              <w:spacing w:after="0"/>
              <w:rPr>
                <w:sz w:val="20"/>
                <w:szCs w:val="20"/>
                <w:color w:val="auto"/>
              </w:rPr>
            </w:pPr>
            <w:r>
              <w:rPr>
                <w:rFonts w:ascii="Arial" w:cs="Arial" w:eastAsia="Arial" w:hAnsi="Arial"/>
                <w:sz w:val="22"/>
                <w:szCs w:val="22"/>
                <w:color w:val="auto"/>
              </w:rPr>
              <w:t>Administrative services expenses</w:t>
            </w:r>
          </w:p>
        </w:tc>
        <w:tc>
          <w:tcPr>
            <w:tcW w:w="1240" w:type="dxa"/>
            <w:vAlign w:val="bottom"/>
          </w:tcPr>
          <w:p>
            <w:pPr>
              <w:jc w:val="right"/>
              <w:spacing w:after="0"/>
              <w:rPr>
                <w:sz w:val="20"/>
                <w:szCs w:val="20"/>
                <w:color w:val="auto"/>
              </w:rPr>
            </w:pPr>
            <w:r>
              <w:rPr>
                <w:rFonts w:ascii="Arial" w:cs="Arial" w:eastAsia="Arial" w:hAnsi="Arial"/>
                <w:sz w:val="22"/>
                <w:szCs w:val="22"/>
                <w:color w:val="auto"/>
              </w:rPr>
              <w:t>1,550,000</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2,000,000</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2,245,000</w:t>
            </w:r>
          </w:p>
        </w:tc>
        <w:tc>
          <w:tcPr>
            <w:tcW w:w="0" w:type="dxa"/>
            <w:vAlign w:val="bottom"/>
          </w:tcPr>
          <w:p>
            <w:pPr>
              <w:spacing w:after="0"/>
              <w:rPr>
                <w:sz w:val="1"/>
                <w:szCs w:val="1"/>
                <w:color w:val="auto"/>
              </w:rPr>
            </w:pPr>
          </w:p>
        </w:tc>
      </w:tr>
      <w:tr>
        <w:trPr>
          <w:trHeight w:val="274"/>
        </w:trPr>
        <w:tc>
          <w:tcPr>
            <w:tcW w:w="6920" w:type="dxa"/>
            <w:vAlign w:val="bottom"/>
          </w:tcPr>
          <w:p>
            <w:pPr>
              <w:ind w:left="120"/>
              <w:spacing w:after="0"/>
              <w:rPr>
                <w:sz w:val="20"/>
                <w:szCs w:val="20"/>
                <w:color w:val="auto"/>
              </w:rPr>
            </w:pPr>
            <w:r>
              <w:rPr>
                <w:rFonts w:ascii="Arial" w:cs="Arial" w:eastAsia="Arial" w:hAnsi="Arial"/>
                <w:sz w:val="22"/>
                <w:szCs w:val="22"/>
                <w:color w:val="auto"/>
              </w:rPr>
              <w:t>Other general and administrative expenses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2,464,306</w:t>
            </w:r>
          </w:p>
        </w:tc>
        <w:tc>
          <w:tcPr>
            <w:tcW w:w="22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2,460,582</w:t>
            </w:r>
          </w:p>
        </w:tc>
        <w:tc>
          <w:tcPr>
            <w:tcW w:w="22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1,935,000</w:t>
            </w:r>
          </w:p>
        </w:tc>
        <w:tc>
          <w:tcPr>
            <w:tcW w:w="0" w:type="dxa"/>
            <w:vAlign w:val="bottom"/>
          </w:tcPr>
          <w:p>
            <w:pPr>
              <w:spacing w:after="0"/>
              <w:rPr>
                <w:sz w:val="1"/>
                <w:szCs w:val="1"/>
                <w:color w:val="auto"/>
              </w:rPr>
            </w:pPr>
          </w:p>
        </w:tc>
      </w:tr>
      <w:tr>
        <w:trPr>
          <w:trHeight w:val="213"/>
        </w:trPr>
        <w:tc>
          <w:tcPr>
            <w:tcW w:w="6920" w:type="dxa"/>
            <w:vAlign w:val="bottom"/>
          </w:tcPr>
          <w:p>
            <w:pPr>
              <w:ind w:left="120"/>
              <w:spacing w:after="0" w:line="212" w:lineRule="exact"/>
              <w:rPr>
                <w:sz w:val="20"/>
                <w:szCs w:val="20"/>
                <w:color w:val="auto"/>
              </w:rPr>
            </w:pPr>
            <w:r>
              <w:rPr>
                <w:rFonts w:ascii="Arial" w:cs="Arial" w:eastAsia="Arial" w:hAnsi="Arial"/>
                <w:sz w:val="22"/>
                <w:szCs w:val="22"/>
                <w:b w:val="1"/>
                <w:bCs w:val="1"/>
                <w:color w:val="auto"/>
                <w:w w:val="87"/>
              </w:rPr>
              <w:t>Expenses before amendment costs, debt issuance costs and provision for</w:t>
            </w:r>
          </w:p>
        </w:tc>
        <w:tc>
          <w:tcPr>
            <w:tcW w:w="1240" w:type="dxa"/>
            <w:vAlign w:val="bottom"/>
            <w:vMerge w:val="restart"/>
          </w:tcPr>
          <w:p>
            <w:pPr>
              <w:jc w:val="right"/>
              <w:spacing w:after="0"/>
              <w:rPr>
                <w:sz w:val="20"/>
                <w:szCs w:val="20"/>
                <w:color w:val="auto"/>
              </w:rPr>
            </w:pPr>
            <w:r>
              <w:rPr>
                <w:rFonts w:ascii="Arial" w:cs="Arial" w:eastAsia="Arial" w:hAnsi="Arial"/>
                <w:sz w:val="22"/>
                <w:szCs w:val="22"/>
                <w:color w:val="auto"/>
              </w:rPr>
              <w:t>42,968,082</w:t>
            </w:r>
          </w:p>
        </w:tc>
        <w:tc>
          <w:tcPr>
            <w:tcW w:w="22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22"/>
                <w:szCs w:val="22"/>
                <w:color w:val="auto"/>
              </w:rPr>
              <w:t>29,571,392</w:t>
            </w:r>
          </w:p>
        </w:tc>
        <w:tc>
          <w:tcPr>
            <w:tcW w:w="22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22"/>
                <w:szCs w:val="22"/>
                <w:color w:val="auto"/>
              </w:rPr>
              <w:t>25,638,735</w:t>
            </w:r>
          </w:p>
        </w:tc>
        <w:tc>
          <w:tcPr>
            <w:tcW w:w="0" w:type="dxa"/>
            <w:vAlign w:val="bottom"/>
          </w:tcPr>
          <w:p>
            <w:pPr>
              <w:spacing w:after="0"/>
              <w:rPr>
                <w:sz w:val="1"/>
                <w:szCs w:val="1"/>
                <w:color w:val="auto"/>
              </w:rPr>
            </w:pPr>
          </w:p>
        </w:tc>
      </w:tr>
      <w:tr>
        <w:trPr>
          <w:trHeight w:val="159"/>
        </w:trPr>
        <w:tc>
          <w:tcPr>
            <w:tcW w:w="692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taxes</w:t>
            </w:r>
          </w:p>
        </w:tc>
        <w:tc>
          <w:tcPr>
            <w:tcW w:w="12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20"/>
              <w:spacing w:after="0"/>
              <w:rPr>
                <w:sz w:val="20"/>
                <w:szCs w:val="20"/>
                <w:color w:val="auto"/>
              </w:rPr>
            </w:pPr>
            <w:r>
              <w:rPr>
                <w:rFonts w:ascii="Arial" w:cs="Arial" w:eastAsia="Arial" w:hAnsi="Arial"/>
                <w:sz w:val="22"/>
                <w:szCs w:val="22"/>
                <w:color w:val="auto"/>
              </w:rPr>
              <w:t>Credit Facility amendment costs and debt issuance costs</w:t>
            </w:r>
          </w:p>
        </w:tc>
        <w:tc>
          <w:tcPr>
            <w:tcW w:w="1240" w:type="dxa"/>
            <w:vAlign w:val="bottom"/>
          </w:tcPr>
          <w:p>
            <w:pPr>
              <w:jc w:val="right"/>
              <w:spacing w:after="0"/>
              <w:rPr>
                <w:sz w:val="20"/>
                <w:szCs w:val="20"/>
                <w:color w:val="auto"/>
              </w:rPr>
            </w:pPr>
            <w:r>
              <w:rPr>
                <w:rFonts w:ascii="Arial" w:cs="Arial" w:eastAsia="Arial" w:hAnsi="Arial"/>
                <w:sz w:val="22"/>
                <w:szCs w:val="22"/>
                <w:color w:val="auto"/>
              </w:rPr>
              <w:t>4,517,292</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10,869,098</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112,736</w:t>
            </w:r>
          </w:p>
        </w:tc>
        <w:tc>
          <w:tcPr>
            <w:tcW w:w="0" w:type="dxa"/>
            <w:vAlign w:val="bottom"/>
          </w:tcPr>
          <w:p>
            <w:pPr>
              <w:spacing w:after="0"/>
              <w:rPr>
                <w:sz w:val="1"/>
                <w:szCs w:val="1"/>
                <w:color w:val="auto"/>
              </w:rPr>
            </w:pPr>
          </w:p>
        </w:tc>
      </w:tr>
      <w:tr>
        <w:trPr>
          <w:trHeight w:val="274"/>
        </w:trPr>
        <w:tc>
          <w:tcPr>
            <w:tcW w:w="6920" w:type="dxa"/>
            <w:vAlign w:val="bottom"/>
          </w:tcPr>
          <w:p>
            <w:pPr>
              <w:ind w:left="120"/>
              <w:spacing w:after="0"/>
              <w:rPr>
                <w:sz w:val="20"/>
                <w:szCs w:val="20"/>
                <w:color w:val="auto"/>
              </w:rPr>
            </w:pPr>
            <w:r>
              <w:rPr>
                <w:rFonts w:ascii="Arial" w:cs="Arial" w:eastAsia="Arial" w:hAnsi="Arial"/>
                <w:sz w:val="22"/>
                <w:szCs w:val="22"/>
                <w:color w:val="auto"/>
              </w:rPr>
              <w:t>Provision for taxes</w:t>
            </w:r>
          </w:p>
        </w:tc>
        <w:tc>
          <w:tcPr>
            <w:tcW w:w="1460" w:type="dxa"/>
            <w:vAlign w:val="bottom"/>
            <w:gridSpan w:val="2"/>
          </w:tcPr>
          <w:p>
            <w:pPr>
              <w:jc w:val="right"/>
              <w:ind w:right="112"/>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800,000</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300,000</w:t>
            </w:r>
          </w:p>
        </w:tc>
        <w:tc>
          <w:tcPr>
            <w:tcW w:w="0" w:type="dxa"/>
            <w:vAlign w:val="bottom"/>
          </w:tcPr>
          <w:p>
            <w:pPr>
              <w:spacing w:after="0"/>
              <w:rPr>
                <w:sz w:val="1"/>
                <w:szCs w:val="1"/>
                <w:color w:val="auto"/>
              </w:rPr>
            </w:pPr>
          </w:p>
        </w:tc>
      </w:tr>
      <w:tr>
        <w:trPr>
          <w:trHeight w:val="267"/>
        </w:trPr>
        <w:tc>
          <w:tcPr>
            <w:tcW w:w="6920" w:type="dxa"/>
            <w:vAlign w:val="bottom"/>
          </w:tcPr>
          <w:p>
            <w:pPr>
              <w:ind w:left="120"/>
              <w:spacing w:after="0"/>
              <w:rPr>
                <w:sz w:val="20"/>
                <w:szCs w:val="20"/>
                <w:color w:val="auto"/>
              </w:rPr>
            </w:pPr>
            <w:r>
              <w:rPr>
                <w:rFonts w:ascii="Arial" w:cs="Arial" w:eastAsia="Arial" w:hAnsi="Arial"/>
                <w:sz w:val="22"/>
                <w:szCs w:val="22"/>
                <w:b w:val="1"/>
                <w:bCs w:val="1"/>
                <w:color w:val="auto"/>
              </w:rPr>
              <w:t>Total expenses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47,485,374</w:t>
            </w:r>
          </w:p>
        </w:tc>
        <w:tc>
          <w:tcPr>
            <w:tcW w:w="220" w:type="dxa"/>
            <w:vAlign w:val="bottom"/>
          </w:tcPr>
          <w:p>
            <w:pPr>
              <w:spacing w:after="0"/>
              <w:rPr>
                <w:sz w:val="23"/>
                <w:szCs w:val="2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41,240,490</w:t>
            </w:r>
          </w:p>
        </w:tc>
        <w:tc>
          <w:tcPr>
            <w:tcW w:w="220" w:type="dxa"/>
            <w:vAlign w:val="bottom"/>
          </w:tcPr>
          <w:p>
            <w:pPr>
              <w:spacing w:after="0"/>
              <w:rPr>
                <w:sz w:val="23"/>
                <w:szCs w:val="2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26,051,471</w:t>
            </w:r>
          </w:p>
        </w:tc>
        <w:tc>
          <w:tcPr>
            <w:tcW w:w="0" w:type="dxa"/>
            <w:vAlign w:val="bottom"/>
          </w:tcPr>
          <w:p>
            <w:pPr>
              <w:spacing w:after="0"/>
              <w:rPr>
                <w:sz w:val="1"/>
                <w:szCs w:val="1"/>
                <w:color w:val="auto"/>
              </w:rPr>
            </w:pPr>
          </w:p>
        </w:tc>
      </w:tr>
      <w:tr>
        <w:trPr>
          <w:trHeight w:val="264"/>
        </w:trPr>
        <w:tc>
          <w:tcPr>
            <w:tcW w:w="6920" w:type="dxa"/>
            <w:vAlign w:val="bottom"/>
          </w:tcPr>
          <w:p>
            <w:pPr>
              <w:ind w:left="120"/>
              <w:spacing w:after="0"/>
              <w:rPr>
                <w:sz w:val="20"/>
                <w:szCs w:val="20"/>
                <w:color w:val="auto"/>
              </w:rPr>
            </w:pPr>
            <w:r>
              <w:rPr>
                <w:rFonts w:ascii="Arial" w:cs="Arial" w:eastAsia="Arial" w:hAnsi="Arial"/>
                <w:sz w:val="22"/>
                <w:szCs w:val="22"/>
                <w:b w:val="1"/>
                <w:bCs w:val="1"/>
                <w:color w:val="auto"/>
              </w:rPr>
              <w:t>Net investment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45,461,808</w:t>
            </w:r>
          </w:p>
        </w:tc>
        <w:tc>
          <w:tcPr>
            <w:tcW w:w="2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30,964,089</w:t>
            </w:r>
          </w:p>
        </w:tc>
        <w:tc>
          <w:tcPr>
            <w:tcW w:w="2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33,445,363</w:t>
            </w:r>
          </w:p>
        </w:tc>
        <w:tc>
          <w:tcPr>
            <w:tcW w:w="0" w:type="dxa"/>
            <w:vAlign w:val="bottom"/>
          </w:tcPr>
          <w:p>
            <w:pPr>
              <w:spacing w:after="0"/>
              <w:rPr>
                <w:sz w:val="1"/>
                <w:szCs w:val="1"/>
                <w:color w:val="auto"/>
              </w:rPr>
            </w:pPr>
          </w:p>
        </w:tc>
      </w:tr>
      <w:tr>
        <w:trPr>
          <w:trHeight w:val="256"/>
        </w:trPr>
        <w:tc>
          <w:tcPr>
            <w:tcW w:w="6920" w:type="dxa"/>
            <w:vAlign w:val="bottom"/>
          </w:tcPr>
          <w:p>
            <w:pPr>
              <w:spacing w:after="0"/>
              <w:rPr>
                <w:sz w:val="20"/>
                <w:szCs w:val="20"/>
                <w:color w:val="auto"/>
              </w:rPr>
            </w:pPr>
            <w:r>
              <w:rPr>
                <w:rFonts w:ascii="Arial" w:cs="Arial" w:eastAsia="Arial" w:hAnsi="Arial"/>
                <w:sz w:val="22"/>
                <w:szCs w:val="22"/>
                <w:b w:val="1"/>
                <w:bCs w:val="1"/>
                <w:color w:val="auto"/>
              </w:rPr>
              <w:t>Realized and unrealized (loss) gain on investments and debt:</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22"/>
                <w:szCs w:val="22"/>
                <w:color w:val="auto"/>
              </w:rPr>
              <w:t>Net realized (loss) gain on:</w:t>
            </w: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20"/>
              <w:spacing w:after="0"/>
              <w:rPr>
                <w:sz w:val="20"/>
                <w:szCs w:val="20"/>
                <w:color w:val="auto"/>
              </w:rPr>
            </w:pPr>
            <w:r>
              <w:rPr>
                <w:rFonts w:ascii="Arial" w:cs="Arial" w:eastAsia="Arial" w:hAnsi="Arial"/>
                <w:sz w:val="22"/>
                <w:szCs w:val="22"/>
                <w:color w:val="auto"/>
              </w:rPr>
              <w:t>Non-controlled, non-affiliated investments</w:t>
            </w:r>
          </w:p>
        </w:tc>
        <w:tc>
          <w:tcPr>
            <w:tcW w:w="1460" w:type="dxa"/>
            <w:vAlign w:val="bottom"/>
            <w:gridSpan w:val="2"/>
          </w:tcPr>
          <w:p>
            <w:pPr>
              <w:jc w:val="right"/>
              <w:ind w:right="12"/>
              <w:spacing w:after="0"/>
              <w:rPr>
                <w:sz w:val="20"/>
                <w:szCs w:val="20"/>
                <w:color w:val="auto"/>
              </w:rPr>
            </w:pPr>
            <w:r>
              <w:rPr>
                <w:rFonts w:ascii="Arial" w:cs="Arial" w:eastAsia="Arial" w:hAnsi="Arial"/>
                <w:sz w:val="22"/>
                <w:szCs w:val="22"/>
                <w:color w:val="auto"/>
              </w:rPr>
              <w:t>(18,802,365)</w:t>
            </w:r>
          </w:p>
        </w:tc>
        <w:tc>
          <w:tcPr>
            <w:tcW w:w="1480" w:type="dxa"/>
            <w:vAlign w:val="bottom"/>
            <w:gridSpan w:val="2"/>
          </w:tcPr>
          <w:p>
            <w:pPr>
              <w:jc w:val="right"/>
              <w:ind w:right="32"/>
              <w:spacing w:after="0"/>
              <w:rPr>
                <w:sz w:val="20"/>
                <w:szCs w:val="20"/>
                <w:color w:val="auto"/>
              </w:rPr>
            </w:pPr>
            <w:r>
              <w:rPr>
                <w:rFonts w:ascii="Arial" w:cs="Arial" w:eastAsia="Arial" w:hAnsi="Arial"/>
                <w:sz w:val="22"/>
                <w:szCs w:val="22"/>
                <w:color w:val="auto"/>
              </w:rPr>
              <w:t>(2,327,118)</w:t>
            </w:r>
          </w:p>
        </w:tc>
        <w:tc>
          <w:tcPr>
            <w:tcW w:w="1260" w:type="dxa"/>
            <w:vAlign w:val="bottom"/>
          </w:tcPr>
          <w:p>
            <w:pPr>
              <w:jc w:val="right"/>
              <w:spacing w:after="0"/>
              <w:rPr>
                <w:sz w:val="20"/>
                <w:szCs w:val="20"/>
                <w:color w:val="auto"/>
              </w:rPr>
            </w:pPr>
            <w:r>
              <w:rPr>
                <w:rFonts w:ascii="Arial" w:cs="Arial" w:eastAsia="Arial" w:hAnsi="Arial"/>
                <w:sz w:val="22"/>
                <w:szCs w:val="22"/>
                <w:color w:val="auto"/>
              </w:rPr>
              <w:t>5,410,903</w:t>
            </w:r>
          </w:p>
        </w:tc>
        <w:tc>
          <w:tcPr>
            <w:tcW w:w="0" w:type="dxa"/>
            <w:vAlign w:val="bottom"/>
          </w:tcPr>
          <w:p>
            <w:pPr>
              <w:spacing w:after="0"/>
              <w:rPr>
                <w:sz w:val="1"/>
                <w:szCs w:val="1"/>
                <w:color w:val="auto"/>
              </w:rPr>
            </w:pPr>
          </w:p>
        </w:tc>
      </w:tr>
      <w:tr>
        <w:trPr>
          <w:trHeight w:val="274"/>
        </w:trPr>
        <w:tc>
          <w:tcPr>
            <w:tcW w:w="6920" w:type="dxa"/>
            <w:vAlign w:val="bottom"/>
          </w:tcPr>
          <w:p>
            <w:pPr>
              <w:ind w:left="120"/>
              <w:spacing w:after="0"/>
              <w:rPr>
                <w:sz w:val="20"/>
                <w:szCs w:val="20"/>
                <w:color w:val="auto"/>
              </w:rPr>
            </w:pPr>
            <w:r>
              <w:rPr>
                <w:rFonts w:ascii="Arial" w:cs="Arial" w:eastAsia="Arial" w:hAnsi="Arial"/>
                <w:sz w:val="22"/>
                <w:szCs w:val="22"/>
                <w:color w:val="auto"/>
              </w:rPr>
              <w:t>Controlled and non-controlled, affiliated investments</w:t>
            </w:r>
          </w:p>
        </w:tc>
        <w:tc>
          <w:tcPr>
            <w:tcW w:w="1460" w:type="dxa"/>
            <w:vAlign w:val="bottom"/>
            <w:gridSpan w:val="2"/>
          </w:tcPr>
          <w:p>
            <w:pPr>
              <w:jc w:val="right"/>
              <w:ind w:right="12"/>
              <w:spacing w:after="0"/>
              <w:rPr>
                <w:sz w:val="20"/>
                <w:szCs w:val="20"/>
                <w:color w:val="auto"/>
              </w:rPr>
            </w:pPr>
            <w:r>
              <w:rPr>
                <w:rFonts w:ascii="Arial" w:cs="Arial" w:eastAsia="Arial" w:hAnsi="Arial"/>
                <w:sz w:val="22"/>
                <w:szCs w:val="22"/>
                <w:color w:val="auto"/>
              </w:rPr>
              <w:t>(12,621,504)</w:t>
            </w:r>
          </w:p>
        </w:tc>
        <w:tc>
          <w:tcPr>
            <w:tcW w:w="1480" w:type="dxa"/>
            <w:vAlign w:val="bottom"/>
            <w:gridSpan w:val="2"/>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9"/>
        </w:trPr>
        <w:tc>
          <w:tcPr>
            <w:tcW w:w="6920" w:type="dxa"/>
            <w:vAlign w:val="bottom"/>
          </w:tcPr>
          <w:p>
            <w:pPr>
              <w:ind w:left="120"/>
              <w:spacing w:after="0"/>
              <w:rPr>
                <w:sz w:val="20"/>
                <w:szCs w:val="20"/>
                <w:color w:val="auto"/>
              </w:rPr>
            </w:pPr>
            <w:r>
              <w:rPr>
                <w:rFonts w:ascii="Arial" w:cs="Arial" w:eastAsia="Arial" w:hAnsi="Arial"/>
                <w:sz w:val="22"/>
                <w:szCs w:val="22"/>
                <w:b w:val="1"/>
                <w:bCs w:val="1"/>
                <w:color w:val="auto"/>
              </w:rPr>
              <w:t>Net realized (loss) gain on investments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(31,423,869</w:t>
            </w:r>
          </w:p>
        </w:tc>
        <w:tc>
          <w:tcPr>
            <w:tcW w:w="2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(2,327,118</w:t>
            </w:r>
          </w:p>
        </w:tc>
        <w:tc>
          <w:tcPr>
            <w:tcW w:w="22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5,410,903</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22"/>
                <w:szCs w:val="22"/>
                <w:color w:val="auto"/>
              </w:rPr>
              <w:t>Net change in unrealized appreciation (depreciation) on:</w:t>
            </w: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920" w:type="dxa"/>
            <w:vAlign w:val="bottom"/>
          </w:tcPr>
          <w:p>
            <w:pPr>
              <w:ind w:left="120"/>
              <w:spacing w:after="0"/>
              <w:rPr>
                <w:sz w:val="20"/>
                <w:szCs w:val="20"/>
                <w:color w:val="auto"/>
              </w:rPr>
            </w:pPr>
            <w:r>
              <w:rPr>
                <w:rFonts w:ascii="Arial" w:cs="Arial" w:eastAsia="Arial" w:hAnsi="Arial"/>
                <w:sz w:val="22"/>
                <w:szCs w:val="22"/>
                <w:color w:val="auto"/>
              </w:rPr>
              <w:t>Non-controlled, non-affiliated investments</w:t>
            </w:r>
          </w:p>
        </w:tc>
        <w:tc>
          <w:tcPr>
            <w:tcW w:w="1240" w:type="dxa"/>
            <w:vAlign w:val="bottom"/>
          </w:tcPr>
          <w:p>
            <w:pPr>
              <w:jc w:val="right"/>
              <w:spacing w:after="0"/>
              <w:rPr>
                <w:sz w:val="20"/>
                <w:szCs w:val="20"/>
                <w:color w:val="auto"/>
              </w:rPr>
            </w:pPr>
            <w:r>
              <w:rPr>
                <w:rFonts w:ascii="Arial" w:cs="Arial" w:eastAsia="Arial" w:hAnsi="Arial"/>
                <w:sz w:val="22"/>
                <w:szCs w:val="22"/>
                <w:color w:val="auto"/>
              </w:rPr>
              <w:t>2,640,050</w:t>
            </w:r>
          </w:p>
        </w:tc>
        <w:tc>
          <w:tcPr>
            <w:tcW w:w="220" w:type="dxa"/>
            <w:vAlign w:val="bottom"/>
          </w:tcPr>
          <w:p>
            <w:pPr>
              <w:spacing w:after="0"/>
              <w:rPr>
                <w:sz w:val="23"/>
                <w:szCs w:val="23"/>
                <w:color w:val="auto"/>
              </w:rPr>
            </w:pPr>
          </w:p>
        </w:tc>
        <w:tc>
          <w:tcPr>
            <w:tcW w:w="1480" w:type="dxa"/>
            <w:vAlign w:val="bottom"/>
            <w:gridSpan w:val="2"/>
          </w:tcPr>
          <w:p>
            <w:pPr>
              <w:jc w:val="right"/>
              <w:ind w:right="32"/>
              <w:spacing w:after="0"/>
              <w:rPr>
                <w:sz w:val="20"/>
                <w:szCs w:val="20"/>
                <w:color w:val="auto"/>
              </w:rPr>
            </w:pPr>
            <w:r>
              <w:rPr>
                <w:rFonts w:ascii="Arial" w:cs="Arial" w:eastAsia="Arial" w:hAnsi="Arial"/>
                <w:sz w:val="22"/>
                <w:szCs w:val="22"/>
                <w:color w:val="auto"/>
              </w:rPr>
              <w:t>(3,857,170)</w:t>
            </w:r>
          </w:p>
        </w:tc>
        <w:tc>
          <w:tcPr>
            <w:tcW w:w="1260" w:type="dxa"/>
            <w:vAlign w:val="bottom"/>
          </w:tcPr>
          <w:p>
            <w:pPr>
              <w:jc w:val="right"/>
              <w:spacing w:after="0"/>
              <w:rPr>
                <w:sz w:val="20"/>
                <w:szCs w:val="20"/>
                <w:color w:val="auto"/>
              </w:rPr>
            </w:pPr>
            <w:r>
              <w:rPr>
                <w:rFonts w:ascii="Arial" w:cs="Arial" w:eastAsia="Arial" w:hAnsi="Arial"/>
                <w:sz w:val="22"/>
                <w:szCs w:val="22"/>
                <w:color w:val="auto"/>
              </w:rPr>
              <w:t>537,029</w:t>
            </w:r>
          </w:p>
        </w:tc>
        <w:tc>
          <w:tcPr>
            <w:tcW w:w="0" w:type="dxa"/>
            <w:vAlign w:val="bottom"/>
          </w:tcPr>
          <w:p>
            <w:pPr>
              <w:spacing w:after="0"/>
              <w:rPr>
                <w:sz w:val="1"/>
                <w:szCs w:val="1"/>
                <w:color w:val="auto"/>
              </w:rPr>
            </w:pPr>
          </w:p>
        </w:tc>
      </w:tr>
    </w:tbl>
    <w:p>
      <w:pPr>
        <w:sectPr>
          <w:pgSz w:w="11900" w:h="16860" w:orient="portrait"/>
          <w:cols w:equalWidth="0" w:num="1">
            <w:col w:w="11200"/>
          </w:cols>
          <w:pgMar w:left="340" w:top="111" w:right="359" w:bottom="0" w:gutter="0" w:footer="0" w:header="0"/>
        </w:sectPr>
      </w:pPr>
    </w:p>
    <w:bookmarkStart w:id="8" w:name="page9"/>
    <w:bookmarkEnd w:id="8"/>
    <w:p>
      <w:pPr>
        <w:ind w:left="140" w:right="1700"/>
        <w:spacing w:after="0" w:line="258" w:lineRule="auto"/>
        <w:rPr>
          <w:sz w:val="20"/>
          <w:szCs w:val="20"/>
          <w:color w:val="auto"/>
        </w:rPr>
      </w:pPr>
      <w:r>
        <w:rPr>
          <w:rFonts w:ascii="Arial" w:cs="Arial" w:eastAsia="Arial" w:hAnsi="Arial"/>
          <w:sz w:val="22"/>
          <w:szCs w:val="22"/>
          <w:color w:val="auto"/>
        </w:rPr>
        <w:t>Controlled and non-controlled, affiliated investments Debt depreciation (appreciation)</w:t>
      </w:r>
    </w:p>
    <w:p>
      <w:pPr>
        <w:spacing w:after="0" w:line="1" w:lineRule="exact"/>
        <w:rPr>
          <w:sz w:val="20"/>
          <w:szCs w:val="20"/>
          <w:color w:val="auto"/>
        </w:rPr>
      </w:pPr>
    </w:p>
    <w:p>
      <w:pPr>
        <w:ind w:left="140"/>
        <w:spacing w:after="0" w:line="243" w:lineRule="auto"/>
        <w:rPr>
          <w:sz w:val="20"/>
          <w:szCs w:val="20"/>
          <w:color w:val="auto"/>
        </w:rPr>
      </w:pPr>
      <w:r>
        <w:rPr>
          <w:rFonts w:ascii="Arial" w:cs="Arial" w:eastAsia="Arial" w:hAnsi="Arial"/>
          <w:sz w:val="22"/>
          <w:szCs w:val="22"/>
          <w:b w:val="1"/>
          <w:bCs w:val="1"/>
          <w:color w:val="auto"/>
        </w:rPr>
        <w:t>Net change in unrealized appreciation (depreciation) on investments and debt</w:t>
      </w:r>
    </w:p>
    <w:p>
      <w:pPr>
        <w:spacing w:after="0" w:line="1" w:lineRule="exact"/>
        <w:rPr>
          <w:sz w:val="20"/>
          <w:szCs w:val="20"/>
          <w:color w:val="auto"/>
        </w:rPr>
      </w:pPr>
    </w:p>
    <w:p>
      <w:pPr>
        <w:ind w:left="20" w:right="900"/>
        <w:spacing w:after="0" w:line="338" w:lineRule="auto"/>
        <w:rPr>
          <w:sz w:val="20"/>
          <w:szCs w:val="20"/>
          <w:color w:val="auto"/>
        </w:rPr>
      </w:pPr>
      <w:r>
        <w:rPr>
          <w:rFonts w:ascii="Arial" w:cs="Arial" w:eastAsia="Arial" w:hAnsi="Arial"/>
          <w:sz w:val="19"/>
          <w:szCs w:val="19"/>
          <w:b w:val="1"/>
          <w:bCs w:val="1"/>
          <w:color w:val="auto"/>
        </w:rPr>
        <w:t>Net realized and unrealized gain from investments and debt Net increase in net assets resulting from operations</w:t>
      </w:r>
    </w:p>
    <w:p>
      <w:pPr>
        <w:spacing w:after="0" w:line="1" w:lineRule="exact"/>
        <w:rPr>
          <w:sz w:val="20"/>
          <w:szCs w:val="20"/>
          <w:color w:val="auto"/>
        </w:rPr>
      </w:pPr>
    </w:p>
    <w:p>
      <w:pPr>
        <w:ind w:left="20" w:right="340"/>
        <w:spacing w:after="0" w:line="327" w:lineRule="auto"/>
        <w:rPr>
          <w:sz w:val="20"/>
          <w:szCs w:val="20"/>
          <w:color w:val="auto"/>
        </w:rPr>
      </w:pPr>
      <w:r>
        <w:rPr>
          <w:rFonts w:ascii="Arial" w:cs="Arial" w:eastAsia="Arial" w:hAnsi="Arial"/>
          <w:sz w:val="22"/>
          <w:szCs w:val="22"/>
          <w:color w:val="auto"/>
        </w:rPr>
        <w:t>Net increase in net assets resulting from operations per common share Net investment income per common share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160" w:type="dxa"/>
            <w:vAlign w:val="bottom"/>
          </w:tcPr>
          <w:p>
            <w:pPr>
              <w:spacing w:after="0"/>
              <w:rPr>
                <w:sz w:val="23"/>
                <w:szCs w:val="23"/>
                <w:color w:val="auto"/>
              </w:rPr>
            </w:pPr>
          </w:p>
        </w:tc>
        <w:tc>
          <w:tcPr>
            <w:tcW w:w="1300" w:type="dxa"/>
            <w:vAlign w:val="bottom"/>
            <w:gridSpan w:val="2"/>
          </w:tcPr>
          <w:p>
            <w:pPr>
              <w:jc w:val="right"/>
              <w:ind w:right="12"/>
              <w:spacing w:after="0"/>
              <w:rPr>
                <w:sz w:val="20"/>
                <w:szCs w:val="20"/>
                <w:color w:val="auto"/>
              </w:rPr>
            </w:pPr>
            <w:r>
              <w:rPr>
                <w:rFonts w:ascii="Arial" w:cs="Arial" w:eastAsia="Arial" w:hAnsi="Arial"/>
                <w:sz w:val="22"/>
                <w:szCs w:val="22"/>
                <w:color w:val="auto"/>
              </w:rPr>
              <w:t>(5,245,396)</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960,087</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525,143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60" w:type="dxa"/>
            <w:vAlign w:val="bottom"/>
          </w:tcPr>
          <w:p>
            <w:pPr>
              <w:spacing w:after="0"/>
              <w:rPr>
                <w:sz w:val="24"/>
                <w:szCs w:val="24"/>
                <w:color w:val="auto"/>
              </w:rPr>
            </w:pPr>
          </w:p>
        </w:tc>
        <w:tc>
          <w:tcPr>
            <w:tcW w:w="1300" w:type="dxa"/>
            <w:vAlign w:val="bottom"/>
            <w:gridSpan w:val="2"/>
          </w:tcPr>
          <w:p>
            <w:pPr>
              <w:jc w:val="right"/>
              <w:ind w:right="12"/>
              <w:spacing w:after="0"/>
              <w:rPr>
                <w:sz w:val="20"/>
                <w:szCs w:val="20"/>
                <w:color w:val="auto"/>
              </w:rPr>
            </w:pPr>
            <w:r>
              <w:rPr>
                <w:rFonts w:ascii="Arial" w:cs="Arial" w:eastAsia="Arial" w:hAnsi="Arial"/>
                <w:sz w:val="22"/>
                <w:szCs w:val="22"/>
                <w:color w:val="auto"/>
              </w:rPr>
              <w:t>(16,487)</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7,750,334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99"/>
              </w:rPr>
              <w:t>(3,593,158)</w:t>
            </w: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60" w:type="dxa"/>
            <w:vAlign w:val="bottom"/>
          </w:tcPr>
          <w:p>
            <w:pPr>
              <w:spacing w:after="0"/>
              <w:rPr>
                <w:sz w:val="24"/>
                <w:szCs w:val="24"/>
                <w:color w:val="auto"/>
              </w:rPr>
            </w:pPr>
          </w:p>
        </w:tc>
        <w:tc>
          <w:tcPr>
            <w:tcW w:w="1300" w:type="dxa"/>
            <w:vAlign w:val="bottom"/>
            <w:gridSpan w:val="2"/>
          </w:tcPr>
          <w:p>
            <w:pPr>
              <w:jc w:val="right"/>
              <w:ind w:right="12"/>
              <w:spacing w:after="0"/>
              <w:rPr>
                <w:sz w:val="20"/>
                <w:szCs w:val="20"/>
                <w:color w:val="auto"/>
              </w:rPr>
            </w:pPr>
            <w:r>
              <w:rPr>
                <w:rFonts w:ascii="Arial" w:cs="Arial" w:eastAsia="Arial" w:hAnsi="Arial"/>
                <w:sz w:val="22"/>
                <w:szCs w:val="22"/>
                <w:color w:val="auto"/>
              </w:rPr>
              <w:t>(2,621,833)</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4,853,251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99"/>
              </w:rPr>
              <w:t>(2,530,986)</w:t>
            </w:r>
          </w:p>
        </w:tc>
        <w:tc>
          <w:tcPr>
            <w:tcW w:w="0" w:type="dxa"/>
            <w:vAlign w:val="bottom"/>
          </w:tcPr>
          <w:p>
            <w:pPr>
              <w:spacing w:after="0"/>
              <w:rPr>
                <w:sz w:val="1"/>
                <w:szCs w:val="1"/>
                <w:color w:val="auto"/>
              </w:rPr>
            </w:pPr>
          </w:p>
        </w:tc>
      </w:tr>
      <w:tr>
        <w:trPr>
          <w:trHeight w:val="125"/>
        </w:trPr>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vMerge w:val="restart"/>
          </w:tcPr>
          <w:p>
            <w:pPr>
              <w:jc w:val="right"/>
              <w:ind w:right="12"/>
              <w:spacing w:after="0"/>
              <w:rPr>
                <w:sz w:val="20"/>
                <w:szCs w:val="20"/>
                <w:color w:val="auto"/>
              </w:rPr>
            </w:pPr>
            <w:r>
              <w:rPr>
                <w:rFonts w:ascii="Arial" w:cs="Arial" w:eastAsia="Arial" w:hAnsi="Arial"/>
                <w:sz w:val="22"/>
                <w:szCs w:val="22"/>
                <w:color w:val="auto"/>
              </w:rPr>
              <w:t>)</w:t>
            </w: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0"/>
              </w:rPr>
              <w:t>(34,045,702</w:t>
            </w:r>
          </w:p>
        </w:tc>
        <w:tc>
          <w:tcPr>
            <w:tcW w:w="220" w:type="dxa"/>
            <w:vAlign w:val="bottom"/>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2,526,133</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2,879,917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11,416,106</w:t>
            </w:r>
          </w:p>
        </w:tc>
        <w:tc>
          <w:tcPr>
            <w:tcW w:w="2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33,490,222</w:t>
            </w:r>
          </w:p>
        </w:tc>
        <w:tc>
          <w:tcPr>
            <w:tcW w:w="2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36,325,280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0.29</w:t>
            </w:r>
          </w:p>
        </w:tc>
        <w:tc>
          <w:tcPr>
            <w:tcW w:w="2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0.87</w:t>
            </w:r>
          </w:p>
        </w:tc>
        <w:tc>
          <w:tcPr>
            <w:tcW w:w="2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w:t>
            </w:r>
          </w:p>
        </w:tc>
        <w:tc>
          <w:tcPr>
            <w:tcW w:w="2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0.81</w:t>
            </w:r>
          </w:p>
        </w:tc>
        <w:tc>
          <w:tcPr>
            <w:tcW w:w="2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41" w:lineRule="exact"/>
        <w:rPr>
          <w:sz w:val="20"/>
          <w:szCs w:val="20"/>
          <w:color w:val="auto"/>
        </w:rPr>
      </w:pPr>
    </w:p>
    <w:p>
      <w:pPr>
        <w:sectPr>
          <w:pgSz w:w="11900" w:h="16838" w:orient="portrait"/>
          <w:cols w:equalWidth="0" w:num="2">
            <w:col w:w="6420" w:space="520"/>
            <w:col w:w="4300"/>
          </w:cols>
          <w:pgMar w:left="320" w:top="118" w:right="339" w:bottom="1440" w:gutter="0" w:footer="0" w:header="0"/>
        </w:sectPr>
      </w:pPr>
    </w:p>
    <w:p>
      <w:pPr>
        <w:spacing w:after="0" w:line="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$3.3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Aviv Efrat</w:t>
      </w:r>
    </w:p>
    <w:p>
      <w:pPr>
        <w:spacing w:after="0" w:line="238" w:lineRule="auto"/>
        <w:rPr>
          <w:sz w:val="20"/>
          <w:szCs w:val="20"/>
          <w:color w:val="auto"/>
        </w:rPr>
      </w:pPr>
      <w:r>
        <w:rPr>
          <w:rFonts w:ascii="Arial" w:cs="Arial" w:eastAsia="Arial" w:hAnsi="Arial"/>
          <w:sz w:val="22"/>
          <w:szCs w:val="22"/>
          <w:color w:val="auto"/>
        </w:rPr>
        <w:t>PennantPark Floating Rate Capital Ltd.</w:t>
      </w:r>
    </w:p>
    <w:p>
      <w:pPr>
        <w:ind w:right="9240" w:firstLine="8"/>
        <w:spacing w:after="0" w:line="308" w:lineRule="auto"/>
        <w:tabs>
          <w:tab w:leader="none" w:pos="522"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2020-05-05T12:06:38Z</dcterms:created>
  <dcterms:modified xsi:type="dcterms:W3CDTF">2020-05-05T12:06:38Z</dcterms:modified>
</cp:coreProperties>
</file>