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FORM 8-K</w:t>
      </w:r>
    </w:p>
    <w:p>
      <w:pPr>
        <w:spacing w:after="0" w:line="229"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CURRENT REPORT</w:t>
      </w:r>
    </w:p>
    <w:p>
      <w:pPr>
        <w:spacing w:after="0" w:line="225"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Pursuant to Section 13 or 15(d) of the</w:t>
      </w:r>
    </w:p>
    <w:p>
      <w:pPr>
        <w:spacing w:after="0" w:line="23"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Date of Report: March 26, 2020</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(Date of earliest event reported)</w:t>
      </w:r>
    </w:p>
    <w:p>
      <w:pPr>
        <w:spacing w:after="0" w:line="20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(Exact name of registrant as specified in its charter)</w:t>
      </w:r>
    </w:p>
    <w:p>
      <w:pPr>
        <w:sectPr>
          <w:pgSz w:w="11900" w:h="16838" w:orient="portrait"/>
          <w:cols w:equalWidth="0" w:num="1">
            <w:col w:w="11100"/>
          </w:cols>
          <w:pgMar w:left="320" w:top="445" w:right="479" w:bottom="1440" w:gutter="0" w:footer="0" w:header="0"/>
        </w:sectPr>
      </w:pPr>
    </w:p>
    <w:p>
      <w:pPr>
        <w:spacing w:after="0" w:line="218" w:lineRule="exact"/>
        <w:rPr>
          <w:sz w:val="24"/>
          <w:szCs w:val="24"/>
          <w:color w:val="auto"/>
        </w:rPr>
      </w:pPr>
    </w:p>
    <w:p>
      <w:pPr>
        <w:ind w:left="154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ind w:left="98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jc w:val="center"/>
        <w:ind w:right="9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9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940"/>
        <w:spacing w:after="0"/>
        <w:rPr>
          <w:sz w:val="20"/>
          <w:szCs w:val="20"/>
          <w:color w:val="auto"/>
        </w:rPr>
      </w:pPr>
      <w:r>
        <w:rPr>
          <w:rFonts w:ascii="Arial" w:cs="Arial" w:eastAsia="Arial" w:hAnsi="Arial"/>
          <w:sz w:val="16"/>
          <w:szCs w:val="16"/>
          <w:color w:val="auto"/>
        </w:rPr>
        <w:t>Identification Number)</w:t>
      </w:r>
    </w:p>
    <w:p>
      <w:pPr>
        <w:spacing w:after="0" w:line="222" w:lineRule="exact"/>
        <w:rPr>
          <w:sz w:val="24"/>
          <w:szCs w:val="24"/>
          <w:color w:val="auto"/>
        </w:rPr>
      </w:pPr>
    </w:p>
    <w:p>
      <w:pPr>
        <w:sectPr>
          <w:pgSz w:w="11900" w:h="16838" w:orient="portrait"/>
          <w:cols w:equalWidth="0" w:num="3">
            <w:col w:w="3920" w:space="720"/>
            <w:col w:w="3140" w:space="720"/>
            <w:col w:w="2600"/>
          </w:cols>
          <w:pgMar w:left="320" w:top="445" w:right="479" w:bottom="1440" w:gutter="0" w:footer="0" w:header="0"/>
          <w:type w:val="continuous"/>
        </w:sectPr>
      </w:pPr>
    </w:p>
    <w:p>
      <w:pPr>
        <w:spacing w:after="0" w:line="7" w:lineRule="exact"/>
        <w:rPr>
          <w:sz w:val="24"/>
          <w:szCs w:val="24"/>
          <w:color w:val="auto"/>
        </w:rPr>
      </w:pPr>
    </w:p>
    <w:p>
      <w:pPr>
        <w:jc w:val="center"/>
        <w:ind w:right="3360"/>
        <w:spacing w:after="0"/>
        <w:rPr>
          <w:sz w:val="20"/>
          <w:szCs w:val="20"/>
          <w:color w:val="auto"/>
        </w:rPr>
      </w:pPr>
      <w:r>
        <w:rPr>
          <w:rFonts w:ascii="Arial" w:cs="Arial" w:eastAsia="Arial" w:hAnsi="Arial"/>
          <w:sz w:val="16"/>
          <w:szCs w:val="16"/>
          <w:b w:val="1"/>
          <w:bCs w:val="1"/>
          <w:color w:val="auto"/>
        </w:rPr>
        <w:t>590 Madison Avenue, 15th Floor, New York, NY</w:t>
      </w:r>
    </w:p>
    <w:p>
      <w:pPr>
        <w:spacing w:after="0" w:line="50" w:lineRule="exact"/>
        <w:rPr>
          <w:sz w:val="24"/>
          <w:szCs w:val="24"/>
          <w:color w:val="auto"/>
        </w:rPr>
      </w:pPr>
    </w:p>
    <w:p>
      <w:pPr>
        <w:jc w:val="center"/>
        <w:ind w:right="336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1700"/>
        <w:spacing w:after="0"/>
        <w:rPr>
          <w:sz w:val="20"/>
          <w:szCs w:val="20"/>
          <w:color w:val="auto"/>
        </w:rPr>
      </w:pPr>
      <w:r>
        <w:rPr>
          <w:rFonts w:ascii="Arial" w:cs="Arial" w:eastAsia="Arial" w:hAnsi="Arial"/>
          <w:sz w:val="18"/>
          <w:szCs w:val="18"/>
          <w:b w:val="1"/>
          <w:bCs w:val="1"/>
          <w:color w:val="auto"/>
        </w:rPr>
        <w:t>10022</w:t>
      </w:r>
    </w:p>
    <w:p>
      <w:pPr>
        <w:spacing w:after="0" w:line="27" w:lineRule="exact"/>
        <w:rPr>
          <w:sz w:val="24"/>
          <w:szCs w:val="24"/>
          <w:color w:val="auto"/>
        </w:rPr>
      </w:pPr>
    </w:p>
    <w:p>
      <w:pPr>
        <w:jc w:val="center"/>
        <w:ind w:right="1700"/>
        <w:spacing w:after="0"/>
        <w:rPr>
          <w:sz w:val="20"/>
          <w:szCs w:val="20"/>
          <w:color w:val="auto"/>
        </w:rPr>
      </w:pPr>
      <w:r>
        <w:rPr>
          <w:rFonts w:ascii="Arial" w:cs="Arial" w:eastAsia="Arial" w:hAnsi="Arial"/>
          <w:sz w:val="16"/>
          <w:szCs w:val="16"/>
          <w:color w:val="auto"/>
        </w:rPr>
        <w:t>(Zip Code)</w:t>
      </w:r>
    </w:p>
    <w:p>
      <w:pPr>
        <w:spacing w:after="0" w:line="222" w:lineRule="exact"/>
        <w:rPr>
          <w:sz w:val="24"/>
          <w:szCs w:val="24"/>
          <w:color w:val="auto"/>
        </w:rPr>
      </w:pPr>
    </w:p>
    <w:p>
      <w:pPr>
        <w:sectPr>
          <w:pgSz w:w="11900" w:h="16838" w:orient="portrait"/>
          <w:cols w:equalWidth="0" w:num="2">
            <w:col w:w="7880" w:space="720"/>
            <w:col w:w="2500"/>
          </w:cols>
          <w:pgMar w:left="320" w:top="445" w:right="479" w:bottom="1440" w:gutter="0" w:footer="0" w:header="0"/>
          <w:type w:val="continuous"/>
        </w:sectPr>
      </w:pPr>
    </w:p>
    <w:p>
      <w:pPr>
        <w:spacing w:after="0" w:line="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40" w:firstLine="8"/>
        <w:spacing w:after="0" w:line="498" w:lineRule="auto"/>
        <w:tabs>
          <w:tab w:leader="none" w:pos="20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ectPr>
          <w:pgSz w:w="11900" w:h="16838" w:orient="portrait"/>
          <w:cols w:equalWidth="0" w:num="1">
            <w:col w:w="11100"/>
          </w:cols>
          <w:pgMar w:left="320" w:top="445" w:right="479" w:bottom="1440" w:gutter="0" w:footer="0" w:header="0"/>
          <w:type w:val="continuous"/>
        </w:sectPr>
      </w:pPr>
    </w:p>
    <w:p>
      <w:pPr>
        <w:spacing w:after="0" w:line="1"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right="360"/>
        <w:spacing w:after="0"/>
        <w:rPr>
          <w:sz w:val="20"/>
          <w:szCs w:val="20"/>
          <w:color w:val="auto"/>
        </w:rPr>
      </w:pPr>
      <w:r>
        <w:rPr>
          <w:rFonts w:ascii="Arial" w:cs="Arial" w:eastAsia="Arial" w:hAnsi="Arial"/>
          <w:sz w:val="16"/>
          <w:szCs w:val="16"/>
          <w:color w:val="auto"/>
        </w:rPr>
        <w:t>Common Stock, par value $0.001 per share</w:t>
      </w:r>
    </w:p>
    <w:p>
      <w:pPr>
        <w:spacing w:after="0" w:line="20" w:lineRule="exact"/>
        <w:rPr>
          <w:sz w:val="24"/>
          <w:szCs w:val="24"/>
          <w:color w:val="auto"/>
        </w:rPr>
      </w:pPr>
      <w:r>
        <w:rPr>
          <w:sz w:val="24"/>
          <w:szCs w:val="24"/>
          <w:color w:val="auto"/>
        </w:rPr>
        <w:br w:type="column"/>
      </w:r>
    </w:p>
    <w:p>
      <w:pPr>
        <w:jc w:val="center"/>
        <w:ind w:right="52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520"/>
        <w:spacing w:after="0"/>
        <w:rPr>
          <w:sz w:val="20"/>
          <w:szCs w:val="20"/>
          <w:color w:val="auto"/>
        </w:rPr>
      </w:pPr>
      <w:r>
        <w:rPr>
          <w:rFonts w:ascii="Arial" w:cs="Arial" w:eastAsia="Arial" w:hAnsi="Arial"/>
          <w:sz w:val="18"/>
          <w:szCs w:val="18"/>
          <w:color w:val="auto"/>
        </w:rPr>
        <w:t>PFLT</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Nasdaq Stock Market LLC</w:t>
      </w:r>
    </w:p>
    <w:p>
      <w:pPr>
        <w:spacing w:after="0" w:line="200" w:lineRule="exact"/>
        <w:rPr>
          <w:sz w:val="24"/>
          <w:szCs w:val="24"/>
          <w:color w:val="auto"/>
        </w:rPr>
      </w:pPr>
    </w:p>
    <w:p>
      <w:pPr>
        <w:sectPr>
          <w:pgSz w:w="11900" w:h="16838" w:orient="portrait"/>
          <w:cols w:equalWidth="0" w:num="3">
            <w:col w:w="4200" w:space="720"/>
            <w:col w:w="1940" w:space="720"/>
            <w:col w:w="3520"/>
          </w:cols>
          <w:pgMar w:left="320" w:top="445" w:right="479" w:bottom="1440" w:gutter="0" w:footer="0" w:header="0"/>
          <w:type w:val="continuous"/>
        </w:sectPr>
      </w:pPr>
    </w:p>
    <w:p>
      <w:pPr>
        <w:spacing w:after="0" w:line="11"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1323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00"/>
          </w:cols>
          <w:pgMar w:left="320" w:top="445"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On March 26, 2020, PennantPark Floating Rate Capital Ltd. (the “Company”) received notice from S&amp;P Global Ratings that it has downgraded the Company to ‘ilA’ from ‘ilA+’ on the S&amp;P Global Rating Maalot (Israel) National Scale. S&amp;P Global Ratings’ outlook for the Company was revised to negative from stable.</w:t>
      </w:r>
    </w:p>
    <w:p>
      <w:pPr>
        <w:spacing w:after="0" w:line="184"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S&amp;P Global Ratings also notified the Company that it has lowered the rating of the Company’s unsecured notes due December 15, 2023 (the “2023 Notes”) to ‘ilA-’ from ‘ilA+’ on the S&amp;P Global Rating Maalot (Israel) National Scale. As a result of this downgrade and pursuant to the Deed of Trust governing the 2023 Notes, the coupon interest rate on the 2023 Notes will increase to 4.33% from 3.83%, effective as of March 26, 2020. The weighted average semi-annual interest rate to be paid by the Company to the noteholders on June 15, 2020, the next interest payment date, is approximately 2.03%.</w:t>
      </w:r>
    </w:p>
    <w:p>
      <w:pPr>
        <w:spacing w:after="0" w:line="157"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 2023 Notes have not been registered under the Securities Act of 1933, as amended (the “Securities Act”), and may not be offered or sold in the United States absent registration under the Securities Act or in transactions exempt from, or not subject to, such registration requirements.</w:t>
      </w:r>
    </w:p>
    <w:p>
      <w:pPr>
        <w:spacing w:after="0" w:line="14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information in this report on Form 8-K is being furnished and shall not be deemed “filed” for purposes of Section 18 of the Securities Exchange Act of 1934, as amended (the “Exchange Act”), or otherwise subject to the liabilities of such section. The information in this report on Form 8-K shall not be deemed incorporated by reference in any filing under the Securities Act or under the Exchange Act, except as shall be expressly set forth by specific reference in such filing.</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660" w:firstLine="27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Dated: March 26, 2020</w:t>
      </w:r>
      <w:r>
        <w:rPr>
          <w:sz w:val="20"/>
          <w:szCs w:val="20"/>
          <w:color w:val="auto"/>
        </w:rPr>
        <w:tab/>
      </w:r>
      <w:r>
        <w:rPr>
          <w:rFonts w:ascii="Arial" w:cs="Arial" w:eastAsia="Arial" w:hAnsi="Arial"/>
          <w:sz w:val="18"/>
          <w:szCs w:val="18"/>
          <w:b w:val="1"/>
          <w:bCs w:val="1"/>
          <w:color w:val="auto"/>
        </w:rPr>
        <w:t>PENNANTPARK FLOATING RATE CAPITAL LTD.</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3764915</wp:posOffset>
            </wp:positionH>
            <wp:positionV relativeFrom="paragraph">
              <wp:posOffset>-10160</wp:posOffset>
            </wp:positionV>
            <wp:extent cx="12128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12850" cy="8255"/>
                    </a:xfrm>
                    <a:prstGeom prst="rect">
                      <a:avLst/>
                    </a:prstGeom>
                    <a:noFill/>
                  </pic:spPr>
                </pic:pic>
              </a:graphicData>
            </a:graphic>
          </wp:anchor>
        </w:drawing>
      </w:r>
    </w:p>
    <w:p>
      <w:pPr>
        <w:spacing w:after="0" w:line="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Aviv Efrat</w:t>
      </w:r>
    </w:p>
    <w:p>
      <w:pPr>
        <w:spacing w:after="0" w:line="9" w:lineRule="exact"/>
        <w:rPr>
          <w:sz w:val="20"/>
          <w:szCs w:val="20"/>
          <w:color w:val="auto"/>
        </w:rPr>
      </w:pPr>
    </w:p>
    <w:p>
      <w:pPr>
        <w:ind w:left="5800"/>
        <w:spacing w:after="0"/>
        <w:rPr>
          <w:sz w:val="20"/>
          <w:szCs w:val="20"/>
          <w:color w:val="auto"/>
        </w:rPr>
      </w:pPr>
      <w:r>
        <w:rPr>
          <w:rFonts w:ascii="Arial" w:cs="Arial" w:eastAsia="Arial" w:hAnsi="Arial"/>
          <w:sz w:val="18"/>
          <w:szCs w:val="18"/>
          <w:i w:val="1"/>
          <w:iCs w:val="1"/>
          <w:color w:val="auto"/>
        </w:rPr>
        <w:t>Chief Financial Officer &amp;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sectPr>
      <w:pgSz w:w="11900" w:h="16838" w:orient="portrait"/>
      <w:cols w:equalWidth="0" w:num="1">
        <w:col w:w="11220"/>
      </w:cols>
      <w:pgMar w:left="320" w:top="79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2020-05-05T12:06:23Z</dcterms:created>
  <dcterms:modified xsi:type="dcterms:W3CDTF">2020-05-05T12:06:23Z</dcterms:modified>
</cp:coreProperties>
</file>