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68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687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1"/>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PENN ARTHUR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PennantPark Floating Rate Capital Ltd. </w:t>
              </w:r>
            </w:hyperlink>
            <w:r>
              <w:rPr>
                <w:rFonts w:ascii="Arial" w:cs="Arial" w:eastAsia="Arial" w:hAnsi="Arial"/>
                <w:sz w:val="12"/>
                <w:szCs w:val="12"/>
                <w:color w:val="000000"/>
              </w:rPr>
              <w:t>[</w:t>
            </w:r>
          </w:p>
        </w:tc>
        <w:tc>
          <w:tcPr>
            <w:tcW w:w="1540" w:type="dxa"/>
            <w:vAlign w:val="bottom"/>
            <w:gridSpan w:val="6"/>
            <w:vMerge w:val="restart"/>
          </w:tcPr>
          <w:p>
            <w:pPr>
              <w:spacing w:after="0"/>
              <w:rPr>
                <w:sz w:val="20"/>
                <w:szCs w:val="20"/>
                <w:color w:val="auto"/>
              </w:rPr>
            </w:pPr>
            <w:r>
              <w:rPr>
                <w:rFonts w:ascii="Arial" w:cs="Arial" w:eastAsia="Arial" w:hAnsi="Arial"/>
                <w:sz w:val="14"/>
                <w:szCs w:val="14"/>
                <w:color w:val="auto"/>
              </w:rPr>
              <w:t>(Check all applicable)</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vMerge w:val="restart"/>
          </w:tcPr>
          <w:p>
            <w:pPr>
              <w:ind w:left="40"/>
              <w:spacing w:after="0" w:line="162" w:lineRule="exact"/>
              <w:rPr>
                <w:sz w:val="20"/>
                <w:szCs w:val="20"/>
                <w:color w:val="auto"/>
              </w:rPr>
            </w:pPr>
            <w:r>
              <w:rPr>
                <w:rFonts w:ascii="Arial" w:cs="Arial" w:eastAsia="Arial" w:hAnsi="Arial"/>
                <w:sz w:val="18"/>
                <w:szCs w:val="18"/>
                <w:color w:val="0000FF"/>
                <w:w w:val="99"/>
              </w:rPr>
              <w:t>X</w:t>
            </w: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PFLT </w:t>
            </w:r>
            <w:r>
              <w:rPr>
                <w:rFonts w:ascii="Arial" w:cs="Arial" w:eastAsia="Arial" w:hAnsi="Arial"/>
                <w:sz w:val="13"/>
                <w:szCs w:val="13"/>
                <w:color w:val="000000"/>
              </w:rPr>
              <w:t>]</w:t>
            </w: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gridSpan w:val="2"/>
            <w:vMerge w:val="restart"/>
          </w:tcPr>
          <w:p>
            <w:pPr>
              <w:ind w:left="40"/>
              <w:spacing w:after="0"/>
              <w:rPr>
                <w:sz w:val="20"/>
                <w:szCs w:val="20"/>
                <w:color w:val="auto"/>
              </w:rPr>
            </w:pPr>
            <w:r>
              <w:rPr>
                <w:rFonts w:ascii="Arial" w:cs="Arial" w:eastAsia="Arial" w:hAnsi="Arial"/>
                <w:sz w:val="18"/>
                <w:szCs w:val="18"/>
                <w:color w:val="0000FF"/>
                <w:w w:val="99"/>
              </w:rPr>
              <w:t>X</w:t>
            </w: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240" w:type="dxa"/>
            <w:vAlign w:val="bottom"/>
          </w:tcPr>
          <w:p>
            <w:pPr>
              <w:spacing w:after="0"/>
              <w:rPr>
                <w:sz w:val="8"/>
                <w:szCs w:val="8"/>
                <w:color w:val="auto"/>
              </w:rPr>
            </w:pP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180" w:type="dxa"/>
            <w:vAlign w:val="bottom"/>
            <w:gridSpan w:val="3"/>
            <w:vMerge w:val="restart"/>
          </w:tcPr>
          <w:p>
            <w:pPr>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5"/>
            <w:vMerge w:val="continue"/>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0" w:type="dxa"/>
            <w:vAlign w:val="bottom"/>
            <w:gridSpan w:val="9"/>
            <w:vMerge w:val="restart"/>
          </w:tcPr>
          <w:p>
            <w:pPr>
              <w:ind w:left="20"/>
              <w:spacing w:after="0"/>
              <w:rPr>
                <w:sz w:val="20"/>
                <w:szCs w:val="20"/>
                <w:color w:val="auto"/>
              </w:rPr>
            </w:pPr>
            <w:r>
              <w:rPr>
                <w:rFonts w:ascii="Arial" w:cs="Arial" w:eastAsia="Arial" w:hAnsi="Arial"/>
                <w:sz w:val="18"/>
                <w:szCs w:val="18"/>
                <w:color w:val="0000FF"/>
                <w:w w:val="96"/>
              </w:rPr>
              <w:t xml:space="preserve">Chairman and CEO </w:t>
            </w:r>
            <w:r>
              <w:rPr>
                <w:rFonts w:ascii="Arial" w:cs="Arial" w:eastAsia="Arial" w:hAnsi="Arial"/>
                <w:sz w:val="21"/>
                <w:szCs w:val="21"/>
                <w:color w:val="000000"/>
                <w:w w:val="96"/>
              </w:rPr>
              <w:t>/</w:t>
            </w:r>
            <w:r>
              <w:rPr>
                <w:rFonts w:ascii="Arial" w:cs="Arial" w:eastAsia="Arial" w:hAnsi="Arial"/>
                <w:sz w:val="18"/>
                <w:szCs w:val="18"/>
                <w:color w:val="0000FF"/>
                <w:w w:val="96"/>
              </w:rPr>
              <w:t xml:space="preserve"> Investment Adviser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590 MADISON AVENUE 15TH FLOOR</w:t>
            </w: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01/16/2013</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0" w:type="dxa"/>
            <w:vAlign w:val="bottom"/>
            <w:gridSpan w:val="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400" w:type="dxa"/>
            <w:vAlign w:val="bottom"/>
            <w:tcBorders>
              <w:bottom w:val="single" w:sz="8" w:color="2C2C2C"/>
            </w:tcBorders>
            <w:gridSpan w:val="6"/>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gridSpan w:val="2"/>
          </w:tcPr>
          <w:p>
            <w:pPr>
              <w:spacing w:after="0"/>
              <w:rPr>
                <w:sz w:val="13"/>
                <w:szCs w:val="13"/>
                <w:color w:val="auto"/>
              </w:rPr>
            </w:pPr>
          </w:p>
        </w:tc>
        <w:tc>
          <w:tcPr>
            <w:tcW w:w="3040" w:type="dxa"/>
            <w:vAlign w:val="bottom"/>
            <w:tcBorders>
              <w:bottom w:val="single" w:sz="8" w:color="2C2C2C"/>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20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360" w:type="dxa"/>
            <w:vAlign w:val="bottom"/>
            <w:gridSpan w:val="11"/>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gridSpan w:val="7"/>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6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4"/>
          </w:tcPr>
          <w:p>
            <w:pPr>
              <w:spacing w:after="0" w:line="141"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0" w:type="dxa"/>
            <w:vAlign w:val="bottom"/>
            <w:gridSpan w:val="9"/>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7"/>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400" w:type="dxa"/>
            <w:vAlign w:val="bottom"/>
            <w:tcBorders>
              <w:bottom w:val="single" w:sz="8" w:color="2C2C2C"/>
            </w:tcBorders>
            <w:gridSpan w:val="6"/>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40" w:type="dxa"/>
            <w:vAlign w:val="bottom"/>
            <w:gridSpan w:val="5"/>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Owned Following</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(I) (Instr. 4)</w:t>
            </w:r>
          </w:p>
        </w:tc>
        <w:tc>
          <w:tcPr>
            <w:tcW w:w="32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Pennant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40" w:type="dxa"/>
            <w:vAlign w:val="bottom"/>
            <w:gridSpan w:val="5"/>
            <w:vMerge w:val="restart"/>
          </w:tcPr>
          <w:p>
            <w:pPr>
              <w:ind w:left="660"/>
              <w:spacing w:after="0"/>
              <w:rPr>
                <w:sz w:val="20"/>
                <w:szCs w:val="20"/>
                <w:color w:val="auto"/>
              </w:rPr>
            </w:pPr>
            <w:r>
              <w:rPr>
                <w:rFonts w:ascii="Arial" w:cs="Arial" w:eastAsia="Arial" w:hAnsi="Arial"/>
                <w:sz w:val="18"/>
                <w:szCs w:val="18"/>
                <w:color w:val="0000FF"/>
              </w:rPr>
              <w:t>01/16/2013</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180"/>
              <w:spacing w:after="0"/>
              <w:rPr>
                <w:sz w:val="20"/>
                <w:szCs w:val="20"/>
                <w:color w:val="auto"/>
              </w:rPr>
            </w:pPr>
            <w:r>
              <w:rPr>
                <w:rFonts w:ascii="Arial" w:cs="Arial" w:eastAsia="Arial" w:hAnsi="Arial"/>
                <w:sz w:val="18"/>
                <w:szCs w:val="18"/>
                <w:color w:val="0000FF"/>
              </w:rPr>
              <w:t>7,000</w:t>
            </w:r>
          </w:p>
        </w:tc>
        <w:tc>
          <w:tcPr>
            <w:tcW w:w="4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D</w:t>
            </w:r>
          </w:p>
        </w:tc>
        <w:tc>
          <w:tcPr>
            <w:tcW w:w="820" w:type="dxa"/>
            <w:vAlign w:val="bottom"/>
            <w:gridSpan w:val="5"/>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13.4061</w:t>
            </w:r>
          </w:p>
        </w:tc>
        <w:tc>
          <w:tcPr>
            <w:tcW w:w="40" w:type="dxa"/>
            <w:vAlign w:val="bottom"/>
          </w:tcPr>
          <w:p>
            <w:pPr>
              <w:spacing w:after="0"/>
              <w:rPr>
                <w:sz w:val="18"/>
                <w:szCs w:val="18"/>
                <w:color w:val="auto"/>
              </w:rPr>
            </w:pPr>
          </w:p>
        </w:tc>
        <w:tc>
          <w:tcPr>
            <w:tcW w:w="1200" w:type="dxa"/>
            <w:vAlign w:val="bottom"/>
            <w:gridSpan w:val="2"/>
            <w:vMerge w:val="restart"/>
          </w:tcPr>
          <w:p>
            <w:pPr>
              <w:jc w:val="right"/>
              <w:ind w:right="379"/>
              <w:spacing w:after="0"/>
              <w:rPr>
                <w:sz w:val="20"/>
                <w:szCs w:val="20"/>
                <w:color w:val="auto"/>
              </w:rPr>
            </w:pPr>
            <w:r>
              <w:rPr>
                <w:rFonts w:ascii="Arial" w:cs="Arial" w:eastAsia="Arial" w:hAnsi="Arial"/>
                <w:sz w:val="18"/>
                <w:szCs w:val="18"/>
                <w:color w:val="0000FF"/>
              </w:rPr>
              <w:t>7,667</w:t>
            </w:r>
          </w:p>
        </w:tc>
        <w:tc>
          <w:tcPr>
            <w:tcW w:w="240" w:type="dxa"/>
            <w:vAlign w:val="bottom"/>
          </w:tcPr>
          <w:p>
            <w:pPr>
              <w:spacing w:after="0"/>
              <w:rPr>
                <w:sz w:val="18"/>
                <w:szCs w:val="18"/>
                <w:color w:val="auto"/>
              </w:rPr>
            </w:pPr>
          </w:p>
        </w:tc>
        <w:tc>
          <w:tcPr>
            <w:tcW w:w="400" w:type="dxa"/>
            <w:vAlign w:val="bottom"/>
            <w:vMerge w:val="restart"/>
          </w:tcPr>
          <w:p>
            <w:pPr>
              <w:ind w:left="140"/>
              <w:spacing w:after="0"/>
              <w:rPr>
                <w:sz w:val="20"/>
                <w:szCs w:val="20"/>
                <w:color w:val="auto"/>
              </w:rPr>
            </w:pPr>
            <w:r>
              <w:rPr>
                <w:rFonts w:ascii="Arial" w:cs="Arial" w:eastAsia="Arial" w:hAnsi="Arial"/>
                <w:sz w:val="18"/>
                <w:szCs w:val="18"/>
                <w:color w:val="0000FF"/>
              </w:rPr>
              <w:t>I</w:t>
            </w:r>
          </w:p>
        </w:tc>
        <w:tc>
          <w:tcPr>
            <w:tcW w:w="3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Park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82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w w:val="95"/>
              </w:rPr>
              <w:t>Investment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Advisers,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Pennant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40" w:type="dxa"/>
            <w:vAlign w:val="bottom"/>
            <w:gridSpan w:val="5"/>
            <w:vMerge w:val="restart"/>
          </w:tcPr>
          <w:p>
            <w:pPr>
              <w:ind w:left="660"/>
              <w:spacing w:after="0"/>
              <w:rPr>
                <w:sz w:val="20"/>
                <w:szCs w:val="20"/>
                <w:color w:val="auto"/>
              </w:rPr>
            </w:pPr>
            <w:r>
              <w:rPr>
                <w:rFonts w:ascii="Arial" w:cs="Arial" w:eastAsia="Arial" w:hAnsi="Arial"/>
                <w:sz w:val="18"/>
                <w:szCs w:val="18"/>
                <w:color w:val="0000FF"/>
              </w:rPr>
              <w:t>01/17/2013</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180"/>
              <w:spacing w:after="0"/>
              <w:rPr>
                <w:sz w:val="20"/>
                <w:szCs w:val="20"/>
                <w:color w:val="auto"/>
              </w:rPr>
            </w:pPr>
            <w:r>
              <w:rPr>
                <w:rFonts w:ascii="Arial" w:cs="Arial" w:eastAsia="Arial" w:hAnsi="Arial"/>
                <w:sz w:val="18"/>
                <w:szCs w:val="18"/>
                <w:color w:val="0000FF"/>
              </w:rPr>
              <w:t>3,000</w:t>
            </w:r>
          </w:p>
        </w:tc>
        <w:tc>
          <w:tcPr>
            <w:tcW w:w="4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D</w:t>
            </w:r>
          </w:p>
        </w:tc>
        <w:tc>
          <w:tcPr>
            <w:tcW w:w="820" w:type="dxa"/>
            <w:vAlign w:val="bottom"/>
            <w:gridSpan w:val="5"/>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13.4048</w:t>
            </w:r>
          </w:p>
        </w:tc>
        <w:tc>
          <w:tcPr>
            <w:tcW w:w="40" w:type="dxa"/>
            <w:vAlign w:val="bottom"/>
          </w:tcPr>
          <w:p>
            <w:pPr>
              <w:spacing w:after="0"/>
              <w:rPr>
                <w:sz w:val="18"/>
                <w:szCs w:val="18"/>
                <w:color w:val="auto"/>
              </w:rPr>
            </w:pPr>
          </w:p>
        </w:tc>
        <w:tc>
          <w:tcPr>
            <w:tcW w:w="1200" w:type="dxa"/>
            <w:vAlign w:val="bottom"/>
            <w:gridSpan w:val="2"/>
            <w:vMerge w:val="restart"/>
          </w:tcPr>
          <w:p>
            <w:pPr>
              <w:jc w:val="right"/>
              <w:ind w:right="339"/>
              <w:spacing w:after="0"/>
              <w:rPr>
                <w:sz w:val="20"/>
                <w:szCs w:val="20"/>
                <w:color w:val="auto"/>
              </w:rPr>
            </w:pPr>
            <w:r>
              <w:rPr>
                <w:rFonts w:ascii="Arial" w:cs="Arial" w:eastAsia="Arial" w:hAnsi="Arial"/>
                <w:sz w:val="18"/>
                <w:szCs w:val="18"/>
                <w:color w:val="0000FF"/>
              </w:rPr>
              <w:t>10,667</w:t>
            </w:r>
          </w:p>
        </w:tc>
        <w:tc>
          <w:tcPr>
            <w:tcW w:w="240" w:type="dxa"/>
            <w:vAlign w:val="bottom"/>
          </w:tcPr>
          <w:p>
            <w:pPr>
              <w:spacing w:after="0"/>
              <w:rPr>
                <w:sz w:val="18"/>
                <w:szCs w:val="18"/>
                <w:color w:val="auto"/>
              </w:rPr>
            </w:pPr>
          </w:p>
        </w:tc>
        <w:tc>
          <w:tcPr>
            <w:tcW w:w="400" w:type="dxa"/>
            <w:vAlign w:val="bottom"/>
            <w:vMerge w:val="restart"/>
          </w:tcPr>
          <w:p>
            <w:pPr>
              <w:ind w:left="140"/>
              <w:spacing w:after="0"/>
              <w:rPr>
                <w:sz w:val="20"/>
                <w:szCs w:val="20"/>
                <w:color w:val="auto"/>
              </w:rPr>
            </w:pPr>
            <w:r>
              <w:rPr>
                <w:rFonts w:ascii="Arial" w:cs="Arial" w:eastAsia="Arial" w:hAnsi="Arial"/>
                <w:sz w:val="18"/>
                <w:szCs w:val="18"/>
                <w:color w:val="0000FF"/>
              </w:rPr>
              <w:t>I</w:t>
            </w:r>
          </w:p>
        </w:tc>
        <w:tc>
          <w:tcPr>
            <w:tcW w:w="3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Park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82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w w:val="95"/>
              </w:rPr>
              <w:t>Investment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Advisers,</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9"/>
          </w:tcPr>
          <w:p>
            <w:pPr>
              <w:jc w:val="center"/>
              <w:ind w:left="5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60" w:type="dxa"/>
            <w:vAlign w:val="bottom"/>
            <w:gridSpan w:val="15"/>
          </w:tcPr>
          <w:p>
            <w:pPr>
              <w:jc w:val="center"/>
              <w:ind w:left="4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Due to his control of and ownership interest in PennantPark Investment Advisers, LLC, which owns directly 10,667 shares of Common Stock of the Issuer as of January 17, 2013, Mr.Penn may be viewed as having voting and dispositive power over all of the share held by such entity. Mr. Penn disclaims beneficial ownership of such shares of Common Stock except to the extent of his pecuniary interest therein.</w:t>
      </w:r>
    </w:p>
    <w:tbl>
      <w:tblPr>
        <w:tblLayout w:type="fixed"/>
        <w:tblInd w:w="6860" w:type="dxa"/>
        <w:tblCellMar>
          <w:top w:w="0" w:type="dxa"/>
          <w:left w:w="0" w:type="dxa"/>
          <w:bottom w:w="0" w:type="dxa"/>
          <w:right w:w="0" w:type="dxa"/>
        </w:tblCellMar>
      </w:tblPr>
      <w:tr>
        <w:trPr>
          <w:trHeight w:val="199"/>
        </w:trPr>
        <w:tc>
          <w:tcPr>
            <w:tcW w:w="1300" w:type="dxa"/>
            <w:vAlign w:val="bottom"/>
          </w:tcPr>
          <w:p>
            <w:pPr>
              <w:spacing w:after="0" w:line="199" w:lineRule="exact"/>
              <w:rPr>
                <w:sz w:val="20"/>
                <w:szCs w:val="20"/>
                <w:color w:val="auto"/>
              </w:rPr>
            </w:pPr>
            <w:r>
              <w:rPr>
                <w:rFonts w:ascii="Arial" w:cs="Arial" w:eastAsia="Arial" w:hAnsi="Arial"/>
                <w:sz w:val="18"/>
                <w:szCs w:val="18"/>
                <w:color w:val="0000FF"/>
                <w:w w:val="89"/>
              </w:rPr>
              <w:t>/s/ Arthur H. Penn</w:t>
            </w:r>
          </w:p>
        </w:tc>
        <w:tc>
          <w:tcPr>
            <w:tcW w:w="82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01/17/2013</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4937" TargetMode="External"/><Relationship Id="rId13" Type="http://schemas.openxmlformats.org/officeDocument/2006/relationships/hyperlink" Target="http://www.sec.gov/cgi-bin/browse-edgar?action=getcompany&amp;CIK=00015046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2019-12-17T16:26:18Z</dcterms:created>
  <dcterms:modified xsi:type="dcterms:W3CDTF">2019-12-17T16:26:18Z</dcterms:modified>
</cp:coreProperties>
</file>