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As filed with the Securities and Exchange Commission on January 28, 2020.</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Act Registration No. 333-235532</w:t>
      </w:r>
    </w:p>
    <w:p>
      <w:pPr>
        <w:jc w:val="center"/>
        <w:ind w:right="-11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59690</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75565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74930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Registration Statement under the Securities Act Of 1933</w:t>
      </w:r>
    </w:p>
    <w:p>
      <w:pPr>
        <w:sectPr>
          <w:pgSz w:w="11900" w:h="16838" w:orient="portrait"/>
          <w:cols w:equalWidth="0" w:num="1">
            <w:col w:w="11320"/>
          </w:cols>
          <w:pgMar w:left="240" w:top="230" w:right="339" w:bottom="1440" w:gutter="0" w:footer="0" w:header="0"/>
        </w:sectPr>
      </w:pPr>
    </w:p>
    <w:p>
      <w:pPr>
        <w:spacing w:after="0" w:line="44"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Pre-Effective Amendment No. 1</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2">
            <w:col w:w="6900" w:space="40"/>
            <w:col w:w="438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52070</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32"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48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jc w:val="center"/>
              <w:ind w:right="25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r>
      <w:tr>
        <w:trPr>
          <w:trHeight w:val="148"/>
        </w:trPr>
        <w:tc>
          <w:tcPr>
            <w:tcW w:w="3480" w:type="dxa"/>
            <w:vAlign w:val="bottom"/>
            <w:tcBorders>
              <w:left w:val="single" w:sz="8" w:color="auto"/>
              <w:right w:val="single" w:sz="8" w:color="auto"/>
            </w:tcBorders>
          </w:tcPr>
          <w:p>
            <w:pPr>
              <w:ind w:left="112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460" w:type="dxa"/>
            <w:vAlign w:val="bottom"/>
            <w:tcBorders>
              <w:right w:val="single" w:sz="8" w:color="auto"/>
            </w:tcBorders>
          </w:tcPr>
          <w:p>
            <w:pPr>
              <w:jc w:val="right"/>
              <w:ind w:right="312"/>
              <w:spacing w:after="0" w:line="148" w:lineRule="exact"/>
              <w:rPr>
                <w:sz w:val="20"/>
                <w:szCs w:val="20"/>
                <w:color w:val="auto"/>
              </w:rPr>
            </w:pPr>
            <w:r>
              <w:rPr>
                <w:rFonts w:ascii="Arial" w:cs="Arial" w:eastAsia="Arial" w:hAnsi="Arial"/>
                <w:sz w:val="14"/>
                <w:szCs w:val="14"/>
                <w:b w:val="1"/>
                <w:bCs w:val="1"/>
                <w:color w:val="auto"/>
              </w:rPr>
              <w:t>Amount Being</w:t>
            </w:r>
          </w:p>
        </w:tc>
        <w:tc>
          <w:tcPr>
            <w:tcW w:w="18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280" w:type="dxa"/>
            <w:vAlign w:val="bottom"/>
          </w:tcPr>
          <w:p>
            <w:pPr>
              <w:spacing w:after="0"/>
              <w:rPr>
                <w:sz w:val="12"/>
                <w:szCs w:val="12"/>
                <w:color w:val="auto"/>
              </w:rPr>
            </w:pPr>
          </w:p>
        </w:tc>
        <w:tc>
          <w:tcPr>
            <w:tcW w:w="1580" w:type="dxa"/>
            <w:vAlign w:val="bottom"/>
            <w:tcBorders>
              <w:right w:val="single" w:sz="8" w:color="auto"/>
            </w:tcBorders>
          </w:tcPr>
          <w:p>
            <w:pPr>
              <w:jc w:val="center"/>
              <w:ind w:right="257"/>
              <w:spacing w:after="0" w:line="148" w:lineRule="exact"/>
              <w:rPr>
                <w:sz w:val="20"/>
                <w:szCs w:val="20"/>
                <w:color w:val="auto"/>
              </w:rPr>
            </w:pPr>
            <w:r>
              <w:rPr>
                <w:rFonts w:ascii="Arial" w:cs="Arial" w:eastAsia="Arial" w:hAnsi="Arial"/>
                <w:sz w:val="14"/>
                <w:szCs w:val="14"/>
                <w:b w:val="1"/>
                <w:bCs w:val="1"/>
                <w:color w:val="auto"/>
                <w:w w:val="83"/>
              </w:rPr>
              <w:t>Aggregate</w:t>
            </w:r>
          </w:p>
        </w:tc>
        <w:tc>
          <w:tcPr>
            <w:tcW w:w="200" w:type="dxa"/>
            <w:vAlign w:val="bottom"/>
          </w:tcPr>
          <w:p>
            <w:pPr>
              <w:spacing w:after="0"/>
              <w:rPr>
                <w:sz w:val="12"/>
                <w:szCs w:val="12"/>
                <w:color w:val="auto"/>
              </w:rPr>
            </w:pPr>
          </w:p>
        </w:tc>
        <w:tc>
          <w:tcPr>
            <w:tcW w:w="1680" w:type="dxa"/>
            <w:vAlign w:val="bottom"/>
            <w:tcBorders>
              <w:right w:val="single" w:sz="8" w:color="auto"/>
            </w:tcBorders>
          </w:tcPr>
          <w:p>
            <w:pPr>
              <w:jc w:val="center"/>
              <w:ind w:right="35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3480" w:type="dxa"/>
            <w:vAlign w:val="bottom"/>
            <w:tcBorders>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Registered</w:t>
            </w:r>
          </w:p>
        </w:tc>
        <w:tc>
          <w:tcPr>
            <w:tcW w:w="146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ind w:right="27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3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 per share</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jc w:val="right"/>
              <w:ind w:right="1212"/>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right w:val="single" w:sz="8" w:color="auto"/>
            </w:tcBorders>
          </w:tcPr>
          <w:p>
            <w:pPr>
              <w:jc w:val="right"/>
              <w:ind w:right="151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spacing w:after="0"/>
              <w:rPr>
                <w:sz w:val="12"/>
                <w:szCs w:val="12"/>
                <w:color w:val="auto"/>
              </w:rPr>
            </w:pP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 per share</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46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46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142"/>
        </w:trPr>
        <w:tc>
          <w:tcPr>
            <w:tcW w:w="3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jc w:val="right"/>
              <w:ind w:right="1212"/>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right w:val="single" w:sz="8" w:color="auto"/>
            </w:tcBorders>
          </w:tcPr>
          <w:p>
            <w:pPr>
              <w:jc w:val="right"/>
              <w:ind w:right="151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37"/>
              <w:spacing w:after="0" w:line="142" w:lineRule="exact"/>
              <w:rPr>
                <w:sz w:val="20"/>
                <w:szCs w:val="20"/>
                <w:color w:val="auto"/>
              </w:rPr>
            </w:pPr>
            <w:r>
              <w:rPr>
                <w:rFonts w:ascii="Arial" w:cs="Arial" w:eastAsia="Arial" w:hAnsi="Arial"/>
                <w:sz w:val="11"/>
                <w:szCs w:val="11"/>
                <w:color w:val="auto"/>
              </w:rPr>
              <w:t>500,000,000</w:t>
            </w:r>
            <w:r>
              <w:rPr>
                <w:rFonts w:ascii="Arial" w:cs="Arial" w:eastAsia="Arial" w:hAnsi="Arial"/>
                <w:sz w:val="16"/>
                <w:szCs w:val="16"/>
                <w:color w:val="auto"/>
                <w:vertAlign w:val="superscript"/>
              </w:rPr>
              <w:t>(5)</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jc w:val="right"/>
              <w:ind w:right="119"/>
              <w:spacing w:after="0" w:line="142" w:lineRule="exact"/>
              <w:rPr>
                <w:sz w:val="20"/>
                <w:szCs w:val="20"/>
                <w:color w:val="auto"/>
              </w:rPr>
            </w:pPr>
            <w:r>
              <w:rPr>
                <w:rFonts w:ascii="Arial" w:cs="Arial" w:eastAsia="Arial" w:hAnsi="Arial"/>
                <w:sz w:val="11"/>
                <w:szCs w:val="11"/>
                <w:color w:val="auto"/>
              </w:rPr>
              <w:t>21,721.61</w:t>
            </w:r>
            <w:r>
              <w:rPr>
                <w:rFonts w:ascii="Arial" w:cs="Arial" w:eastAsia="Arial" w:hAnsi="Arial"/>
                <w:sz w:val="16"/>
                <w:szCs w:val="16"/>
                <w:color w:val="auto"/>
                <w:vertAlign w:val="superscript"/>
              </w:rPr>
              <w:t>(6)</w:t>
            </w:r>
          </w:p>
        </w:tc>
      </w:tr>
    </w:tbl>
    <w:p>
      <w:pPr>
        <w:spacing w:after="0" w:line="43" w:lineRule="exact"/>
        <w:rPr>
          <w:sz w:val="20"/>
          <w:szCs w:val="20"/>
          <w:color w:val="auto"/>
        </w:rPr>
      </w:pPr>
    </w:p>
    <w:p>
      <w:pPr>
        <w:ind w:left="660" w:right="20" w:hanging="206"/>
        <w:spacing w:after="0" w:line="239"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30" w:lineRule="exact"/>
        <w:rPr>
          <w:rFonts w:ascii="Arial" w:cs="Arial" w:eastAsia="Arial" w:hAnsi="Arial"/>
          <w:sz w:val="14"/>
          <w:szCs w:val="14"/>
          <w:color w:val="auto"/>
        </w:rPr>
      </w:pPr>
    </w:p>
    <w:p>
      <w:pPr>
        <w:ind w:left="660" w:right="200" w:hanging="206"/>
        <w:spacing w:after="0" w:line="239"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30" w:lineRule="exact"/>
        <w:rPr>
          <w:rFonts w:ascii="Arial" w:cs="Arial" w:eastAsia="Arial" w:hAnsi="Arial"/>
          <w:sz w:val="14"/>
          <w:szCs w:val="14"/>
          <w:color w:val="auto"/>
        </w:rPr>
      </w:pPr>
    </w:p>
    <w:p>
      <w:pPr>
        <w:ind w:left="660" w:hanging="206"/>
        <w:spacing w:after="0"/>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64" w:lineRule="exact"/>
        <w:rPr>
          <w:rFonts w:ascii="Arial" w:cs="Arial" w:eastAsia="Arial" w:hAnsi="Arial"/>
          <w:sz w:val="12"/>
          <w:szCs w:val="12"/>
          <w:color w:val="auto"/>
        </w:rPr>
      </w:pPr>
    </w:p>
    <w:p>
      <w:pPr>
        <w:ind w:left="660" w:hanging="206"/>
        <w:spacing w:after="0" w:line="305" w:lineRule="auto"/>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ind w:left="660" w:hanging="206"/>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$500,000,000.</w:t>
      </w:r>
    </w:p>
    <w:p>
      <w:pPr>
        <w:spacing w:after="0" w:line="41" w:lineRule="exact"/>
        <w:rPr>
          <w:rFonts w:ascii="Arial" w:cs="Arial" w:eastAsia="Arial" w:hAnsi="Arial"/>
          <w:sz w:val="14"/>
          <w:szCs w:val="14"/>
          <w:color w:val="auto"/>
        </w:rPr>
      </w:pPr>
    </w:p>
    <w:p>
      <w:pPr>
        <w:ind w:left="660" w:hanging="206"/>
        <w:spacing w:after="0"/>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w:t>
      </w:r>
    </w:p>
    <w:p>
      <w:pPr>
        <w:spacing w:after="0" w:line="22" w:lineRule="exact"/>
        <w:rPr>
          <w:rFonts w:ascii="Arial" w:cs="Arial" w:eastAsia="Arial" w:hAnsi="Arial"/>
          <w:sz w:val="12"/>
          <w:szCs w:val="12"/>
          <w:color w:val="auto"/>
        </w:rPr>
      </w:pPr>
    </w:p>
    <w:p>
      <w:pPr>
        <w:ind w:left="660" w:right="40"/>
        <w:spacing w:after="0" w:line="267" w:lineRule="auto"/>
        <w:rPr>
          <w:rFonts w:ascii="Arial" w:cs="Arial" w:eastAsia="Arial" w:hAnsi="Arial"/>
          <w:sz w:val="12"/>
          <w:szCs w:val="12"/>
          <w:color w:val="auto"/>
        </w:rPr>
      </w:pPr>
      <w:r>
        <w:rPr>
          <w:rFonts w:ascii="Arial" w:cs="Arial" w:eastAsia="Arial" w:hAnsi="Arial"/>
          <w:sz w:val="12"/>
          <w:szCs w:val="12"/>
          <w:color w:val="auto"/>
        </w:rPr>
        <w:t>$332,653,200 aggregate principal offering price of unsold securities that were previously registered for sale under a Registration Statement filed on December 15, 2016 on Form N-2 (File No. 333-215111) and declared effective on January 19, 2017 (the “Prior Registration Statement”). Pursuant to Rule 415(a)(6) under the Securities Act of 1933, the filing fee of $45,374 previously paid with respect to such unsold securities will continue to be applied to such unsold securities. The amount of the registration fee in the table above relates to the additional $167,346,800 in aggregate offering price of securities being registered hereunder. As a result, a filing fee of $21,721.61 is being paid herewith. Pursuant to Rule 415(a)(6) under the Securities Act of 1933, the offering of unsold securities under the Prior Registration Statement will be deemed terminated as of the date of effectiveness of this registration statement.</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as amended, or until the Registration Statement shall become effective on such date as the Securities and Exchange Commission, acting pursuant to said Section 8(c), may determine.</w:t>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105410</wp:posOffset>
            </wp:positionV>
            <wp:extent cx="222123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15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05"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6"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5"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96"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11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on our website is not incorporated by reference into this prospectus. The SEC also maintains a website at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44"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80" w:type="dxa"/>
            <w:vAlign w:val="bottom"/>
            <w:gridSpan w:val="2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90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82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PRICE RANGE OF COMMON STOCK</w:t>
              </w:r>
            </w:hyperlink>
          </w:p>
        </w:tc>
        <w:tc>
          <w:tcPr>
            <w:tcW w:w="818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SALES OF COMMON STOCK BELOW NET ASSET VALUE</w:t>
              </w:r>
            </w:hyperlink>
          </w:p>
        </w:tc>
        <w:tc>
          <w:tcPr>
            <w:tcW w:w="65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DISTRIBUTIONS</w:t>
              </w:r>
            </w:hyperlink>
          </w:p>
        </w:tc>
        <w:tc>
          <w:tcPr>
            <w:tcW w:w="974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PORTFOLIO COMPANIES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PORTFOLIO MANAGEMENT</w:t>
              </w:r>
            </w:hyperlink>
          </w:p>
        </w:tc>
        <w:tc>
          <w:tcPr>
            <w:tcW w:w="88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DETERMINATION OF NET ASSET VALUE</w:t>
              </w:r>
            </w:hyperlink>
          </w:p>
        </w:tc>
        <w:tc>
          <w:tcPr>
            <w:tcW w:w="77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DESCRIPTION OF OUR CAPITAL STOCK</w:t>
              </w:r>
            </w:hyperlink>
          </w:p>
        </w:tc>
        <w:tc>
          <w:tcPr>
            <w:tcW w:w="78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OUR PREFERRED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WARRANTS</w:t>
              </w:r>
            </w:hyperlink>
          </w:p>
        </w:tc>
        <w:tc>
          <w:tcPr>
            <w:tcW w:w="76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72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BROKERAGE ALLOCATIONS AND OTHER PRACTICES</w:t>
              </w:r>
            </w:hyperlink>
          </w:p>
        </w:tc>
        <w:tc>
          <w:tcPr>
            <w:tcW w:w="67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MATERIAL U.S. FEDERAL INCOME TAX CONSIDERATIONS</w:t>
              </w:r>
            </w:hyperlink>
          </w:p>
        </w:tc>
        <w:tc>
          <w:tcPr>
            <w:tcW w:w="63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SUB-ADMINISTRATOR, CUSTODIAN, TRANSFER AGENT AND TRUSTEE</w:t>
              </w:r>
            </w:hyperlink>
          </w:p>
        </w:tc>
        <w:tc>
          <w:tcPr>
            <w:tcW w:w="52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INCORPORATION BY REFERENCE</w:t>
              </w:r>
            </w:hyperlink>
          </w:p>
        </w:tc>
        <w:tc>
          <w:tcPr>
            <w:tcW w:w="1920" w:type="dxa"/>
            <w:vAlign w:val="bottom"/>
            <w:tcBorders>
              <w:top w:val="single" w:sz="8" w:color="0000EE"/>
            </w:tcBorders>
            <w:gridSpan w:val="11"/>
          </w:tcPr>
          <w:p>
            <w:pPr>
              <w:spacing w:after="0"/>
              <w:rPr>
                <w:sz w:val="17"/>
                <w:szCs w:val="17"/>
                <w:color w:val="auto"/>
              </w:rPr>
            </w:pPr>
          </w:p>
        </w:tc>
        <w:tc>
          <w:tcPr>
            <w:tcW w:w="64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47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w:t>
      </w:r>
    </w:p>
    <w:p>
      <w:pPr>
        <w:spacing w:after="0" w:line="13" w:lineRule="exact"/>
        <w:rPr>
          <w:sz w:val="20"/>
          <w:szCs w:val="20"/>
          <w:color w:val="auto"/>
        </w:rPr>
      </w:pPr>
    </w:p>
    <w:p>
      <w:pPr>
        <w:ind w:left="200" w:hanging="4"/>
        <w:spacing w:after="0" w:line="253" w:lineRule="auto"/>
        <w:tabs>
          <w:tab w:leader="none" w:pos="4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 may include a return of capital. See “Distributions” for more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726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726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phone number is</w:t>
      </w:r>
    </w:p>
    <w:p>
      <w:pPr>
        <w:spacing w:after="0" w:line="46" w:lineRule="exact"/>
        <w:rPr>
          <w:sz w:val="20"/>
          <w:szCs w:val="20"/>
          <w:color w:val="auto"/>
        </w:rPr>
      </w:pPr>
    </w:p>
    <w:p>
      <w:pPr>
        <w:ind w:left="200" w:right="100" w:hanging="4"/>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 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7" w:lineRule="exact"/>
        <w:rPr>
          <w:rFonts w:ascii="Arial" w:cs="Arial" w:eastAsia="Arial" w:hAnsi="Arial"/>
          <w:sz w:val="16"/>
          <w:szCs w:val="16"/>
          <w:color w:val="auto"/>
        </w:rPr>
      </w:pPr>
    </w:p>
    <w:p>
      <w:pPr>
        <w:ind w:left="460" w:right="1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ind w:left="460" w:right="3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26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13.61%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35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7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Assuming a 5% annual return (assumes no return from net realized capital gains or net</w:t>
            </w: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564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Assuming a 5% annual return (assumes return from only realized capital gains and thus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640" w:type="dxa"/>
            <w:vAlign w:val="bottom"/>
            <w:gridSpan w:val="2"/>
          </w:tcPr>
          <w:p>
            <w:pPr>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9" w:lineRule="exact"/>
        <w:rPr>
          <w:sz w:val="20"/>
          <w:szCs w:val="20"/>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Asset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660" w:type="dxa"/>
            <w:vAlign w:val="bottom"/>
            <w:vMerge w:val="restart"/>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Coverage</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14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0"/>
        </w:trPr>
        <w:tc>
          <w:tcPr>
            <w:tcW w:w="5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265,308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333,728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253,783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2,780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232,908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w w:val="94"/>
              </w:rPr>
              <w:t>13,598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146,400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99,600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3,109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75,500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24,650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138,580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138,580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228,000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Closing Sales Price</w:t>
            </w: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Premium / (Discount)</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56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7"/>
              </w:rPr>
              <w:t>on NASDAQ</w:t>
            </w: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of High Sales</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76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20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298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$12.40</w:t>
            </w:r>
          </w:p>
        </w:tc>
        <w:tc>
          <w:tcPr>
            <w:tcW w:w="260" w:type="dxa"/>
            <w:vAlign w:val="bottom"/>
          </w:tcPr>
          <w:p>
            <w:pPr>
              <w:spacing w:after="0"/>
              <w:rPr>
                <w:sz w:val="20"/>
                <w:szCs w:val="20"/>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$ 12.01</w:t>
            </w:r>
          </w:p>
        </w:tc>
        <w:tc>
          <w:tcPr>
            <w:tcW w:w="200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20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7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12.97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11.79</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13.07</w:t>
            </w:r>
          </w:p>
        </w:tc>
        <w:tc>
          <w:tcPr>
            <w:tcW w:w="500" w:type="dxa"/>
            <w:vAlign w:val="bottom"/>
          </w:tcPr>
          <w:p>
            <w:pPr>
              <w:jc w:val="right"/>
              <w:spacing w:after="0"/>
              <w:rPr>
                <w:sz w:val="20"/>
                <w:szCs w:val="20"/>
                <w:color w:val="auto"/>
              </w:rPr>
            </w:pPr>
            <w:r>
              <w:rPr>
                <w:rFonts w:ascii="Arial" w:cs="Arial" w:eastAsia="Arial" w:hAnsi="Arial"/>
                <w:sz w:val="18"/>
                <w:szCs w:val="18"/>
                <w:color w:val="auto"/>
              </w:rPr>
              <w:t>13.35</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11.44</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13.66</w:t>
            </w:r>
          </w:p>
        </w:tc>
        <w:tc>
          <w:tcPr>
            <w:tcW w:w="50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11.20</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13.82</w:t>
            </w:r>
          </w:p>
        </w:tc>
        <w:tc>
          <w:tcPr>
            <w:tcW w:w="500" w:type="dxa"/>
            <w:vAlign w:val="bottom"/>
          </w:tcPr>
          <w:p>
            <w:pPr>
              <w:jc w:val="right"/>
              <w:spacing w:after="0"/>
              <w:rPr>
                <w:sz w:val="20"/>
                <w:szCs w:val="20"/>
                <w:color w:val="auto"/>
              </w:rPr>
            </w:pPr>
            <w:r>
              <w:rPr>
                <w:rFonts w:ascii="Arial" w:cs="Arial" w:eastAsia="Arial" w:hAnsi="Arial"/>
                <w:sz w:val="18"/>
                <w:szCs w:val="18"/>
                <w:color w:val="auto"/>
              </w:rPr>
              <w:t>13.83</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13.15</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13.98</w:t>
            </w:r>
          </w:p>
        </w:tc>
        <w:tc>
          <w:tcPr>
            <w:tcW w:w="500" w:type="dxa"/>
            <w:vAlign w:val="bottom"/>
          </w:tcPr>
          <w:p>
            <w:pPr>
              <w:jc w:val="right"/>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12.19</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2" w:lineRule="exact"/>
        <w:rPr>
          <w:sz w:val="20"/>
          <w:szCs w:val="20"/>
          <w:color w:val="auto"/>
        </w:rPr>
      </w:pPr>
    </w:p>
    <w:p>
      <w:pPr>
        <w:ind w:left="1020" w:right="26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20" w:right="16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5620" w:right="5420" w:hanging="5045"/>
        <w:spacing w:after="0" w:line="536" w:lineRule="auto"/>
        <w:tabs>
          <w:tab w:leader="none" w:pos="10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1020" w:hanging="44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2"/>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2"/>
              </w:rPr>
              <w:t>1,000,000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1,100,000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NAV per share</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60" w:type="dxa"/>
            <w:vAlign w:val="bottom"/>
          </w:tcPr>
          <w:p>
            <w:pPr>
              <w:ind w:left="340"/>
              <w:spacing w:after="0"/>
              <w:rPr>
                <w:sz w:val="20"/>
                <w:szCs w:val="20"/>
                <w:color w:val="auto"/>
              </w:rPr>
            </w:pPr>
            <w:r>
              <w:rPr>
                <w:rFonts w:ascii="Arial" w:cs="Arial" w:eastAsia="Arial" w:hAnsi="Arial"/>
                <w:sz w:val="16"/>
                <w:szCs w:val="16"/>
                <w:color w:val="auto"/>
                <w:w w:val="95"/>
              </w:rPr>
              <w:t>Total investment by stockholder A (assumed to be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60" w:type="dxa"/>
            <w:vAlign w:val="bottom"/>
          </w:tcPr>
          <w:p>
            <w:pPr>
              <w:ind w:left="500"/>
              <w:spacing w:after="0"/>
              <w:rPr>
                <w:sz w:val="20"/>
                <w:szCs w:val="20"/>
                <w:color w:val="auto"/>
              </w:rPr>
            </w:pPr>
            <w:r>
              <w:rPr>
                <w:rFonts w:ascii="Arial" w:cs="Arial" w:eastAsia="Arial" w:hAnsi="Arial"/>
                <w:sz w:val="16"/>
                <w:szCs w:val="16"/>
                <w:color w:val="auto"/>
              </w:rPr>
              <w:t>$10.00 per share)</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820" w:type="dxa"/>
            <w:vAlign w:val="bottom"/>
            <w:gridSpan w:val="2"/>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investment)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(200)</w:t>
            </w: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(900)</w:t>
            </w:r>
          </w:p>
        </w:tc>
        <w:tc>
          <w:tcPr>
            <w:tcW w:w="820" w:type="dxa"/>
            <w:vAlign w:val="bottom"/>
            <w:gridSpan w:val="2"/>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1"/>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Example 1</w:t>
            </w: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Example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20" w:type="dxa"/>
            <w:vAlign w:val="bottom"/>
          </w:tcPr>
          <w:p>
            <w:pPr>
              <w:spacing w:after="0"/>
              <w:rPr>
                <w:sz w:val="12"/>
                <w:szCs w:val="12"/>
                <w:color w:val="auto"/>
              </w:rPr>
            </w:pPr>
          </w:p>
        </w:tc>
        <w:tc>
          <w:tcPr>
            <w:tcW w:w="17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8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at 5% Discount</w:t>
            </w: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4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4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9.50</w:t>
            </w:r>
          </w:p>
        </w:tc>
        <w:tc>
          <w:tcPr>
            <w:tcW w:w="4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$10.00 per share on shares held prior to sale)</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 share</w:t>
            </w:r>
          </w:p>
        </w:tc>
        <w:tc>
          <w:tcPr>
            <w:tcW w:w="260" w:type="dxa"/>
            <w:vAlign w:val="bottom"/>
          </w:tcPr>
          <w:p>
            <w:pPr>
              <w:spacing w:after="0"/>
              <w:rPr>
                <w:sz w:val="16"/>
                <w:szCs w:val="16"/>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500"/>
              <w:spacing w:after="0"/>
              <w:rPr>
                <w:sz w:val="20"/>
                <w:szCs w:val="20"/>
                <w:color w:val="auto"/>
              </w:rPr>
            </w:pPr>
            <w:r>
              <w:rPr>
                <w:rFonts w:ascii="Arial" w:cs="Arial" w:eastAsia="Arial" w:hAnsi="Arial"/>
                <w:sz w:val="16"/>
                <w:szCs w:val="16"/>
                <w:color w:val="auto"/>
              </w:rPr>
              <w:t>less investment per share)</w:t>
            </w:r>
          </w:p>
        </w:tc>
        <w:tc>
          <w:tcPr>
            <w:tcW w:w="2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(0.02)</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(0.09)</w:t>
            </w:r>
          </w:p>
        </w:tc>
        <w:tc>
          <w:tcPr>
            <w:tcW w:w="82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 share</w:t>
            </w:r>
          </w:p>
        </w:tc>
        <w:tc>
          <w:tcPr>
            <w:tcW w:w="2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divided by investment per share)</w:t>
            </w:r>
          </w:p>
        </w:tc>
        <w:tc>
          <w:tcPr>
            <w:tcW w:w="2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w:t>
      </w:r>
    </w:p>
    <w:p>
      <w:pPr>
        <w:ind w:right="18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w w:val="87"/>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NAV per share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740" w:type="dxa"/>
            <w:vAlign w:val="bottom"/>
          </w:tcPr>
          <w:p>
            <w:pPr>
              <w:spacing w:after="0"/>
              <w:rPr>
                <w:sz w:val="20"/>
                <w:szCs w:val="20"/>
                <w:color w:val="auto"/>
              </w:rPr>
            </w:pPr>
            <w:r>
              <w:rPr>
                <w:rFonts w:ascii="Arial" w:cs="Arial" w:eastAsia="Arial" w:hAnsi="Arial"/>
                <w:sz w:val="16"/>
                <w:szCs w:val="16"/>
                <w:color w:val="auto"/>
                <w:w w:val="97"/>
              </w:rPr>
              <w:t>Total investment by stockholder A (assumed to be $10.00 per share on shares held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180"/>
              <w:spacing w:after="0"/>
              <w:rPr>
                <w:sz w:val="20"/>
                <w:szCs w:val="20"/>
                <w:color w:val="auto"/>
              </w:rPr>
            </w:pPr>
            <w:r>
              <w:rPr>
                <w:rFonts w:ascii="Arial" w:cs="Arial" w:eastAsia="Arial" w:hAnsi="Arial"/>
                <w:sz w:val="16"/>
                <w:szCs w:val="16"/>
                <w:color w:val="auto"/>
              </w:rPr>
              <w:t>prior to sale)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740" w:type="dxa"/>
            <w:vAlign w:val="bottom"/>
          </w:tcPr>
          <w:p>
            <w:pPr>
              <w:ind w:left="340"/>
              <w:spacing w:after="0"/>
              <w:rPr>
                <w:sz w:val="20"/>
                <w:szCs w:val="20"/>
                <w:color w:val="auto"/>
              </w:rPr>
            </w:pPr>
            <w:r>
              <w:rPr>
                <w:rFonts w:ascii="Arial" w:cs="Arial" w:eastAsia="Arial" w:hAnsi="Arial"/>
                <w:sz w:val="16"/>
                <w:szCs w:val="16"/>
                <w:color w:val="auto"/>
                <w:w w:val="98"/>
              </w:rPr>
              <w:t>Investment per share held by stockholder A (assumed to be $10.00 per share</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500"/>
              <w:spacing w:after="0"/>
              <w:rPr>
                <w:sz w:val="20"/>
                <w:szCs w:val="20"/>
                <w:color w:val="auto"/>
              </w:rPr>
            </w:pPr>
            <w:r>
              <w:rPr>
                <w:rFonts w:ascii="Arial" w:cs="Arial" w:eastAsia="Arial" w:hAnsi="Arial"/>
                <w:sz w:val="16"/>
                <w:szCs w:val="16"/>
                <w:color w:val="auto"/>
              </w:rPr>
              <w:t>on shares held prior to sale)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740" w:type="dxa"/>
            <w:vAlign w:val="bottom"/>
          </w:tcPr>
          <w:p>
            <w:pPr>
              <w:ind w:left="340"/>
              <w:spacing w:after="0"/>
              <w:rPr>
                <w:sz w:val="20"/>
                <w:szCs w:val="20"/>
                <w:color w:val="auto"/>
              </w:rPr>
            </w:pPr>
            <w:r>
              <w:rPr>
                <w:rFonts w:ascii="Arial" w:cs="Arial" w:eastAsia="Arial" w:hAnsi="Arial"/>
                <w:sz w:val="16"/>
                <w:szCs w:val="16"/>
                <w:color w:val="auto"/>
              </w:rPr>
              <w:t>Percentage (dilution)/accretion to stockholder A ((dilution)/accretion per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1,050,000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7"/>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NAV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9.98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500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0.05%</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4,990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5,000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 (total</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NAV less total investment)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9.98</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 investment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 share)</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(0.02)</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tcPr>
          <w:p>
            <w:pPr>
              <w:ind w:left="340"/>
              <w:spacing w:after="0"/>
              <w:rPr>
                <w:sz w:val="20"/>
                <w:szCs w:val="20"/>
                <w:color w:val="auto"/>
              </w:rPr>
            </w:pPr>
            <w:r>
              <w:rPr>
                <w:rFonts w:ascii="Arial" w:cs="Arial" w:eastAsia="Arial" w:hAnsi="Arial"/>
                <w:sz w:val="16"/>
                <w:szCs w:val="16"/>
                <w:color w:val="auto"/>
              </w:rPr>
              <w:t>Percentage (dilution)/accretion to stockholder A</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500"/>
              <w:spacing w:after="0"/>
              <w:rPr>
                <w:sz w:val="20"/>
                <w:szCs w:val="20"/>
                <w:color w:val="auto"/>
              </w:rPr>
            </w:pPr>
            <w:r>
              <w:rPr>
                <w:rFonts w:ascii="Arial" w:cs="Arial" w:eastAsia="Arial" w:hAnsi="Arial"/>
                <w:sz w:val="16"/>
                <w:szCs w:val="16"/>
                <w:color w:val="auto"/>
              </w:rPr>
              <w:t>((dilution)/accretion per share divided by</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500"/>
              <w:spacing w:after="0"/>
              <w:rPr>
                <w:sz w:val="20"/>
                <w:szCs w:val="20"/>
                <w:color w:val="auto"/>
              </w:rPr>
            </w:pPr>
            <w:r>
              <w:rPr>
                <w:rFonts w:ascii="Arial" w:cs="Arial" w:eastAsia="Arial" w:hAnsi="Arial"/>
                <w:sz w:val="16"/>
                <w:szCs w:val="16"/>
                <w:color w:val="auto"/>
              </w:rPr>
              <w:t>investment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 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3"/>
            <w:vMerge w:val="continue"/>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3400" w:type="dxa"/>
            <w:vAlign w:val="bottom"/>
            <w:gridSpan w:val="2"/>
            <w:vMerge w:val="continue"/>
          </w:tcPr>
          <w:p>
            <w:pPr>
              <w:spacing w:after="0"/>
              <w:rPr>
                <w:sz w:val="12"/>
                <w:szCs w:val="12"/>
                <w:color w:val="auto"/>
              </w:rPr>
            </w:pPr>
          </w:p>
        </w:tc>
        <w:tc>
          <w:tcPr>
            <w:tcW w:w="11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80" w:type="dxa"/>
            <w:vAlign w:val="bottom"/>
            <w:gridSpan w:val="2"/>
            <w:vMerge w:val="continue"/>
          </w:tcPr>
          <w:p>
            <w:pPr>
              <w:spacing w:after="0"/>
              <w:rPr>
                <w:sz w:val="14"/>
                <w:szCs w:val="14"/>
                <w:color w:val="auto"/>
              </w:rPr>
            </w:pP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18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0"/>
              </w:rPr>
              <w:t>Hotels, Restaurants and</w:t>
            </w:r>
          </w:p>
        </w:tc>
        <w:tc>
          <w:tcPr>
            <w:tcW w:w="340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10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 Fremont Street</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Las Vegas, NV 89101</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Consumer Goods: Durable</w:t>
            </w:r>
          </w:p>
        </w:tc>
        <w:tc>
          <w:tcPr>
            <w:tcW w:w="3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Warrants</w:t>
            </w:r>
          </w:p>
        </w:tc>
        <w:tc>
          <w:tcPr>
            <w:tcW w:w="110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AG Investco LP</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Software</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251 Little Falls Drive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Herndon, VA 19808</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IT Services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American Auto Auction Group, LLC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 Consumer</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L+475, 01/02/2024</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10333 N. Meridian, Suite 200</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Indianapolis, IN 46290</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Building Products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American Teleconferencing Services, Ltd.</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L+650, 12/08/2021</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3280 Peachtree Road, NE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Atlanta, GA 30305</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Electronic Equipment,</w:t>
            </w:r>
          </w:p>
        </w:tc>
        <w:tc>
          <w:tcPr>
            <w:tcW w:w="3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10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Instruments, and</w:t>
            </w: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0"/>
              </w:rPr>
              <w:t>Components</w:t>
            </w: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4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00" w:type="dxa"/>
            <w:vAlign w:val="bottom"/>
            <w:gridSpan w:val="2"/>
            <w:vMerge w:val="continue"/>
          </w:tcPr>
          <w:p>
            <w:pPr>
              <w:spacing w:after="0"/>
              <w:rPr>
                <w:sz w:val="14"/>
                <w:szCs w:val="14"/>
                <w:color w:val="auto"/>
              </w:rPr>
            </w:pP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2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6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80" w:type="dxa"/>
            <w:vAlign w:val="bottom"/>
            <w:shd w:val="clear" w:color="auto" w:fill="CCEEFF"/>
          </w:tcPr>
          <w:p>
            <w:pPr>
              <w:spacing w:after="0"/>
              <w:rPr>
                <w:sz w:val="9"/>
                <w:szCs w:val="9"/>
                <w:color w:val="auto"/>
              </w:rPr>
            </w:pPr>
          </w:p>
        </w:tc>
        <w:tc>
          <w:tcPr>
            <w:tcW w:w="28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 3M L+550, 04/28/2023</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1100 Murphy Drive</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By Light Professional IT Services, LLC</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(By Light Investco LP)</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Arlington, VA 22201</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L+650, 11/14/2023</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L+650, 12/23/2021</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Beverage, Food and</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L+575, 11/29/2023</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Tobacco</w:t>
            </w: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CHA Holdings,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575 Broadway, Suite 301</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Albany, NY 12207</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CI (Summit) Investment Holdings,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Construction and Building</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High Tech Industries</w:t>
            </w:r>
          </w:p>
        </w:tc>
        <w:tc>
          <w:tcPr>
            <w:tcW w:w="31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Confluent Health,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06/24/2026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75 S English Station Road</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Services</w:t>
            </w: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Louisville, KY 40245</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1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DecoPac,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Beverage, Food and</w:t>
            </w:r>
          </w:p>
        </w:tc>
        <w:tc>
          <w:tcPr>
            <w:tcW w:w="3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(DecoPac Holdings Inc.)</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Tobacco</w:t>
            </w: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3500 Thurston Avenue</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Anoka, MN 55303</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Digital Room Holdings, Inc.</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05/22/2026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8000 Haskell Ave.</w:t>
            </w: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Van Nuys, CA 91406</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6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8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00" w:type="dxa"/>
            <w:vAlign w:val="bottom"/>
            <w:gridSpan w:val="2"/>
            <w:vMerge w:val="continue"/>
          </w:tcPr>
          <w:p>
            <w:pPr>
              <w:spacing w:after="0"/>
              <w:rPr>
                <w:sz w:val="14"/>
                <w:szCs w:val="14"/>
                <w:color w:val="auto"/>
              </w:rPr>
            </w:pP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2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6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3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East Valley Tourist Development Authority</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Hotel, Gaming and Leisure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84245 Indio Springs Dr.</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Indio, CA 92203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Banking, Finance,</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9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Insurance &amp; Real Estate</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Education Networks of America, Inc.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Telecommunications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First Lien Secured Debt</w:t>
            </w:r>
            <w:r>
              <w:rPr>
                <w:rFonts w:ascii="Arial" w:cs="Arial" w:eastAsia="Arial" w:hAnsi="Arial"/>
                <w:sz w:val="12"/>
                <w:szCs w:val="12"/>
                <w:color w:val="auto"/>
                <w:w w:val="96"/>
              </w:rPr>
              <w:t>(4)</w:t>
            </w:r>
            <w:r>
              <w:rPr>
                <w:rFonts w:ascii="Arial" w:cs="Arial" w:eastAsia="Arial" w:hAnsi="Arial"/>
                <w:sz w:val="14"/>
                <w:szCs w:val="14"/>
                <w:color w:val="auto"/>
                <w:w w:val="96"/>
              </w:rPr>
              <w:t>, 1M L+750 (PIK</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618 Grassmere Park Drive</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2"/>
              </w:rPr>
              <w:t>2.5%), 05/06/2021</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Suite 12</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Nashville, TN 37211</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9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Production</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FlexPrint, LLC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Professional Services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2845 N. Omaha Street</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Mesa, AZ 85215</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Construction and Building</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GCOM Software LLC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High Tech Industries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(GCOM InvestCo LP)</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Albany, NY 12203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89"/>
              </w:rPr>
              <w:t>Beverages</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GSM Holdings,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3385 Roy Orr Blvd., Suite B</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Grand Prairie, TX 75050</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Media</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IMIA Holdings, Inc.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Spanish Fort, AL 36527</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Wholesale</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(Lombart Brothers, Inc.)</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80" w:type="dxa"/>
            <w:vAlign w:val="bottom"/>
            <w:gridSpan w:val="2"/>
          </w:tcPr>
          <w:p>
            <w:pPr>
              <w:jc w:val="right"/>
              <w:ind w:right="598"/>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20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00" w:type="dxa"/>
            <w:vAlign w:val="bottom"/>
            <w:gridSpan w:val="2"/>
            <w:vMerge w:val="continue"/>
          </w:tcPr>
          <w:p>
            <w:pPr>
              <w:spacing w:after="0"/>
              <w:rPr>
                <w:sz w:val="12"/>
                <w:szCs w:val="12"/>
                <w:color w:val="auto"/>
              </w:rPr>
            </w:pPr>
          </w:p>
        </w:tc>
        <w:tc>
          <w:tcPr>
            <w:tcW w:w="1280" w:type="dxa"/>
            <w:vAlign w:val="bottom"/>
            <w:gridSpan w:val="2"/>
          </w:tcPr>
          <w:p>
            <w:pPr>
              <w:jc w:val="right"/>
              <w:ind w:right="47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9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80" w:type="dxa"/>
            <w:vAlign w:val="bottom"/>
            <w:gridSpan w:val="2"/>
          </w:tcPr>
          <w:p>
            <w:pPr>
              <w:jc w:val="right"/>
              <w:ind w:right="39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3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9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Inventus Power,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L+650, 04/30/2020</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1200 Internationale Parkway</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8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 and</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96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Leisure</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KHC Holdings,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Wholesale</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3300 Brother Boulevard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Memphis, TN 38133</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2820" w:type="dxa"/>
            <w:vAlign w:val="bottom"/>
            <w:gridSpan w:val="3"/>
            <w:shd w:val="clear" w:color="auto" w:fill="CCEEFF"/>
          </w:tcPr>
          <w:p>
            <w:pPr>
              <w:jc w:val="center"/>
              <w:ind w:left="608"/>
              <w:spacing w:after="0" w:line="130" w:lineRule="exact"/>
              <w:rPr>
                <w:sz w:val="20"/>
                <w:szCs w:val="20"/>
                <w:color w:val="auto"/>
              </w:rPr>
            </w:pPr>
            <w:r>
              <w:rPr>
                <w:rFonts w:ascii="Arial" w:cs="Arial" w:eastAsia="Arial" w:hAnsi="Arial"/>
                <w:sz w:val="14"/>
                <w:szCs w:val="14"/>
                <w:color w:val="auto"/>
                <w:w w:val="94"/>
              </w:rPr>
              <w:t>Hotel, Gaming and Leisure</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L+950, 03/07/2022</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LAV Gear Holdings,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 Equipment</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3165 W Sunset 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Las Vegas, NV 89118</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Long Island Vision Management,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805 Broadway</w:t>
            </w:r>
          </w:p>
        </w:tc>
        <w:tc>
          <w:tcPr>
            <w:tcW w:w="96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New York, NY 11701</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LSF9 Atlantis Holdings,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Retail</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05/01/2023</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Second Lien Secured Debt,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Manna Pro Products,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Consumer Goods:</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12/08/2023</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96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Chesterfield, MO 63005</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Production</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McAfee,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High Tech Industries</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Second Lien Secured Debt,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Santa Clara, CA 95054</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6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5"/>
                <w:szCs w:val="15"/>
                <w:color w:val="auto"/>
              </w:rPr>
            </w:pP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2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236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1.0</w:t>
            </w:r>
          </w:p>
        </w:tc>
        <w:tc>
          <w:tcPr>
            <w:tcW w:w="600" w:type="dxa"/>
            <w:vAlign w:val="bottom"/>
            <w:tcBorders>
              <w:top w:val="single" w:sz="8" w:color="CCEEFF"/>
            </w:tcBorders>
            <w:shd w:val="clear" w:color="auto" w:fill="CCEEFF"/>
          </w:tcPr>
          <w:p>
            <w:pPr>
              <w:jc w:val="right"/>
              <w:ind w:right="41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L+550, 05/23/2024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Mission Critical Electronics, Inc.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2911 W. Garry Ave.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L+500, 09/28/2021</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Santa Ana, CA 92704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L+825, 01/24/2023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Diversified Financial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Services</w:t>
            </w: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Montreal, Quebec, H3B 4N4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Beverage, Food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9"/>
              </w:rPr>
              <w:t>Tobacco</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L+450, 05/14/2024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Output Services Group, Inc.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Business Services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100 Challenger Road #303</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L+450, 03/27/2024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Ridgefield Park, NJ 07660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Construction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Building</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L+625, 02/27/2023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L+725, 11/13/2024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Beverage, Food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9"/>
              </w:rPr>
              <w:t>Tobacco</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L+525, 06/01/2023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PlayPower, Inc.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Leisure Products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05/08/2026</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Huntersville, NC 28078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Business Services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L+700, 08/08/2022</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PT Network,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Second Lien Secured Debt, 3M L+1,000 PIK,</w:t>
            </w:r>
          </w:p>
        </w:tc>
        <w:tc>
          <w:tcPr>
            <w:tcW w:w="1420" w:type="dxa"/>
            <w:vAlign w:val="bottom"/>
            <w:gridSpan w:val="2"/>
          </w:tcPr>
          <w:p>
            <w:pPr>
              <w:ind w:left="64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4"/>
              </w:rPr>
              <w:t>11/30/2024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501 Fairmount Avenue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Towson, MD 21286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Aerospace and Defense</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Media: Diversified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Production</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Printing and Publishing</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60" w:type="dxa"/>
            <w:vAlign w:val="bottom"/>
            <w:gridSpan w:val="3"/>
            <w:vMerge w:val="continue"/>
          </w:tcPr>
          <w:p>
            <w:pPr>
              <w:spacing w:after="0"/>
              <w:rPr>
                <w:sz w:val="12"/>
                <w:szCs w:val="12"/>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1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20" w:type="dxa"/>
            <w:vAlign w:val="bottom"/>
            <w:gridSpan w:val="2"/>
            <w:vMerge w:val="continue"/>
          </w:tcPr>
          <w:p>
            <w:pPr>
              <w:spacing w:after="0"/>
              <w:rPr>
                <w:sz w:val="14"/>
                <w:szCs w:val="14"/>
                <w:color w:val="auto"/>
              </w:rPr>
            </w:pP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6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300" w:type="dxa"/>
            <w:vAlign w:val="bottom"/>
            <w:shd w:val="clear" w:color="auto" w:fill="CCEEFF"/>
          </w:tcPr>
          <w:p>
            <w:pPr>
              <w:spacing w:after="0"/>
              <w:rPr>
                <w:sz w:val="9"/>
                <w:szCs w:val="9"/>
                <w:color w:val="auto"/>
              </w:rPr>
            </w:pPr>
          </w:p>
        </w:tc>
        <w:tc>
          <w:tcPr>
            <w:tcW w:w="286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 3M L+550, 12/20/2024</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LLC</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Riverpoint Medical, LLC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Healthcare Equipment and</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825 NE 25th Avenue</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Portland, OR 97232</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L+600, 02/28/2022</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Schlesinger Global, Inc.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Professional Services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Iselin, NJ 08830</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Commercial Services &amp;</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Smile Brands Inc.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and</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100 Spectrum Center Drive</w:t>
            </w:r>
          </w:p>
        </w:tc>
        <w:tc>
          <w:tcPr>
            <w:tcW w:w="1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Irvine, CA 92618</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Beverage, Food and</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Tobacco</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Solutionreach, Inc.</w:t>
            </w: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Healthcare Technology</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3M L+575, 01/17/2024</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2600 N. Ashton Blvd.</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Lehi, UT 84043</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TeleGuam Holdings, LLC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07/25/2023</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Tamuning, Guam 96913</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7"/>
              </w:rPr>
              <w:t>Diversified Financial</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L+525, 07/18/2025</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Services</w:t>
            </w: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Tensar Corporation</w:t>
            </w: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Construction and Buildings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3M L+475, 07/09/2021</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Alpharetta, GA 30009</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Media: Broadcasting and</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L+525, 09/16/2024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Subscription</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1345 Cliveden Ave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Delta, BC V3M 6C7, Canada</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(2M 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6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080" w:type="dxa"/>
            <w:vAlign w:val="bottom"/>
            <w:gridSpan w:val="2"/>
            <w:vMerge w:val="continue"/>
          </w:tcPr>
          <w:p>
            <w:pPr>
              <w:spacing w:after="0"/>
              <w:rPr>
                <w:sz w:val="12"/>
                <w:szCs w:val="12"/>
                <w:color w:val="auto"/>
              </w:rPr>
            </w:pPr>
          </w:p>
        </w:tc>
        <w:tc>
          <w:tcPr>
            <w:tcW w:w="1400" w:type="dxa"/>
            <w:vAlign w:val="bottom"/>
            <w:gridSpan w:val="2"/>
          </w:tcPr>
          <w:p>
            <w:pPr>
              <w:jc w:val="right"/>
              <w:ind w:right="66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60" w:type="dxa"/>
            <w:vAlign w:val="bottom"/>
            <w:gridSpan w:val="2"/>
            <w:vMerge w:val="continue"/>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22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80" w:type="dxa"/>
            <w:vAlign w:val="bottom"/>
            <w:tcBorders>
              <w:top w:val="single" w:sz="8" w:color="CCEEFF"/>
            </w:tcBorders>
            <w:shd w:val="clear" w:color="auto" w:fill="CCEEFF"/>
          </w:tcPr>
          <w:p>
            <w:pPr>
              <w:spacing w:after="0"/>
              <w:rPr>
                <w:sz w:val="9"/>
                <w:szCs w:val="9"/>
                <w:color w:val="auto"/>
              </w:rPr>
            </w:pPr>
          </w:p>
        </w:tc>
        <w:tc>
          <w:tcPr>
            <w:tcW w:w="28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L+1,125, 12/28/2020</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TVC Enterprises,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(Gauge TVC Coinvest,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6100 Lake Forrest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Diversified Consumer</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Tyto Athene,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22,089</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(NXOF Holdings, Inc.)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510 Spring St., #200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Herndon, VA 20170</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Capital Equipment</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UniTek Global Services,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L+550, 08/20/2024</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9,802</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Ste. 202</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and</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L+900, 08/13/2021</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Vision Purchaser Corporation</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Media</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1M L+625, 06/10/2025</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7650 185th Street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Tinley Park, IL 60477</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30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40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1M L+750, 10/18/2022</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5,686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(WBB Equity,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86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14,492</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15479 Pin Oaks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Second Lien Secured Debt, 1M L+850 PIK,</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Conroe, TX 77384</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jc w:val="center"/>
              <w:spacing w:after="0" w:line="149" w:lineRule="exact"/>
              <w:rPr>
                <w:sz w:val="20"/>
                <w:szCs w:val="20"/>
                <w:color w:val="auto"/>
              </w:rPr>
            </w:pPr>
            <w:r>
              <w:rPr>
                <w:rFonts w:ascii="Arial" w:cs="Arial" w:eastAsia="Arial" w:hAnsi="Arial"/>
                <w:sz w:val="14"/>
                <w:szCs w:val="14"/>
                <w:color w:val="auto"/>
                <w:w w:val="94"/>
              </w:rPr>
              <w:t>04/29/2024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Voting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Percentage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00" w:type="dxa"/>
            <w:vAlign w:val="bottom"/>
            <w:gridSpan w:val="2"/>
            <w:vMerge w:val="continue"/>
          </w:tcPr>
          <w:p>
            <w:pPr>
              <w:spacing w:after="0"/>
              <w:rPr>
                <w:sz w:val="14"/>
                <w:szCs w:val="14"/>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3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25% or More Owned</w:t>
            </w:r>
          </w:p>
        </w:tc>
        <w:tc>
          <w:tcPr>
            <w:tcW w:w="1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31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2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172,163</w:t>
            </w: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L+800, 05/06/2024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8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Equity Interest</w:t>
            </w:r>
            <w:r>
              <w:rPr>
                <w:rFonts w:ascii="Arial" w:cs="Arial" w:eastAsia="Arial" w:hAnsi="Arial"/>
                <w:sz w:val="12"/>
                <w:szCs w:val="12"/>
                <w:color w:val="auto"/>
                <w:w w:val="94"/>
              </w:rPr>
              <w:t>(4)</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1,081,707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975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4" w:lineRule="exact"/>
        <w:rPr>
          <w:sz w:val="20"/>
          <w:szCs w:val="20"/>
          <w:color w:val="auto"/>
        </w:rPr>
      </w:pPr>
    </w:p>
    <w:p>
      <w:pPr>
        <w:ind w:left="460" w:right="120" w:hanging="452"/>
        <w:spacing w:after="0" w:line="243"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46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jc w:val="both"/>
        <w:ind w:left="460" w:right="8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460" w:right="8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6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840" w:type="dxa"/>
            <w:vAlign w:val="bottom"/>
          </w:tcPr>
          <w:p>
            <w:pPr>
              <w:spacing w:after="0"/>
              <w:rPr>
                <w:sz w:val="14"/>
                <w:szCs w:val="14"/>
                <w:color w:val="auto"/>
              </w:rPr>
            </w:pPr>
          </w:p>
        </w:tc>
        <w:tc>
          <w:tcPr>
            <w:tcW w:w="276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0"/>
              </w:rPr>
              <w:t>September 30, 2019</w:t>
            </w:r>
            <w:r>
              <w:rPr>
                <w:rFonts w:ascii="Arial" w:cs="Arial" w:eastAsia="Arial" w:hAnsi="Arial"/>
                <w:sz w:val="12"/>
                <w:szCs w:val="12"/>
                <w:b w:val="1"/>
                <w:bCs w:val="1"/>
                <w:color w:val="auto"/>
                <w:w w:val="90"/>
              </w:rPr>
              <w:t>(1)</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September 30, 2018</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6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260" w:type="dxa"/>
            <w:vAlign w:val="bottom"/>
            <w:gridSpan w:val="3"/>
            <w:vMerge w:val="continue"/>
            <w:shd w:val="clear" w:color="auto" w:fill="CCEEFF"/>
          </w:tcPr>
          <w:p>
            <w:pPr>
              <w:spacing w:after="0"/>
              <w:rPr>
                <w:sz w:val="17"/>
                <w:szCs w:val="17"/>
                <w:color w:val="auto"/>
              </w:rPr>
            </w:pPr>
          </w:p>
        </w:tc>
        <w:tc>
          <w:tcPr>
            <w:tcW w:w="2760" w:type="dxa"/>
            <w:vAlign w:val="bottom"/>
            <w:gridSpan w:val="2"/>
            <w:shd w:val="clear" w:color="auto" w:fill="CCEEFF"/>
          </w:tcPr>
          <w:p>
            <w:pPr>
              <w:jc w:val="right"/>
              <w:ind w:right="1260"/>
              <w:spacing w:after="0" w:line="203" w:lineRule="exact"/>
              <w:rPr>
                <w:sz w:val="20"/>
                <w:szCs w:val="20"/>
                <w:color w:val="auto"/>
              </w:rPr>
            </w:pPr>
            <w:r>
              <w:rPr>
                <w:rFonts w:ascii="Arial" w:cs="Arial" w:eastAsia="Arial" w:hAnsi="Arial"/>
                <w:sz w:val="18"/>
                <w:szCs w:val="18"/>
                <w:color w:val="auto"/>
              </w:rPr>
              <w:t>7%</w:t>
            </w: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tcPr>
          <w:p>
            <w:pPr>
              <w:jc w:val="right"/>
              <w:ind w:right="126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66"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20" w:type="dxa"/>
            <w:vAlign w:val="bottom"/>
            <w:vMerge w:val="restart"/>
          </w:tcPr>
          <w:p>
            <w:pPr>
              <w:spacing w:after="0"/>
              <w:rPr>
                <w:sz w:val="14"/>
                <w:szCs w:val="14"/>
                <w:color w:val="auto"/>
              </w:rPr>
            </w:pPr>
          </w:p>
        </w:tc>
        <w:tc>
          <w:tcPr>
            <w:tcW w:w="20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428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20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in U.S. middle-market companies in the form of</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company</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w w:val="95"/>
              </w:rPr>
              <w:t>first lien secured loans, second lien secured debt, subordinated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0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040" w:type="dxa"/>
            <w:vAlign w:val="bottom"/>
          </w:tcPr>
          <w:p>
            <w:pPr>
              <w:spacing w:after="0"/>
              <w:rPr>
                <w:sz w:val="20"/>
                <w:szCs w:val="20"/>
                <w:color w:val="auto"/>
              </w:rPr>
            </w:pPr>
            <w:r>
              <w:rPr>
                <w:rFonts w:ascii="Arial" w:cs="Arial" w:eastAsia="Arial" w:hAnsi="Arial"/>
                <w:sz w:val="16"/>
                <w:szCs w:val="16"/>
                <w:color w:val="auto"/>
              </w:rPr>
              <w:t>Joint Venture</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040" w:type="dxa"/>
            <w:vAlign w:val="bottom"/>
          </w:tcPr>
          <w:p>
            <w:pPr>
              <w:spacing w:after="0"/>
              <w:rPr>
                <w:sz w:val="20"/>
                <w:szCs w:val="20"/>
                <w:color w:val="auto"/>
              </w:rPr>
            </w:pPr>
            <w:r>
              <w:rPr>
                <w:rFonts w:ascii="Arial" w:cs="Arial" w:eastAsia="Arial" w:hAnsi="Arial"/>
                <w:sz w:val="16"/>
                <w:szCs w:val="16"/>
                <w:color w:val="auto"/>
              </w:rPr>
              <w:t>Direct Lending Funds</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Dollar Range of the</w:t>
            </w:r>
          </w:p>
        </w:tc>
      </w:tr>
      <w:tr>
        <w:trPr>
          <w:trHeight w:val="149"/>
        </w:trPr>
        <w:tc>
          <w:tcPr>
            <w:tcW w:w="58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58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PennantPark Floating</w:t>
            </w:r>
          </w:p>
        </w:tc>
      </w:tr>
      <w:tr>
        <w:trPr>
          <w:trHeight w:val="171"/>
        </w:trPr>
        <w:tc>
          <w:tcPr>
            <w:tcW w:w="5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196"/>
        </w:trPr>
        <w:tc>
          <w:tcPr>
            <w:tcW w:w="584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4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Over $</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Jose A. Briones</w:t>
            </w:r>
          </w:p>
        </w:tc>
        <w:tc>
          <w:tcPr>
            <w:tcW w:w="4760" w:type="dxa"/>
            <w:vAlign w:val="bottom"/>
            <w:gridSpan w:val="2"/>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4760" w:type="dxa"/>
            <w:vAlign w:val="bottom"/>
            <w:gridSpan w:val="2"/>
            <w:shd w:val="clear" w:color="auto" w:fill="CCEEFF"/>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shd w:val="clear" w:color="auto" w:fill="CCEEFF"/>
          </w:tcPr>
          <w:p>
            <w:pPr>
              <w:spacing w:after="0"/>
              <w:rPr>
                <w:sz w:val="17"/>
                <w:szCs w:val="17"/>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4760" w:type="dxa"/>
            <w:vAlign w:val="bottom"/>
            <w:gridSpan w:val="2"/>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97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1" w:lineRule="exact"/>
        <w:rPr>
          <w:sz w:val="20"/>
          <w:szCs w:val="20"/>
          <w:color w:val="auto"/>
        </w:rPr>
      </w:pPr>
    </w:p>
    <w:p>
      <w:pPr>
        <w:ind w:left="460" w:right="14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 Beneficial ownership has been determined in accordance with Rule 16a-1(a)(2) promulgated under the Exchange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20" w:right="40" w:hanging="566"/>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20" w:hanging="56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20" w:right="480" w:hanging="566"/>
        <w:spacing w:after="0" w:line="27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20" w:right="100" w:hanging="566"/>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1020" w:right="200" w:hanging="566"/>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48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20" w:right="76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20" w:right="120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020" w:hanging="44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20" w:right="20" w:hanging="445"/>
        <w:spacing w:after="0" w:line="286"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right="480" w:hanging="44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20" w:hanging="445"/>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8"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64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5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6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20" w:hanging="44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20" w:right="240" w:hanging="445"/>
        <w:spacing w:after="0" w:line="30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20" w:hanging="44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20" w:right="100" w:hanging="445"/>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absolute forum for (a) any derivative action or proceeding brought on our behalf, (b) 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45"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20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20" w:right="4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20" w:right="2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20" w:right="180" w:hanging="445"/>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20" w:right="320" w:hanging="445"/>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6" w:lineRule="exact"/>
        <w:rPr>
          <w:rFonts w:ascii="Arial" w:cs="Arial" w:eastAsia="Arial" w:hAnsi="Arial"/>
          <w:sz w:val="18"/>
          <w:szCs w:val="18"/>
          <w:color w:val="auto"/>
        </w:rPr>
      </w:pPr>
    </w:p>
    <w:p>
      <w:pPr>
        <w:ind w:left="1020" w:right="20" w:hanging="445"/>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6"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20" w:right="3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20" w:right="80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73" w:lineRule="exact"/>
        <w:rPr>
          <w:sz w:val="20"/>
          <w:szCs w:val="20"/>
          <w:color w:val="auto"/>
        </w:rPr>
      </w:pPr>
    </w:p>
    <w:p>
      <w:pPr>
        <w:ind w:right="100" w:firstLine="456"/>
        <w:spacing w:after="0" w:line="327" w:lineRule="auto"/>
        <w:rPr>
          <w:sz w:val="20"/>
          <w:szCs w:val="20"/>
          <w:color w:val="auto"/>
        </w:rPr>
      </w:pPr>
      <w:r>
        <w:rPr>
          <w:rFonts w:ascii="Arial" w:cs="Arial" w:eastAsia="Arial" w:hAnsi="Arial"/>
          <w:sz w:val="15"/>
          <w:szCs w:val="15"/>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20" w:right="480" w:hanging="445"/>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20" w:right="100" w:hanging="445"/>
        <w:spacing w:after="0" w:line="26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020" w:right="400" w:hanging="445"/>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20" w:right="360" w:hanging="445"/>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20" w:right="200" w:hanging="445"/>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20" w:right="24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6" w:lineRule="exact"/>
        <w:rPr>
          <w:rFonts w:ascii="Arial" w:cs="Arial" w:eastAsia="Arial" w:hAnsi="Arial"/>
          <w:sz w:val="18"/>
          <w:szCs w:val="18"/>
          <w:color w:val="auto"/>
        </w:rPr>
      </w:pPr>
    </w:p>
    <w:p>
      <w:pPr>
        <w:ind w:left="1020" w:right="6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20" w:right="10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5" w:lineRule="exact"/>
        <w:rPr>
          <w:rFonts w:ascii="Arial" w:cs="Arial" w:eastAsia="Arial" w:hAnsi="Arial"/>
          <w:sz w:val="18"/>
          <w:szCs w:val="18"/>
          <w:color w:val="auto"/>
        </w:rPr>
      </w:pPr>
    </w:p>
    <w:p>
      <w:pPr>
        <w:ind w:left="1020" w:right="200" w:hanging="445"/>
        <w:spacing w:after="0" w:line="286"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20" w:right="48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6" w:lineRule="exact"/>
        <w:rPr>
          <w:rFonts w:ascii="Arial" w:cs="Arial" w:eastAsia="Arial" w:hAnsi="Arial"/>
          <w:sz w:val="18"/>
          <w:szCs w:val="18"/>
          <w:color w:val="auto"/>
        </w:rPr>
      </w:pPr>
    </w:p>
    <w:p>
      <w:pPr>
        <w:ind w:left="1020" w:hanging="445"/>
        <w:spacing w:after="0" w:line="33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1020" w:right="60" w:hanging="445"/>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20" w:right="480" w:hanging="445"/>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1020" w:right="180" w:hanging="445"/>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20" w:right="240" w:hanging="445"/>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20" w:hanging="44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20" w:right="200" w:hanging="445"/>
        <w:spacing w:after="0" w:line="26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0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20" w:right="220" w:hanging="445"/>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20" w:right="160" w:hanging="445"/>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20" w:right="420" w:hanging="445"/>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20" w:hanging="445"/>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1020" w:right="40" w:hanging="445"/>
        <w:spacing w:after="0" w:line="342"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20" w:right="300" w:hanging="445"/>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20" w:right="180" w:hanging="445"/>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1020" w:right="180" w:hanging="445"/>
        <w:spacing w:after="0" w:line="26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20" w:right="180" w:hanging="445"/>
        <w:spacing w:after="0" w:line="264"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1020" w:hanging="445"/>
        <w:spacing w:after="0" w:line="25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1020" w:right="20" w:hanging="445"/>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20" w:right="20" w:hanging="445"/>
        <w:spacing w:after="0" w:line="25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20" w:hanging="44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20" w:hanging="44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20" w:right="400" w:hanging="445"/>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20" w:right="40" w:hanging="445"/>
        <w:spacing w:after="0" w:line="26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20" w:hanging="44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20" w:right="60" w:hanging="445"/>
        <w:spacing w:after="0" w:line="264"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80" w:right="160" w:hanging="446"/>
        <w:spacing w:after="0" w:line="264"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60" w:hanging="446"/>
        <w:spacing w:after="0" w:line="28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9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7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right="360" w:firstLine="456"/>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ind w:firstLine="8"/>
        <w:spacing w:after="0" w:line="25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1020" w:hanging="445"/>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20" w:right="540" w:hanging="445"/>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 SEC:</w:t>
      </w:r>
    </w:p>
    <w:p>
      <w:pPr>
        <w:spacing w:after="0" w:line="154" w:lineRule="exact"/>
        <w:rPr>
          <w:sz w:val="20"/>
          <w:szCs w:val="20"/>
          <w:color w:val="auto"/>
        </w:rPr>
      </w:pPr>
    </w:p>
    <w:p>
      <w:pPr>
        <w:ind w:left="1020" w:right="60" w:hanging="445"/>
        <w:spacing w:after="0" w:line="264"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2019, filed with the SEC on November 20, 2019, including the information specifically incorporated by reference to the Form 10-K from our Definitive Proxy Statement on Schedule 14A filed with the SEC on December 17, 2019; and</w:t>
      </w:r>
    </w:p>
    <w:p>
      <w:pPr>
        <w:spacing w:after="0" w:line="86" w:lineRule="exact"/>
        <w:rPr>
          <w:rFonts w:ascii="Arial" w:cs="Arial" w:eastAsia="Arial" w:hAnsi="Arial"/>
          <w:sz w:val="18"/>
          <w:szCs w:val="18"/>
          <w:color w:val="auto"/>
        </w:rPr>
      </w:pPr>
    </w:p>
    <w:p>
      <w:pPr>
        <w:ind w:left="1020" w:right="100" w:hanging="445"/>
        <w:spacing w:after="0" w:line="264"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Stock referenced in our Registration Statement on Form 8-A (No. 001-35127), as filed with the SEC on April 7, 2011, including any amendment or report filed for the purpose of updating such description prior to the termination of the offering of the common stock registered 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and any accompanying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Copies of these reports, proxy and information statements and other information may be obtained, after paying a duplicating fee, by sending a request by email to: publicinfo@sec.gov.</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920" w:hanging="659"/>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rFonts w:ascii="Arial" w:cs="Arial" w:eastAsia="Arial" w:hAnsi="Arial"/>
          <w:sz w:val="18"/>
          <w:szCs w:val="18"/>
          <w:color w:val="auto"/>
        </w:rPr>
      </w:pPr>
    </w:p>
    <w:p>
      <w:pPr>
        <w:ind w:left="920" w:right="700"/>
        <w:spacing w:after="0" w:line="298" w:lineRule="auto"/>
        <w:rPr>
          <w:rFonts w:ascii="Arial" w:cs="Arial" w:eastAsia="Arial" w:hAnsi="Arial"/>
          <w:sz w:val="18"/>
          <w:szCs w:val="18"/>
          <w:color w:val="auto"/>
        </w:rPr>
      </w:pPr>
      <w:r>
        <w:rPr>
          <w:rFonts w:ascii="Arial" w:cs="Arial" w:eastAsia="Arial" w:hAnsi="Arial"/>
          <w:sz w:val="16"/>
          <w:szCs w:val="16"/>
          <w:color w:val="auto"/>
        </w:rPr>
        <w:t>The consolidated financial statements as of September 30, 2019 and September 30, 2018 and for each of the three years in the period ended September 30, 2019 and management’s assessment of the effectiveness of internal control over financial reporting (which is included in Management’s Report on Internal Control over Financial Reporting) as of September 30, 2019 have been incorporated by reference in this registration statement in “Part A—Information Required in a Prospectus.”</w:t>
      </w:r>
    </w:p>
    <w:p>
      <w:pPr>
        <w:spacing w:after="0" w:line="167" w:lineRule="exact"/>
        <w:rPr>
          <w:sz w:val="20"/>
          <w:szCs w:val="20"/>
          <w:color w:val="auto"/>
        </w:rPr>
      </w:pPr>
    </w:p>
    <w:p>
      <w:pPr>
        <w:ind w:left="920" w:hanging="659"/>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920" w:right="80" w:hanging="712"/>
        <w:spacing w:after="0" w:line="268"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145" w:lineRule="exact"/>
        <w:rPr>
          <w:rFonts w:ascii="Arial" w:cs="Arial" w:eastAsia="Arial" w:hAnsi="Arial"/>
          <w:sz w:val="18"/>
          <w:szCs w:val="18"/>
          <w:color w:val="auto"/>
        </w:rPr>
      </w:pPr>
    </w:p>
    <w:p>
      <w:pPr>
        <w:ind w:left="920" w:right="100" w:hanging="717"/>
        <w:spacing w:after="0" w:line="268"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145" w:lineRule="exact"/>
        <w:rPr>
          <w:sz w:val="20"/>
          <w:szCs w:val="20"/>
          <w:color w:val="auto"/>
        </w:rPr>
      </w:pPr>
    </w:p>
    <w:p>
      <w:pPr>
        <w:ind w:left="920" w:right="580" w:hanging="819"/>
        <w:spacing w:after="0" w:line="268" w:lineRule="auto"/>
        <w:tabs>
          <w:tab w:leader="none" w:pos="9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Share Certificate (Incorporated by reference to Exhibit 99(D) to the Registrant’s Pre-Effective Amendment No. 5 to the Registration Statement on Form N-2 (File No. 333-170243), filed on April 5, 2011).</w:t>
      </w:r>
    </w:p>
    <w:p>
      <w:pPr>
        <w:spacing w:after="0" w:line="145"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6"/>
          <w:szCs w:val="16"/>
          <w:color w:val="auto"/>
        </w:rPr>
        <w:t>(d)(2)</w:t>
      </w:r>
      <w:r>
        <w:rPr>
          <w:sz w:val="20"/>
          <w:szCs w:val="20"/>
          <w:color w:val="auto"/>
        </w:rPr>
        <w:tab/>
      </w:r>
      <w:r>
        <w:rPr>
          <w:rFonts w:ascii="Arial" w:cs="Arial" w:eastAsia="Arial" w:hAnsi="Arial"/>
          <w:sz w:val="16"/>
          <w:szCs w:val="16"/>
          <w:color w:val="auto"/>
        </w:rPr>
        <w:t>Form of Subscription Certificate (Incorporated by reference to Exhibit 99(D)(2) to the Registrant’s Registration Statement on Form N-2 (File No.</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333-180084), filed on March 14, 2012).</w:t>
      </w:r>
    </w:p>
    <w:p>
      <w:pPr>
        <w:spacing w:after="0" w:line="178" w:lineRule="exact"/>
        <w:rPr>
          <w:sz w:val="20"/>
          <w:szCs w:val="20"/>
          <w:color w:val="auto"/>
        </w:rPr>
      </w:pPr>
    </w:p>
    <w:p>
      <w:pPr>
        <w:ind w:left="920" w:right="280" w:hanging="819"/>
        <w:spacing w:after="0" w:line="268" w:lineRule="auto"/>
        <w:tabs>
          <w:tab w:leader="none" w:pos="9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Indenture (Incorporated by reference to Exhibit 99(D)(3) to the Registrant’s Registration Statement on Form N-2 (File No. 333-180084), filed on March 14, 2012).</w:t>
      </w:r>
    </w:p>
    <w:p>
      <w:pPr>
        <w:spacing w:after="0" w:line="145" w:lineRule="exact"/>
        <w:rPr>
          <w:sz w:val="20"/>
          <w:szCs w:val="20"/>
          <w:color w:val="auto"/>
        </w:rPr>
      </w:pPr>
    </w:p>
    <w:p>
      <w:pPr>
        <w:ind w:left="920" w:right="60" w:hanging="819"/>
        <w:spacing w:after="0" w:line="268" w:lineRule="auto"/>
        <w:tabs>
          <w:tab w:leader="none" w:pos="9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Subscription Agent Agreement (Incorporated by reference to Exhibit 99(D)(4) to the Registrant’s Registration Statement on Form N-2 (File No. 333-180084), filed on March 14, 2012).</w:t>
      </w:r>
    </w:p>
    <w:p>
      <w:pPr>
        <w:spacing w:after="0" w:line="145" w:lineRule="exact"/>
        <w:rPr>
          <w:sz w:val="20"/>
          <w:szCs w:val="20"/>
          <w:color w:val="auto"/>
        </w:rPr>
      </w:pPr>
    </w:p>
    <w:p>
      <w:pPr>
        <w:ind w:left="920" w:right="200" w:hanging="819"/>
        <w:spacing w:after="0" w:line="268" w:lineRule="auto"/>
        <w:tabs>
          <w:tab w:leader="none" w:pos="90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Warrant Agreement (Incorporated by reference to Exhibit 99(D)(5) to the Registrant’s Registration Statement on Form N-2 (File No. 333-180084), filed on March 14, 2012).</w:t>
      </w:r>
    </w:p>
    <w:p>
      <w:pPr>
        <w:spacing w:after="0" w:line="145"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T-1 Statement of Eligibility with respect to the Form of Indenture.</w:t>
      </w:r>
    </w:p>
    <w:p>
      <w:pPr>
        <w:spacing w:after="0" w:line="185"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6"/>
          <w:szCs w:val="16"/>
          <w:color w:val="auto"/>
        </w:rPr>
        <w:t>(d)(7)</w:t>
      </w:r>
      <w:r>
        <w:rPr>
          <w:sz w:val="20"/>
          <w:szCs w:val="20"/>
          <w:color w:val="auto"/>
        </w:rPr>
        <w:tab/>
      </w:r>
      <w:r>
        <w:rPr>
          <w:rFonts w:ascii="Arial" w:cs="Arial" w:eastAsia="Arial" w:hAnsi="Arial"/>
          <w:sz w:val="16"/>
          <w:szCs w:val="16"/>
          <w:color w:val="auto"/>
        </w:rPr>
        <w:t>Form of Articles Supplementary (Incorporated by reference to Exhibit 99(D)(7) to the Registrant’s Registration Statement on Form N-2 (File No.</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333-180084), filed on March 14, 2012).</w:t>
      </w:r>
    </w:p>
    <w:p>
      <w:pPr>
        <w:spacing w:after="0" w:line="178" w:lineRule="exact"/>
        <w:rPr>
          <w:sz w:val="20"/>
          <w:szCs w:val="20"/>
          <w:color w:val="auto"/>
        </w:rPr>
      </w:pPr>
    </w:p>
    <w:p>
      <w:pPr>
        <w:ind w:left="920" w:right="400" w:hanging="819"/>
        <w:spacing w:after="0" w:line="332" w:lineRule="auto"/>
        <w:tabs>
          <w:tab w:leader="none" w:pos="900" w:val="left"/>
        </w:tabs>
        <w:rPr>
          <w:sz w:val="20"/>
          <w:szCs w:val="20"/>
          <w:color w:val="auto"/>
        </w:rPr>
      </w:pPr>
      <w:r>
        <w:rPr>
          <w:rFonts w:ascii="Arial" w:cs="Arial" w:eastAsia="Arial" w:hAnsi="Arial"/>
          <w:sz w:val="16"/>
          <w:szCs w:val="16"/>
          <w:color w:val="auto"/>
        </w:rPr>
        <w:t>(d)(8)</w:t>
      </w:r>
      <w:r>
        <w:rPr>
          <w:sz w:val="20"/>
          <w:szCs w:val="20"/>
          <w:color w:val="auto"/>
        </w:rPr>
        <w:tab/>
      </w:r>
      <w:r>
        <w:rPr>
          <w:rFonts w:ascii="Arial" w:cs="Arial" w:eastAsia="Arial" w:hAnsi="Arial"/>
          <w:sz w:val="16"/>
          <w:szCs w:val="16"/>
          <w:color w:val="auto"/>
        </w:rPr>
        <w:t>Deed of Trust dated November 23, 2017, between PennantPark Floating Rate Capital Ltd. and Mishmeret Trust Company, Ltd (Incorporated by reference to Exhibit 99(D)(8) to the Registrant’s Registration Statement on Form N-2 (File No. 333-215111), filed on December 13, 2017).</w:t>
      </w:r>
    </w:p>
    <w:p>
      <w:pPr>
        <w:spacing w:after="0" w:line="99" w:lineRule="exact"/>
        <w:rPr>
          <w:sz w:val="20"/>
          <w:szCs w:val="20"/>
          <w:color w:val="auto"/>
        </w:rPr>
      </w:pPr>
    </w:p>
    <w:p>
      <w:pPr>
        <w:ind w:left="920" w:right="120" w:hanging="819"/>
        <w:spacing w:after="0" w:line="268" w:lineRule="auto"/>
        <w:tabs>
          <w:tab w:leader="none" w:pos="90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Supplementary Notice dated November 23, 2017 (Incorporated by reference to Exhibit 99(D)(9) to the Registrant’s Registration Statement on Form N-2 (File No. 333-215111), filed on December 13, 2017).</w:t>
      </w:r>
    </w:p>
    <w:p>
      <w:pPr>
        <w:spacing w:after="0" w:line="78" w:lineRule="exact"/>
        <w:rPr>
          <w:sz w:val="20"/>
          <w:szCs w:val="20"/>
          <w:color w:val="auto"/>
        </w:rPr>
      </w:pPr>
    </w:p>
    <w:p>
      <w:pPr>
        <w:ind w:left="920" w:right="40" w:hanging="919"/>
        <w:spacing w:after="0" w:line="259" w:lineRule="auto"/>
        <w:tabs>
          <w:tab w:leader="none" w:pos="90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Indenture, dated as of September 19, 2019, by and among PennantPark CLO I, Ltd., as issuer, PennantPark CLO I, LLC, as co-issuer, and U.S. Bank National Association, as trustee and as collateral agent (Incorporated by reference to Exhibit 99.2 to the Registrant’s Current Report on Form 8-K (File No. 814-00891), filed on September 20, 2019).</w:t>
      </w:r>
    </w:p>
    <w:p>
      <w:pPr>
        <w:spacing w:after="0" w:line="154" w:lineRule="exact"/>
        <w:rPr>
          <w:sz w:val="20"/>
          <w:szCs w:val="20"/>
          <w:color w:val="auto"/>
        </w:rPr>
      </w:pPr>
    </w:p>
    <w:p>
      <w:pPr>
        <w:ind w:left="920" w:hanging="717"/>
        <w:spacing w:after="0" w:line="25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Amended and Restated Investment Advisory Agreement, dated as of February 2, 2016, between PennantPark Floating Rate Capital Ltd. and PennantPark Investment Advisers, LLC (Incorporated by reference to the Registrant’s Quarterly Report on Form 10-Q (File No. 814-00891), filed on February 4, 2016).</w:t>
      </w:r>
    </w:p>
    <w:p>
      <w:pPr>
        <w:spacing w:after="0" w:line="154" w:lineRule="exact"/>
        <w:rPr>
          <w:sz w:val="20"/>
          <w:szCs w:val="20"/>
          <w:color w:val="auto"/>
        </w:rPr>
      </w:pPr>
    </w:p>
    <w:p>
      <w:pPr>
        <w:ind w:left="920" w:right="120" w:hanging="819"/>
        <w:spacing w:after="0" w:line="268" w:lineRule="auto"/>
        <w:tabs>
          <w:tab w:leader="none" w:pos="9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Registration Statement on Form N-2 (File No. 333-180084), filed on March 14, 2012).</w:t>
      </w:r>
    </w:p>
    <w:p>
      <w:pPr>
        <w:spacing w:after="0" w:line="145" w:lineRule="exact"/>
        <w:rPr>
          <w:sz w:val="20"/>
          <w:szCs w:val="20"/>
          <w:color w:val="auto"/>
        </w:rPr>
      </w:pPr>
    </w:p>
    <w:p>
      <w:pPr>
        <w:ind w:left="920" w:right="260" w:hanging="819"/>
        <w:spacing w:after="0" w:line="268" w:lineRule="auto"/>
        <w:tabs>
          <w:tab w:leader="none" w:pos="9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145"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6"/>
          <w:szCs w:val="16"/>
          <w:color w:val="auto"/>
        </w:rPr>
        <w:t>(h)(3)</w:t>
      </w:r>
      <w:r>
        <w:rPr>
          <w:sz w:val="20"/>
          <w:szCs w:val="20"/>
          <w:color w:val="auto"/>
        </w:rPr>
        <w:tab/>
      </w:r>
      <w:r>
        <w:rPr>
          <w:rFonts w:ascii="Arial" w:cs="Arial" w:eastAsia="Arial" w:hAnsi="Arial"/>
          <w:sz w:val="16"/>
          <w:szCs w:val="16"/>
          <w:color w:val="auto"/>
        </w:rPr>
        <w:t>Underwriting Agreement dated February 14, 2017 (Incorporated by reference to Exhibit 99(H)(3) to the Registrant’s Post-Effective Amendment No.</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to the Registration Statement on Form N-2 (File No. 333-215111), filed on February 16,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right="80" w:hanging="619"/>
        <w:spacing w:after="0" w:line="268" w:lineRule="auto"/>
        <w:tabs>
          <w:tab w:leader="none" w:pos="640" w:val="left"/>
        </w:tabs>
        <w:rPr>
          <w:sz w:val="20"/>
          <w:szCs w:val="20"/>
          <w:color w:val="auto"/>
        </w:rPr>
      </w:pPr>
      <w:r>
        <w:rPr>
          <w:rFonts w:ascii="Arial" w:cs="Arial" w:eastAsia="Arial" w:hAnsi="Arial"/>
          <w:sz w:val="18"/>
          <w:szCs w:val="18"/>
          <w:color w:val="auto"/>
        </w:rPr>
        <w:t>(h)(4)</w:t>
        <w:tab/>
        <w:t>Underwriting Agreement dated October 25, 2017 (Incorporated by reference to Exhibit 99(H)(4) to the Registrant’s Post-Effective Amendment No. 2 to the Registration Statement on Form N-2 (File No. 333-215111), filed on October 27, 2017).</w:t>
      </w:r>
    </w:p>
    <w:p>
      <w:pPr>
        <w:spacing w:after="0" w:line="145" w:lineRule="exact"/>
        <w:rPr>
          <w:sz w:val="20"/>
          <w:szCs w:val="20"/>
          <w:color w:val="auto"/>
        </w:rPr>
      </w:pPr>
    </w:p>
    <w:p>
      <w:pPr>
        <w:ind w:left="660" w:right="40" w:hanging="505"/>
        <w:spacing w:after="0" w:line="33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center"/>
              <w:spacing w:after="0"/>
              <w:rPr>
                <w:sz w:val="20"/>
                <w:szCs w:val="20"/>
                <w:color w:val="auto"/>
              </w:rPr>
            </w:pPr>
            <w:r>
              <w:rPr>
                <w:rFonts w:ascii="Arial" w:cs="Arial" w:eastAsia="Arial" w:hAnsi="Arial"/>
                <w:sz w:val="18"/>
                <w:szCs w:val="18"/>
                <w:color w:val="auto"/>
                <w:w w:val="92"/>
              </w:rPr>
              <w:t>(k)(1)</w:t>
            </w: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Form of Stock Transfer Agency Agreement between the Registrant and American Stock Transfer &amp; Trust Company, LLC (Incorporated by reference to</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Exhibit 99(K)(1) to the Registrant’s Pre-Effective Amendment No. 3 to the Registration Statement on Form N-2 (File No. 333-170243), filed on March</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(k)(2)</w:t>
            </w: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Form of Administration Agreement between the Registrant and PennantPark Investment Administration, LLC (Incorporated by reference to Exhibit</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99(K)(2) to the Registrant’s Pre-Effective Amendment No. 3 to the Registration Statement on Form N-2 (File No. 333-170243), filed on March 29,</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(k)(3)</w:t>
            </w:r>
          </w:p>
        </w:tc>
        <w:tc>
          <w:tcPr>
            <w:tcW w:w="10860" w:type="dxa"/>
            <w:vAlign w:val="bottom"/>
          </w:tcPr>
          <w:p>
            <w:pPr>
              <w:ind w:left="100"/>
              <w:spacing w:after="0"/>
              <w:rPr>
                <w:sz w:val="20"/>
                <w:szCs w:val="20"/>
                <w:color w:val="auto"/>
              </w:rPr>
            </w:pPr>
            <w:r>
              <w:rPr>
                <w:rFonts w:ascii="Arial" w:cs="Arial" w:eastAsia="Arial" w:hAnsi="Arial"/>
                <w:sz w:val="18"/>
                <w:szCs w:val="18"/>
                <w:color w:val="auto"/>
                <w:w w:val="94"/>
              </w:rPr>
              <w:t>Form of Trademark License Agreement (Incorporated by reference to Exhibit 99(K)(3) to the Registrant’s Pre-Effective Amendment No. 3 to the</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Registration Statement on Form N-2 (File No. 333-170243), filed on March 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(k)(4)</w:t>
            </w: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Fourth Amended and Restated Revolving Credit and Security Agreement, dated as of October 30, 2018, among PennantPark Floating Rate Funding I,</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LLC, as borrower, PennantPark Investment Advisers, LLC, as collateral manager, the lenders from time to time parties thereto, SunTrust Bank, as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administrative agent, SunTrust Robinson Humphrey, Inc., as lead arranger, and U.S. Bank National Association, as collateral agent, as collateral</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administrator, as backup collateral manager, and as custodian (Incorporated by reference to Exhibit 10.1 to the Registrant’s Current Report on Form 8-K</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 No. 814-00891), filed on November 8, 2018).</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(k)(5)</w:t>
            </w:r>
          </w:p>
        </w:tc>
        <w:tc>
          <w:tcPr>
            <w:tcW w:w="10860" w:type="dxa"/>
            <w:vAlign w:val="bottom"/>
          </w:tcPr>
          <w:p>
            <w:pPr>
              <w:ind w:left="100"/>
              <w:spacing w:after="0"/>
              <w:rPr>
                <w:sz w:val="20"/>
                <w:szCs w:val="20"/>
                <w:color w:val="auto"/>
              </w:rPr>
            </w:pPr>
            <w:r>
              <w:rPr>
                <w:rFonts w:ascii="Arial" w:cs="Arial" w:eastAsia="Arial" w:hAnsi="Arial"/>
                <w:sz w:val="18"/>
                <w:szCs w:val="18"/>
                <w:color w:val="auto"/>
                <w:w w:val="87"/>
              </w:rPr>
              <w:t>Purchase and Contribution Agreement, dated as of June 23, 2011, among PennantPark Floating Rate Capital Ltd., as the seller, and PennantPark Floating</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Rate Funding I, LLC, as the buyer (Incorporated by reference to Exhibit 10.2 to the Registrant’s Periodic Report on Form 8-K (File No. 814-00891),</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filed on June 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(k)(6)</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First Amendment to Purchase and Contribution Agreement, dated as of January 16, 2018, between PennantPark Floating Rate Capital Ltd., as the seller,</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and PennantPark Floating Rate Funding I, LLC, as the buyer (Incorporated by reference to Exhibit 10.4 to the Registrant’s Quarterly Report on Form</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10-Q (File No. 814-00891), filed on February 8, 2018).</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(k)(7)</w:t>
            </w: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Limited Liability Company Agreement of PennantPark Senior Secured Loan Fund I LLC, dated as of May 4, 2017, by and between PennantPark</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Floating Rate Capital Ltd. and Trinity Universal Insurance Company (Incorporated by reference to Exhibit 10.1 to the Registrant’s Quarterly Report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Form 10-Q (File No. 814-00891), filed on August 8, 2017).</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(k)(8)</w:t>
            </w: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Indemnification Agreement, dated as of November 15, 2016, between PennantPark Floating Rate Capital Ltd. and each of the directors and officers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listed on Schedule A attached thereto (Incorporated by reference to Exhibit 10.6 on the Registrant’s Annual Report on Form 10-K (File No. 814-00891),</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filed on November 22, 2016).</w:t>
            </w: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auto"/>
              </w:rPr>
              <w:t>(k)(9)</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Credit Agreement, dated as of September 19, 2019, by and among PennantPark CLO I, Ltd., as borrower, PennantPark CLO I, LLC, as co-borrower, the</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various financial institutions party thereto from time to time, as lenders, and U.S. Bank National Association, as collateral agent and as loan agent</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5"/>
              </w:rPr>
              <w:t>(Incorporated by reference to Exhibit 99.3 to the Registrant’s Current Report on Form 8-K (File No. 814-00891), filed on September 20, 2019).</w:t>
            </w:r>
          </w:p>
        </w:tc>
      </w:tr>
      <w:tr>
        <w:trPr>
          <w:trHeight w:val="385"/>
        </w:trPr>
        <w:tc>
          <w:tcPr>
            <w:tcW w:w="560" w:type="dxa"/>
            <w:vAlign w:val="bottom"/>
          </w:tcPr>
          <w:p>
            <w:pPr>
              <w:jc w:val="center"/>
              <w:ind w:right="12"/>
              <w:spacing w:after="0"/>
              <w:rPr>
                <w:sz w:val="20"/>
                <w:szCs w:val="20"/>
                <w:color w:val="auto"/>
              </w:rPr>
            </w:pPr>
            <w:r>
              <w:rPr>
                <w:rFonts w:ascii="Arial" w:cs="Arial" w:eastAsia="Arial" w:hAnsi="Arial"/>
                <w:sz w:val="18"/>
                <w:szCs w:val="18"/>
                <w:color w:val="auto"/>
                <w:w w:val="97"/>
              </w:rPr>
              <w:t>(k)(l0)</w:t>
            </w:r>
          </w:p>
        </w:tc>
        <w:tc>
          <w:tcPr>
            <w:tcW w:w="10860" w:type="dxa"/>
            <w:vAlign w:val="bottom"/>
          </w:tcPr>
          <w:p>
            <w:pPr>
              <w:ind w:left="100"/>
              <w:spacing w:after="0"/>
              <w:rPr>
                <w:sz w:val="20"/>
                <w:szCs w:val="20"/>
                <w:color w:val="auto"/>
              </w:rPr>
            </w:pPr>
            <w:r>
              <w:rPr>
                <w:rFonts w:ascii="Arial" w:cs="Arial" w:eastAsia="Arial" w:hAnsi="Arial"/>
                <w:sz w:val="18"/>
                <w:szCs w:val="18"/>
                <w:color w:val="auto"/>
                <w:w w:val="87"/>
              </w:rPr>
              <w:t>Collateral Management Agreement, dated as of September 19, 2019, between PennantPark CLO I, Ltd., as issuer, and PennantPark Investment Advisers,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LLC, as collateral manager (Incorporated by reference to Exhibit 99.4 to the Registrant’s Current Report on Form 8-K (File No. 814-00891), filed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September 20, 2019).</w:t>
            </w: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auto"/>
              </w:rPr>
              <w:t>(k)(ll)</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Master Loan Sale Agreement, dated as of September 19, 2019, among PennantPark Floating Rate Capital Ltd., as seller, PennantPark CLO I Depositor,</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LLC, as intermediate seller, and PennantPark CLO I Ltd., as buyer (Incorporated by reference to Exhibit 99.5 to the Registrant’s Current Report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Form 8-K (File No. 814-00891), filed on September 20, 2019).</w:t>
            </w:r>
          </w:p>
        </w:tc>
      </w:tr>
      <w:tr>
        <w:trPr>
          <w:trHeight w:val="385"/>
        </w:trPr>
        <w:tc>
          <w:tcPr>
            <w:tcW w:w="560" w:type="dxa"/>
            <w:vAlign w:val="bottom"/>
          </w:tcPr>
          <w:p>
            <w:pPr>
              <w:jc w:val="center"/>
              <w:ind w:right="12"/>
              <w:spacing w:after="0"/>
              <w:rPr>
                <w:sz w:val="20"/>
                <w:szCs w:val="20"/>
                <w:color w:val="auto"/>
              </w:rPr>
            </w:pPr>
            <w:r>
              <w:rPr>
                <w:rFonts w:ascii="Arial" w:cs="Arial" w:eastAsia="Arial" w:hAnsi="Arial"/>
                <w:sz w:val="18"/>
                <w:szCs w:val="18"/>
                <w:color w:val="auto"/>
                <w:w w:val="97"/>
              </w:rPr>
              <w:t>(k)(l2)</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Master Participation Agreement, dated as of September 19, 2019, between PennantPark Floating Rate Funding I, LLC, as seller and PennantPark CLO I,</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Ltd., as buyer (Incorporated by reference to Exhibit 99.6 to the Registrant’s Current Report on Form 8-K (File No. 814-00891), filed on September 20,</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2019).</w:t>
            </w:r>
          </w:p>
        </w:tc>
      </w:tr>
      <w:tr>
        <w:trPr>
          <w:trHeight w:val="365"/>
        </w:trPr>
        <w:tc>
          <w:tcPr>
            <w:tcW w:w="560" w:type="dxa"/>
            <w:vAlign w:val="bottom"/>
          </w:tcPr>
          <w:p>
            <w:pPr>
              <w:spacing w:after="0"/>
              <w:rPr>
                <w:sz w:val="24"/>
                <w:szCs w:val="24"/>
                <w:color w:val="auto"/>
              </w:rPr>
            </w:pPr>
          </w:p>
        </w:tc>
        <w:tc>
          <w:tcPr>
            <w:tcW w:w="10860" w:type="dxa"/>
            <w:vAlign w:val="bottom"/>
          </w:tcPr>
          <w:p>
            <w:pPr>
              <w:ind w:left="502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840" w:hanging="538"/>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4"/>
              </w:rPr>
              <w:t>(l)(1)</w:t>
            </w:r>
          </w:p>
        </w:tc>
        <w:tc>
          <w:tcPr>
            <w:tcW w:w="10740" w:type="dxa"/>
            <w:vAlign w:val="bottom"/>
          </w:tcPr>
          <w:p>
            <w:pPr>
              <w:ind w:left="180"/>
              <w:spacing w:after="0"/>
              <w:rPr>
                <w:sz w:val="20"/>
                <w:szCs w:val="20"/>
                <w:color w:val="auto"/>
              </w:rPr>
            </w:pPr>
            <w:r>
              <w:rPr>
                <w:rFonts w:ascii="Arial" w:cs="Arial" w:eastAsia="Arial" w:hAnsi="Arial"/>
                <w:sz w:val="18"/>
                <w:szCs w:val="18"/>
                <w:color w:val="auto"/>
                <w:w w:val="89"/>
              </w:rPr>
              <w:t>Opinion and Consent of Venable LLP (Incorporated by reference to Exhibit 99(l)(1) to the Registrant’s Registration Statement on Form N-2 (File No.</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333-235532), filed on December 16, 2019).</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4"/>
              </w:rPr>
              <w:t>(l)(2)</w:t>
            </w:r>
          </w:p>
        </w:tc>
        <w:tc>
          <w:tcPr>
            <w:tcW w:w="10740" w:type="dxa"/>
            <w:vAlign w:val="bottom"/>
          </w:tcPr>
          <w:p>
            <w:pPr>
              <w:ind w:left="180"/>
              <w:spacing w:after="0"/>
              <w:rPr>
                <w:sz w:val="20"/>
                <w:szCs w:val="20"/>
                <w:color w:val="auto"/>
              </w:rPr>
            </w:pPr>
            <w:r>
              <w:rPr>
                <w:rFonts w:ascii="Arial" w:cs="Arial" w:eastAsia="Arial" w:hAnsi="Arial"/>
                <w:sz w:val="18"/>
                <w:szCs w:val="18"/>
                <w:color w:val="auto"/>
                <w:w w:val="90"/>
              </w:rPr>
              <w:t>Opinion and Consent of Dechert LLP (Incorporated by reference to Exhibit 99(l)(2) to the Registrant’s Registration Statement on Form N-2 (File No.</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333-235532), filed on December 16, 2019).</w:t>
            </w:r>
          </w:p>
        </w:tc>
      </w:tr>
      <w:tr>
        <w:trPr>
          <w:trHeight w:val="392"/>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7"/>
              </w:rPr>
              <w:t>(n)(1)*</w:t>
            </w:r>
          </w:p>
        </w:tc>
        <w:tc>
          <w:tcPr>
            <w:tcW w:w="10740" w:type="dxa"/>
            <w:vAlign w:val="bottom"/>
          </w:tcPr>
          <w:p>
            <w:pPr>
              <w:ind w:left="180"/>
              <w:spacing w:after="0"/>
              <w:rPr>
                <w:sz w:val="20"/>
                <w:szCs w:val="20"/>
                <w:color w:val="auto"/>
              </w:rPr>
            </w:pPr>
            <w:r>
              <w:rPr>
                <w:rFonts w:ascii="Arial" w:cs="Arial" w:eastAsia="Arial" w:hAnsi="Arial"/>
                <w:sz w:val="18"/>
                <w:szCs w:val="18"/>
                <w:color w:val="auto"/>
              </w:rPr>
              <w:t>Consent of RSM US LLP.</w:t>
            </w:r>
          </w:p>
        </w:tc>
      </w:tr>
      <w:tr>
        <w:trPr>
          <w:trHeight w:val="392"/>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7"/>
              </w:rPr>
              <w:t>(n)(2)*</w:t>
            </w:r>
          </w:p>
        </w:tc>
        <w:tc>
          <w:tcPr>
            <w:tcW w:w="10740" w:type="dxa"/>
            <w:vAlign w:val="bottom"/>
          </w:tcPr>
          <w:p>
            <w:pPr>
              <w:ind w:left="18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85"/>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4"/>
              </w:rPr>
              <w:t>(r)(1)</w:t>
            </w:r>
          </w:p>
        </w:tc>
        <w:tc>
          <w:tcPr>
            <w:tcW w:w="10740" w:type="dxa"/>
            <w:vAlign w:val="bottom"/>
          </w:tcPr>
          <w:p>
            <w:pPr>
              <w:ind w:left="180"/>
              <w:spacing w:after="0"/>
              <w:rPr>
                <w:sz w:val="20"/>
                <w:szCs w:val="20"/>
                <w:color w:val="auto"/>
              </w:rPr>
            </w:pPr>
            <w:r>
              <w:rPr>
                <w:rFonts w:ascii="Arial" w:cs="Arial" w:eastAsia="Arial" w:hAnsi="Arial"/>
                <w:sz w:val="18"/>
                <w:szCs w:val="18"/>
                <w:color w:val="auto"/>
                <w:w w:val="88"/>
              </w:rPr>
              <w:t>Joint Code of Ethics of the Registrant, PennantPark Investment Corporation and PennantPark Investment Advisers, LLC (Incorporated by reference to</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Exhibit 14.1 to the Registrant’s Annual Report on Form 10-K (File No. 814-00891), filed on November 20, 2019).</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0740" w:type="dxa"/>
            <w:vAlign w:val="bottom"/>
          </w:tcPr>
          <w:p>
            <w:pPr>
              <w:ind w:left="180"/>
              <w:spacing w:after="0"/>
              <w:rPr>
                <w:sz w:val="20"/>
                <w:szCs w:val="20"/>
                <w:color w:val="auto"/>
              </w:rPr>
            </w:pPr>
            <w:r>
              <w:rPr>
                <w:rFonts w:ascii="Arial" w:cs="Arial" w:eastAsia="Arial" w:hAnsi="Arial"/>
                <w:sz w:val="18"/>
                <w:szCs w:val="18"/>
                <w:color w:val="auto"/>
                <w:w w:val="94"/>
              </w:rPr>
              <w:t>Form of Prospectus Supplement For Common Stock Offerings (Incorporated by reference to Exhibit 99(S)(1) to the Registrant’s Registration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(s)(2)</w:t>
            </w:r>
          </w:p>
        </w:tc>
        <w:tc>
          <w:tcPr>
            <w:tcW w:w="10740" w:type="dxa"/>
            <w:vAlign w:val="bottom"/>
          </w:tcPr>
          <w:p>
            <w:pPr>
              <w:ind w:left="180"/>
              <w:spacing w:after="0"/>
              <w:rPr>
                <w:sz w:val="20"/>
                <w:szCs w:val="20"/>
                <w:color w:val="auto"/>
              </w:rPr>
            </w:pPr>
            <w:r>
              <w:rPr>
                <w:rFonts w:ascii="Arial" w:cs="Arial" w:eastAsia="Arial" w:hAnsi="Arial"/>
                <w:sz w:val="18"/>
                <w:szCs w:val="18"/>
                <w:color w:val="auto"/>
                <w:w w:val="94"/>
              </w:rPr>
              <w:t>Form of Prospectus Supplement For Preferred Stock Offerings (Incorporated by reference to Exhibit 99(S)(2) to the Registrant’s Registration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(s)(3)</w:t>
            </w:r>
          </w:p>
        </w:tc>
        <w:tc>
          <w:tcPr>
            <w:tcW w:w="10740" w:type="dxa"/>
            <w:vAlign w:val="bottom"/>
          </w:tcPr>
          <w:p>
            <w:pPr>
              <w:ind w:left="180"/>
              <w:spacing w:after="0"/>
              <w:rPr>
                <w:sz w:val="20"/>
                <w:szCs w:val="20"/>
                <w:color w:val="auto"/>
              </w:rPr>
            </w:pPr>
            <w:r>
              <w:rPr>
                <w:rFonts w:ascii="Arial" w:cs="Arial" w:eastAsia="Arial" w:hAnsi="Arial"/>
                <w:sz w:val="18"/>
                <w:szCs w:val="18"/>
                <w:color w:val="auto"/>
                <w:w w:val="88"/>
              </w:rPr>
              <w:t>Form of Prospectus Supplement For Debt Offerings (Incorporated by reference to Exhibit 99(S)(3) to the Registrant’s Registration Statement on Form</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(s)(4)</w:t>
            </w:r>
          </w:p>
        </w:tc>
        <w:tc>
          <w:tcPr>
            <w:tcW w:w="10740" w:type="dxa"/>
            <w:vAlign w:val="bottom"/>
          </w:tcPr>
          <w:p>
            <w:pPr>
              <w:ind w:left="180"/>
              <w:spacing w:after="0"/>
              <w:rPr>
                <w:sz w:val="20"/>
                <w:szCs w:val="20"/>
                <w:color w:val="auto"/>
              </w:rPr>
            </w:pPr>
            <w:r>
              <w:rPr>
                <w:rFonts w:ascii="Arial" w:cs="Arial" w:eastAsia="Arial" w:hAnsi="Arial"/>
                <w:sz w:val="18"/>
                <w:szCs w:val="18"/>
                <w:color w:val="auto"/>
                <w:w w:val="91"/>
              </w:rPr>
              <w:t>Form of Prospectus Supplement For Rights Offerings (Incorporated by reference to Exhibit 99(S)(4) to the Registrant’s Registration Statement 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(s)(5)</w:t>
            </w:r>
          </w:p>
        </w:tc>
        <w:tc>
          <w:tcPr>
            <w:tcW w:w="10740" w:type="dxa"/>
            <w:vAlign w:val="bottom"/>
          </w:tcPr>
          <w:p>
            <w:pPr>
              <w:ind w:left="180"/>
              <w:spacing w:after="0"/>
              <w:rPr>
                <w:sz w:val="20"/>
                <w:szCs w:val="20"/>
                <w:color w:val="auto"/>
              </w:rPr>
            </w:pPr>
            <w:r>
              <w:rPr>
                <w:rFonts w:ascii="Arial" w:cs="Arial" w:eastAsia="Arial" w:hAnsi="Arial"/>
                <w:sz w:val="18"/>
                <w:szCs w:val="18"/>
                <w:color w:val="auto"/>
                <w:w w:val="90"/>
              </w:rPr>
              <w:t>Form of Prospectus Supplement For Warrant Offerings (Incorporated by reference to Exhibit 99(S)(5) to the Registrant’s Registration Statement 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Form N-2 (File No. 333-180084), filed on March 14, 2012).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67,096*</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75,500*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880" w:type="dxa"/>
            <w:vAlign w:val="bottom"/>
            <w:gridSpan w:val="2"/>
          </w:tcPr>
          <w:p>
            <w:pPr>
              <w:jc w:val="right"/>
              <w:ind w:right="2812"/>
              <w:spacing w:after="0"/>
              <w:rPr>
                <w:sz w:val="20"/>
                <w:szCs w:val="20"/>
                <w:color w:val="auto"/>
              </w:rPr>
            </w:pPr>
            <w:r>
              <w:rPr>
                <w:rFonts w:ascii="Arial" w:cs="Arial" w:eastAsia="Arial" w:hAnsi="Arial"/>
                <w:sz w:val="18"/>
                <w:szCs w:val="18"/>
                <w:color w:val="auto"/>
              </w:rPr>
              <w:t>C-3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12"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portion of 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4"/>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2920" w:type="dxa"/>
            <w:vAlign w:val="bottom"/>
            <w:vMerge w:val="restart"/>
          </w:tcPr>
          <w:p>
            <w:pPr>
              <w:spacing w:after="0"/>
              <w:rPr>
                <w:sz w:val="15"/>
                <w:szCs w:val="15"/>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27"/>
        </w:trPr>
        <w:tc>
          <w:tcPr>
            <w:tcW w:w="2960" w:type="dxa"/>
            <w:vAlign w:val="bottom"/>
            <w:tcBorders>
              <w:bottom w:val="single" w:sz="8" w:color="auto"/>
            </w:tcBorders>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Floating Rate Funding I, LLC (Delaware)</w:t>
            </w: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1880" w:type="dxa"/>
            <w:vAlign w:val="bottom"/>
            <w:gridSpan w:val="2"/>
            <w:shd w:val="clear" w:color="auto" w:fill="CCEEFF"/>
          </w:tcPr>
          <w:p>
            <w:pPr>
              <w:ind w:left="11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PennantPark CLO I,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CLO I, Ltd. (Cayman Islands)</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PennantPark CLO I Depositor,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Funding II,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PFLT Investment Holdings,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Holdings, Inc.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GMC Television Broadcasting,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G.P.,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Solutions Capital I, L.P.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1012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4" w:lineRule="exact"/>
        <w:rPr>
          <w:sz w:val="20"/>
          <w:szCs w:val="20"/>
          <w:color w:val="auto"/>
        </w:rPr>
      </w:pPr>
    </w:p>
    <w:p>
      <w:pPr>
        <w:ind w:left="5580" w:right="4260" w:hanging="5572"/>
        <w:spacing w:after="0" w:line="525" w:lineRule="auto"/>
        <w:tabs>
          <w:tab w:leader="none" w:pos="3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entity is directly owned by PFLT Funding II, LLC, which is wholly-owned by us. C-4</w:t>
      </w:r>
    </w:p>
    <w:p>
      <w:pPr>
        <w:sectPr>
          <w:pgSz w:w="11900" w:h="16838" w:orient="portrait"/>
          <w:cols w:equalWidth="0" w:num="1">
            <w:col w:w="10640"/>
          </w:cols>
          <w:pgMar w:left="240" w:top="459" w:right="10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380" w:type="dxa"/>
            <w:vAlign w:val="bottom"/>
            <w:gridSpan w:val="2"/>
          </w:tcPr>
          <w:p>
            <w:pPr>
              <w:ind w:left="780"/>
              <w:spacing w:after="0"/>
              <w:rPr>
                <w:sz w:val="20"/>
                <w:szCs w:val="20"/>
                <w:color w:val="auto"/>
              </w:rPr>
            </w:pPr>
            <w:r>
              <w:rPr>
                <w:rFonts w:ascii="Arial" w:cs="Arial" w:eastAsia="Arial" w:hAnsi="Arial"/>
                <w:sz w:val="18"/>
                <w:szCs w:val="18"/>
                <w:b w:val="1"/>
                <w:bCs w:val="1"/>
                <w:color w:val="auto"/>
              </w:rPr>
              <w:t>Number of holders of shares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80" w:type="dxa"/>
            <w:vAlign w:val="bottom"/>
            <w:gridSpan w:val="3"/>
          </w:tcPr>
          <w:p>
            <w:pPr>
              <w:ind w:left="580"/>
              <w:spacing w:after="0"/>
              <w:rPr>
                <w:sz w:val="20"/>
                <w:szCs w:val="20"/>
                <w:color w:val="auto"/>
              </w:rPr>
            </w:pPr>
            <w:r>
              <w:rPr>
                <w:rFonts w:ascii="Arial" w:cs="Arial" w:eastAsia="Arial" w:hAnsi="Arial"/>
                <w:sz w:val="18"/>
                <w:szCs w:val="18"/>
                <w:color w:val="auto"/>
              </w:rPr>
              <w:t>As of December 31, 2019</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7380" w:type="dxa"/>
            <w:vAlign w:val="bottom"/>
            <w:gridSpan w:val="2"/>
            <w:vMerge w:val="restart"/>
          </w:tcPr>
          <w:p>
            <w:pPr>
              <w:jc w:val="center"/>
              <w:ind w:right="4900"/>
              <w:spacing w:after="0"/>
              <w:rPr>
                <w:sz w:val="20"/>
                <w:szCs w:val="20"/>
                <w:color w:val="auto"/>
              </w:rPr>
            </w:pPr>
            <w:r>
              <w:rPr>
                <w:rFonts w:ascii="Arial" w:cs="Arial" w:eastAsia="Arial" w:hAnsi="Arial"/>
                <w:sz w:val="14"/>
                <w:szCs w:val="14"/>
                <w:b w:val="1"/>
                <w:bCs w:val="1"/>
                <w:color w:val="auto"/>
                <w:w w:val="87"/>
              </w:rPr>
              <w:t>Title of Class</w:t>
            </w:r>
          </w:p>
        </w:tc>
        <w:tc>
          <w:tcPr>
            <w:tcW w:w="198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200" w:type="dxa"/>
            <w:vAlign w:val="bottom"/>
          </w:tcPr>
          <w:p>
            <w:pPr>
              <w:spacing w:after="0"/>
              <w:rPr>
                <w:sz w:val="18"/>
                <w:szCs w:val="18"/>
                <w:color w:val="auto"/>
              </w:rPr>
            </w:pPr>
          </w:p>
        </w:tc>
        <w:tc>
          <w:tcPr>
            <w:tcW w:w="1980" w:type="dxa"/>
            <w:vAlign w:val="bottom"/>
          </w:tcPr>
          <w:p>
            <w:pPr>
              <w:jc w:val="right"/>
              <w:ind w:right="822"/>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Custodian, The Bank of New York Mellon, 240 Greenwich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59" w:right="6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60" w:firstLine="579"/>
        <w:spacing w:after="0" w:line="259" w:lineRule="auto"/>
        <w:tabs>
          <w:tab w:leader="none" w:pos="8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suspend the offering of its shares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40" w:firstLine="579"/>
        <w:spacing w:after="0" w:line="294" w:lineRule="auto"/>
        <w:tabs>
          <w:tab w:leader="none" w:pos="8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120" w:hanging="216"/>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80" w:firstLine="544"/>
        <w:spacing w:after="0" w:line="314" w:lineRule="auto"/>
        <w:tabs>
          <w:tab w:leader="none" w:pos="1172"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24" w:lineRule="exact"/>
        <w:rPr>
          <w:sz w:val="20"/>
          <w:szCs w:val="20"/>
          <w:color w:val="auto"/>
        </w:rPr>
      </w:pPr>
    </w:p>
    <w:p>
      <w:pPr>
        <w:ind w:left="360" w:right="300" w:firstLine="987"/>
        <w:spacing w:after="0" w:line="268" w:lineRule="auto"/>
        <w:tabs>
          <w:tab w:leader="none" w:pos="16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360" w:right="280" w:firstLine="553"/>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4(a)(i), (ii), and (iii)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section 14 or section 15(d) of the Exchange Act that are incorporated by reference into the registration statement, or is contained in a form of prospectus filed pursuant to Rule 424(b), or other applicable SEC rule under the Securities Act, that is part of the registration statement.</w:t>
      </w:r>
    </w:p>
    <w:p>
      <w:pPr>
        <w:spacing w:after="0" w:line="32" w:lineRule="exact"/>
        <w:rPr>
          <w:sz w:val="20"/>
          <w:szCs w:val="20"/>
          <w:color w:val="auto"/>
        </w:rPr>
      </w:pPr>
    </w:p>
    <w:p>
      <w:pPr>
        <w:jc w:val="both"/>
        <w:ind w:left="360" w:right="440" w:firstLine="544"/>
        <w:spacing w:after="0" w:line="25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firstLine="544"/>
        <w:spacing w:after="0" w:line="268"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6"/>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560" w:hanging="213"/>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1040" w:right="140" w:firstLine="410"/>
        <w:spacing w:after="0" w:line="268" w:lineRule="auto"/>
        <w:tabs>
          <w:tab w:leader="none" w:pos="1743" w:val="left"/>
        </w:tabs>
        <w:numPr>
          <w:ilvl w:val="2"/>
          <w:numId w:val="6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00" w:firstLine="410"/>
        <w:spacing w:after="0" w:line="286" w:lineRule="auto"/>
        <w:tabs>
          <w:tab w:leader="none" w:pos="1733"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rFonts w:ascii="Arial" w:cs="Arial" w:eastAsia="Arial" w:hAnsi="Arial"/>
          <w:sz w:val="16"/>
          <w:szCs w:val="16"/>
          <w:color w:val="auto"/>
        </w:rPr>
      </w:pPr>
    </w:p>
    <w:p>
      <w:pPr>
        <w:ind w:left="360" w:right="20" w:firstLine="987"/>
        <w:spacing w:after="0" w:line="290" w:lineRule="auto"/>
        <w:tabs>
          <w:tab w:leader="none" w:pos="1615"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each prospectus filed pursuant to Rule 424(b) or Rule 497(b), (c), (d), or (e) under the Securities Act, as applicable,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360" w:right="80" w:firstLine="544"/>
        <w:spacing w:after="0" w:line="323" w:lineRule="auto"/>
        <w:tabs>
          <w:tab w:leader="none" w:pos="1152"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7" w:lineRule="exact"/>
        <w:rPr>
          <w:sz w:val="20"/>
          <w:szCs w:val="20"/>
          <w:color w:val="auto"/>
        </w:rPr>
      </w:pPr>
    </w:p>
    <w:p>
      <w:pPr>
        <w:ind w:left="360" w:right="180" w:firstLine="544"/>
        <w:spacing w:after="0" w:line="268" w:lineRule="auto"/>
        <w:tabs>
          <w:tab w:leader="none" w:pos="112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or Rule 497 under the Securities Act, as applicable;</w:t>
      </w:r>
    </w:p>
    <w:p>
      <w:pPr>
        <w:spacing w:after="0" w:line="50" w:lineRule="exact"/>
        <w:rPr>
          <w:rFonts w:ascii="Arial" w:cs="Arial" w:eastAsia="Arial" w:hAnsi="Arial"/>
          <w:sz w:val="18"/>
          <w:szCs w:val="18"/>
          <w:color w:val="auto"/>
        </w:rPr>
      </w:pPr>
    </w:p>
    <w:p>
      <w:pPr>
        <w:ind w:left="360" w:right="800" w:firstLine="544"/>
        <w:spacing w:after="0" w:line="268" w:lineRule="auto"/>
        <w:tabs>
          <w:tab w:leader="none" w:pos="11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360" w:firstLine="544"/>
        <w:spacing w:after="0" w:line="332" w:lineRule="auto"/>
        <w:tabs>
          <w:tab w:leader="none" w:pos="12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200" w:hanging="296"/>
        <w:spacing w:after="0"/>
        <w:tabs>
          <w:tab w:leader="none" w:pos="1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80" w:firstLine="579"/>
        <w:spacing w:after="0" w:line="306" w:lineRule="auto"/>
        <w:tabs>
          <w:tab w:leader="none" w:pos="81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9"/>
        <w:spacing w:after="0" w:line="290" w:lineRule="auto"/>
        <w:tabs>
          <w:tab w:leader="none" w:pos="8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820" w:hanging="241"/>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State of New York, on the 28th day of January 2020.</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24"/>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5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6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Registrant’s Registration Statement on Form N-2 has been signed by the following persons in the capacities set forth below on the 28th day of January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76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7"/>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76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bl>
    <w:p>
      <w:pPr>
        <w:spacing w:after="0" w:line="74" w:lineRule="exact"/>
        <w:rPr>
          <w:sz w:val="20"/>
          <w:szCs w:val="20"/>
          <w:color w:val="auto"/>
        </w:rPr>
      </w:pPr>
    </w:p>
    <w:p>
      <w:pPr>
        <w:ind w:left="5540" w:right="1920" w:hanging="5532"/>
        <w:spacing w:after="0" w:line="440" w:lineRule="auto"/>
        <w:tabs>
          <w:tab w:leader="none" w:pos="3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on December 16, 2019. C-13</w:t>
      </w:r>
    </w:p>
    <w:p>
      <w:pPr>
        <w:sectPr>
          <w:pgSz w:w="11900" w:h="16838" w:orient="portrait"/>
          <w:cols w:equalWidth="0" w:num="1">
            <w:col w:w="1142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77" w:lineRule="exact"/>
        <w:rPr>
          <w:sz w:val="20"/>
          <w:szCs w:val="20"/>
          <w:color w:val="auto"/>
        </w:rPr>
      </w:pPr>
    </w:p>
    <w:p>
      <w:pPr>
        <w:ind w:left="460" w:hanging="452"/>
        <w:spacing w:after="0"/>
        <w:tabs>
          <w:tab w:leader="none" w:pos="460" w:val="left"/>
        </w:tabs>
        <w:numPr>
          <w:ilvl w:val="0"/>
          <w:numId w:val="7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AMERICAN STOCK TRANSFER &amp; TRUST COMPANY, LLC</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jc w:val="center"/>
              <w:ind w:left="355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640" w:type="dxa"/>
            <w:vAlign w:val="bottom"/>
          </w:tcPr>
          <w:p>
            <w:pPr>
              <w:spacing w:after="0"/>
              <w:rPr>
                <w:sz w:val="20"/>
                <w:szCs w:val="20"/>
                <w:color w:val="auto"/>
              </w:rPr>
            </w:pPr>
          </w:p>
        </w:tc>
      </w:tr>
      <w:tr>
        <w:trPr>
          <w:trHeight w:val="318"/>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0"/>
        </w:trPr>
        <w:tc>
          <w:tcPr>
            <w:tcW w:w="778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5"/>
              </w:rPr>
              <w:t>New York</w:t>
            </w:r>
          </w:p>
        </w:tc>
        <w:tc>
          <w:tcPr>
            <w:tcW w:w="3640" w:type="dxa"/>
            <w:vAlign w:val="bottom"/>
          </w:tcPr>
          <w:p>
            <w:pPr>
              <w:jc w:val="center"/>
              <w:ind w:right="1821"/>
              <w:spacing w:after="0"/>
              <w:rPr>
                <w:sz w:val="20"/>
                <w:szCs w:val="20"/>
                <w:color w:val="auto"/>
              </w:rPr>
            </w:pPr>
            <w:r>
              <w:rPr>
                <w:rFonts w:ascii="Arial" w:cs="Arial" w:eastAsia="Arial" w:hAnsi="Arial"/>
                <w:sz w:val="18"/>
                <w:szCs w:val="18"/>
                <w:b w:val="1"/>
                <w:bCs w:val="1"/>
                <w:color w:val="auto"/>
                <w:w w:val="89"/>
              </w:rPr>
              <w:t>13-3439945</w:t>
            </w:r>
          </w:p>
        </w:tc>
      </w:tr>
      <w:tr>
        <w:trPr>
          <w:trHeight w:val="149"/>
        </w:trPr>
        <w:tc>
          <w:tcPr>
            <w:tcW w:w="778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92"/>
              </w:rPr>
              <w:t>(State of incorporation of</w:t>
            </w:r>
          </w:p>
        </w:tc>
        <w:tc>
          <w:tcPr>
            <w:tcW w:w="3640" w:type="dxa"/>
            <w:vAlign w:val="bottom"/>
          </w:tcPr>
          <w:p>
            <w:pPr>
              <w:jc w:val="center"/>
              <w:ind w:righ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78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3"/>
              </w:rPr>
              <w:t>organization if not a U.S. national bank)</w:t>
            </w: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Identification Number)</w:t>
            </w:r>
          </w:p>
        </w:tc>
      </w:tr>
      <w:tr>
        <w:trPr>
          <w:trHeight w:val="367"/>
        </w:trPr>
        <w:tc>
          <w:tcPr>
            <w:tcW w:w="778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6201 15</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Avenue, Brooklyn, New York</w:t>
            </w:r>
          </w:p>
        </w:tc>
        <w:tc>
          <w:tcPr>
            <w:tcW w:w="3640" w:type="dxa"/>
            <w:vAlign w:val="bottom"/>
          </w:tcPr>
          <w:p>
            <w:pPr>
              <w:jc w:val="center"/>
              <w:ind w:right="1801"/>
              <w:spacing w:after="0"/>
              <w:rPr>
                <w:sz w:val="20"/>
                <w:szCs w:val="20"/>
                <w:color w:val="auto"/>
              </w:rPr>
            </w:pPr>
            <w:r>
              <w:rPr>
                <w:rFonts w:ascii="Arial" w:cs="Arial" w:eastAsia="Arial" w:hAnsi="Arial"/>
                <w:sz w:val="18"/>
                <w:szCs w:val="18"/>
                <w:b w:val="1"/>
                <w:bCs w:val="1"/>
                <w:color w:val="auto"/>
                <w:w w:val="87"/>
              </w:rPr>
              <w:t>11219</w:t>
            </w:r>
          </w:p>
        </w:tc>
      </w:tr>
      <w:tr>
        <w:trPr>
          <w:trHeight w:val="186"/>
        </w:trPr>
        <w:tc>
          <w:tcPr>
            <w:tcW w:w="778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4520" w:type="dxa"/>
            <w:vAlign w:val="bottom"/>
          </w:tcPr>
          <w:p>
            <w:pPr>
              <w:spacing w:after="0"/>
              <w:rPr>
                <w:sz w:val="24"/>
                <w:szCs w:val="24"/>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5"/>
              </w:rPr>
              <w:t>Paul H. Kim</w:t>
            </w:r>
          </w:p>
        </w:tc>
        <w:tc>
          <w:tcPr>
            <w:tcW w:w="3640" w:type="dxa"/>
            <w:vAlign w:val="bottom"/>
          </w:tcPr>
          <w:p>
            <w:pPr>
              <w:spacing w:after="0"/>
              <w:rPr>
                <w:sz w:val="24"/>
                <w:szCs w:val="24"/>
                <w:color w:val="auto"/>
              </w:rPr>
            </w:pPr>
          </w:p>
        </w:tc>
      </w:tr>
      <w:tr>
        <w:trPr>
          <w:trHeight w:val="216"/>
        </w:trPr>
        <w:tc>
          <w:tcPr>
            <w:tcW w:w="7780" w:type="dxa"/>
            <w:vAlign w:val="bottom"/>
            <w:gridSpan w:val="3"/>
          </w:tcPr>
          <w:p>
            <w:pPr>
              <w:jc w:val="center"/>
              <w:ind w:left="3578"/>
              <w:spacing w:after="0"/>
              <w:rPr>
                <w:sz w:val="20"/>
                <w:szCs w:val="20"/>
                <w:color w:val="auto"/>
              </w:rPr>
            </w:pPr>
            <w:r>
              <w:rPr>
                <w:rFonts w:ascii="Arial" w:cs="Arial" w:eastAsia="Arial" w:hAnsi="Arial"/>
                <w:sz w:val="18"/>
                <w:szCs w:val="18"/>
                <w:b w:val="1"/>
                <w:bCs w:val="1"/>
                <w:color w:val="auto"/>
                <w:w w:val="92"/>
              </w:rPr>
              <w:t>American Stock Transfer &amp; Trust Company, LLC</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6201 15th Avenue</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Brooklyn, NY 11219</w:t>
            </w:r>
          </w:p>
        </w:tc>
        <w:tc>
          <w:tcPr>
            <w:tcW w:w="364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(718) 921-8183</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86"/>
        </w:trPr>
        <w:tc>
          <w:tcPr>
            <w:tcW w:w="7780" w:type="dxa"/>
            <w:vAlign w:val="bottom"/>
            <w:gridSpan w:val="3"/>
          </w:tcPr>
          <w:p>
            <w:pPr>
              <w:jc w:val="center"/>
              <w:ind w:left="355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640" w:type="dxa"/>
            <w:vAlign w:val="bottom"/>
          </w:tcPr>
          <w:p>
            <w:pPr>
              <w:spacing w:after="0"/>
              <w:rPr>
                <w:sz w:val="16"/>
                <w:szCs w:val="16"/>
                <w:color w:val="auto"/>
              </w:rPr>
            </w:pPr>
          </w:p>
        </w:tc>
      </w:tr>
      <w:tr>
        <w:trPr>
          <w:trHeight w:val="309"/>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2"/>
        </w:trPr>
        <w:tc>
          <w:tcPr>
            <w:tcW w:w="7780" w:type="dxa"/>
            <w:vAlign w:val="bottom"/>
            <w:gridSpan w:val="3"/>
          </w:tcPr>
          <w:p>
            <w:pPr>
              <w:jc w:val="center"/>
              <w:ind w:left="3558"/>
              <w:spacing w:after="0"/>
              <w:rPr>
                <w:sz w:val="20"/>
                <w:szCs w:val="20"/>
                <w:color w:val="auto"/>
              </w:rPr>
            </w:pPr>
            <w:r>
              <w:rPr>
                <w:rFonts w:ascii="Arial" w:cs="Arial" w:eastAsia="Arial" w:hAnsi="Arial"/>
                <w:sz w:val="18"/>
                <w:szCs w:val="18"/>
                <w:b w:val="1"/>
                <w:bCs w:val="1"/>
                <w:color w:val="auto"/>
                <w:w w:val="93"/>
              </w:rPr>
              <w:t>PennantPark Floating Rate Capital Ltd.</w:t>
            </w:r>
          </w:p>
        </w:tc>
        <w:tc>
          <w:tcPr>
            <w:tcW w:w="3640" w:type="dxa"/>
            <w:vAlign w:val="bottom"/>
          </w:tcPr>
          <w:p>
            <w:pPr>
              <w:spacing w:after="0"/>
              <w:rPr>
                <w:sz w:val="24"/>
                <w:szCs w:val="24"/>
                <w:color w:val="auto"/>
              </w:rPr>
            </w:pPr>
          </w:p>
        </w:tc>
      </w:tr>
      <w:tr>
        <w:trPr>
          <w:trHeight w:val="186"/>
        </w:trPr>
        <w:tc>
          <w:tcPr>
            <w:tcW w:w="7780" w:type="dxa"/>
            <w:vAlign w:val="bottom"/>
            <w:gridSpan w:val="3"/>
          </w:tcPr>
          <w:p>
            <w:pPr>
              <w:jc w:val="center"/>
              <w:ind w:left="3558"/>
              <w:spacing w:after="0"/>
              <w:rPr>
                <w:sz w:val="20"/>
                <w:szCs w:val="20"/>
                <w:color w:val="auto"/>
              </w:rPr>
            </w:pPr>
            <w:r>
              <w:rPr>
                <w:rFonts w:ascii="Arial" w:cs="Arial" w:eastAsia="Arial" w:hAnsi="Arial"/>
                <w:sz w:val="14"/>
                <w:szCs w:val="14"/>
                <w:b w:val="1"/>
                <w:bCs w:val="1"/>
                <w:color w:val="auto"/>
                <w:w w:val="91"/>
              </w:rPr>
              <w:t>(Exact name of obligor as specified in its character)</w:t>
            </w:r>
          </w:p>
        </w:tc>
        <w:tc>
          <w:tcPr>
            <w:tcW w:w="3640" w:type="dxa"/>
            <w:vAlign w:val="bottom"/>
          </w:tcPr>
          <w:p>
            <w:pPr>
              <w:spacing w:after="0"/>
              <w:rPr>
                <w:sz w:val="16"/>
                <w:szCs w:val="16"/>
                <w:color w:val="auto"/>
              </w:rPr>
            </w:pPr>
          </w:p>
        </w:tc>
      </w:tr>
      <w:tr>
        <w:trPr>
          <w:trHeight w:val="323"/>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0"/>
        </w:trPr>
        <w:tc>
          <w:tcPr>
            <w:tcW w:w="778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8"/>
              </w:rPr>
              <w:t>Maryland</w:t>
            </w:r>
          </w:p>
        </w:tc>
        <w:tc>
          <w:tcPr>
            <w:tcW w:w="3640" w:type="dxa"/>
            <w:vAlign w:val="bottom"/>
          </w:tcPr>
          <w:p>
            <w:pPr>
              <w:jc w:val="center"/>
              <w:ind w:right="1821"/>
              <w:spacing w:after="0"/>
              <w:rPr>
                <w:sz w:val="20"/>
                <w:szCs w:val="20"/>
                <w:color w:val="auto"/>
              </w:rPr>
            </w:pPr>
            <w:r>
              <w:rPr>
                <w:rFonts w:ascii="Arial" w:cs="Arial" w:eastAsia="Arial" w:hAnsi="Arial"/>
                <w:sz w:val="18"/>
                <w:szCs w:val="18"/>
                <w:b w:val="1"/>
                <w:bCs w:val="1"/>
                <w:color w:val="auto"/>
                <w:w w:val="89"/>
              </w:rPr>
              <w:t>27-3794690</w:t>
            </w:r>
          </w:p>
        </w:tc>
      </w:tr>
      <w:tr>
        <w:trPr>
          <w:trHeight w:val="149"/>
        </w:trPr>
        <w:tc>
          <w:tcPr>
            <w:tcW w:w="7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40" w:type="dxa"/>
            <w:vAlign w:val="bottom"/>
          </w:tcPr>
          <w:p>
            <w:pPr>
              <w:jc w:val="center"/>
              <w:ind w:righ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78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incorporation or organization)</w:t>
            </w: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Identification Number)</w:t>
            </w:r>
          </w:p>
        </w:tc>
      </w:tr>
      <w:tr>
        <w:trPr>
          <w:trHeight w:val="372"/>
        </w:trPr>
        <w:tc>
          <w:tcPr>
            <w:tcW w:w="778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590 Madison Avenue, 15th Floor</w:t>
            </w:r>
          </w:p>
        </w:tc>
        <w:tc>
          <w:tcPr>
            <w:tcW w:w="3640" w:type="dxa"/>
            <w:vAlign w:val="bottom"/>
          </w:tcPr>
          <w:p>
            <w:pPr>
              <w:spacing w:after="0"/>
              <w:rPr>
                <w:sz w:val="24"/>
                <w:szCs w:val="24"/>
                <w:color w:val="auto"/>
              </w:rPr>
            </w:pPr>
          </w:p>
        </w:tc>
      </w:tr>
      <w:tr>
        <w:trPr>
          <w:trHeight w:val="225"/>
        </w:trPr>
        <w:tc>
          <w:tcPr>
            <w:tcW w:w="778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3"/>
              </w:rPr>
              <w:t>New York, NY</w:t>
            </w:r>
          </w:p>
        </w:tc>
        <w:tc>
          <w:tcPr>
            <w:tcW w:w="3640" w:type="dxa"/>
            <w:vAlign w:val="bottom"/>
          </w:tcPr>
          <w:p>
            <w:pPr>
              <w:jc w:val="center"/>
              <w:ind w:right="1821"/>
              <w:spacing w:after="0"/>
              <w:rPr>
                <w:sz w:val="20"/>
                <w:szCs w:val="20"/>
                <w:color w:val="auto"/>
              </w:rPr>
            </w:pPr>
            <w:r>
              <w:rPr>
                <w:rFonts w:ascii="Arial" w:cs="Arial" w:eastAsia="Arial" w:hAnsi="Arial"/>
                <w:sz w:val="18"/>
                <w:szCs w:val="18"/>
                <w:b w:val="1"/>
                <w:bCs w:val="1"/>
                <w:color w:val="auto"/>
                <w:w w:val="91"/>
              </w:rPr>
              <w:t>10022</w:t>
            </w:r>
          </w:p>
        </w:tc>
      </w:tr>
      <w:tr>
        <w:trPr>
          <w:trHeight w:val="186"/>
        </w:trPr>
        <w:tc>
          <w:tcPr>
            <w:tcW w:w="778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2"/>
        </w:trPr>
        <w:tc>
          <w:tcPr>
            <w:tcW w:w="4520" w:type="dxa"/>
            <w:vAlign w:val="bottom"/>
          </w:tcPr>
          <w:p>
            <w:pPr>
              <w:spacing w:after="0"/>
              <w:rPr>
                <w:sz w:val="24"/>
                <w:szCs w:val="24"/>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Debt Securities</w:t>
            </w:r>
          </w:p>
        </w:tc>
        <w:tc>
          <w:tcPr>
            <w:tcW w:w="364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(Title of the Indenture Securities)</w:t>
            </w:r>
          </w:p>
        </w:tc>
        <w:tc>
          <w:tcPr>
            <w:tcW w:w="364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General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1020" w:hanging="566"/>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6120" w:hanging="6"/>
        <w:spacing w:after="0" w:line="483" w:lineRule="auto"/>
        <w:tabs>
          <w:tab w:leader="none" w:pos="1017"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3-15.</w:t>
      </w:r>
    </w:p>
    <w:p>
      <w:pPr>
        <w:spacing w:after="0" w:line="1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Items 3-15 are not applicable because, to the best of the trustee’s knowledge, the obligor is not in default under any indenture for which the trustee acts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84"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15240</wp:posOffset>
            </wp:positionV>
            <wp:extent cx="64662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T-1.1</w:t>
      </w:r>
      <w:r>
        <w:rPr>
          <w:sz w:val="20"/>
          <w:szCs w:val="20"/>
          <w:color w:val="auto"/>
        </w:rPr>
        <w:tab/>
      </w:r>
      <w:r>
        <w:rPr>
          <w:rFonts w:ascii="Arial" w:cs="Arial" w:eastAsia="Arial" w:hAnsi="Arial"/>
          <w:sz w:val="16"/>
          <w:szCs w:val="16"/>
          <w:color w:val="auto"/>
        </w:rPr>
        <w:t>A copy of the Articles of Organization of the Trustee, as amended to date</w:t>
      </w:r>
    </w:p>
    <w:p>
      <w:pPr>
        <w:spacing w:after="0" w:line="117"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T-1.2</w:t>
      </w:r>
      <w:r>
        <w:rPr>
          <w:sz w:val="20"/>
          <w:szCs w:val="20"/>
          <w:color w:val="auto"/>
        </w:rPr>
        <w:tab/>
      </w:r>
      <w:r>
        <w:rPr>
          <w:rFonts w:ascii="Arial" w:cs="Arial" w:eastAsia="Arial" w:hAnsi="Arial"/>
          <w:sz w:val="16"/>
          <w:szCs w:val="16"/>
          <w:color w:val="auto"/>
        </w:rPr>
        <w:t>A copy of the Certificate of Authority of the Trustee to commence business</w:t>
      </w:r>
    </w:p>
    <w:p>
      <w:pPr>
        <w:spacing w:after="0" w:line="117"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T-1.4</w:t>
      </w:r>
      <w:r>
        <w:rPr>
          <w:sz w:val="20"/>
          <w:szCs w:val="20"/>
          <w:color w:val="auto"/>
        </w:rPr>
        <w:tab/>
      </w:r>
      <w:r>
        <w:rPr>
          <w:rFonts w:ascii="Arial" w:cs="Arial" w:eastAsia="Arial" w:hAnsi="Arial"/>
          <w:sz w:val="16"/>
          <w:szCs w:val="16"/>
          <w:color w:val="auto"/>
        </w:rPr>
        <w:t>Limited Liability Trust Company Agreement of the Trustee</w:t>
      </w:r>
    </w:p>
    <w:p>
      <w:pPr>
        <w:spacing w:after="0" w:line="117"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T-1.6</w:t>
      </w:r>
      <w:r>
        <w:rPr>
          <w:sz w:val="20"/>
          <w:szCs w:val="20"/>
          <w:color w:val="auto"/>
        </w:rPr>
        <w:tab/>
      </w:r>
      <w:r>
        <w:rPr>
          <w:rFonts w:ascii="Arial" w:cs="Arial" w:eastAsia="Arial" w:hAnsi="Arial"/>
          <w:sz w:val="16"/>
          <w:szCs w:val="16"/>
          <w:color w:val="auto"/>
        </w:rPr>
        <w:t>The consent of the Trustee required by Section 321(b) of the Trust Indenture Act of 1939</w:t>
      </w:r>
    </w:p>
    <w:p>
      <w:pPr>
        <w:spacing w:after="0" w:line="117"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T-1.7</w:t>
      </w:r>
      <w:r>
        <w:rPr>
          <w:sz w:val="20"/>
          <w:szCs w:val="20"/>
          <w:color w:val="auto"/>
        </w:rPr>
        <w:tab/>
      </w:r>
      <w:r>
        <w:rPr>
          <w:rFonts w:ascii="Arial" w:cs="Arial" w:eastAsia="Arial" w:hAnsi="Arial"/>
          <w:sz w:val="16"/>
          <w:szCs w:val="16"/>
          <w:color w:val="auto"/>
        </w:rPr>
        <w:t>A copy of the latest report of condition of the Trustee published pursuant to law or the requirements of its supervising or examining authority</w:t>
      </w:r>
    </w:p>
    <w:p>
      <w:pPr>
        <w:sectPr>
          <w:pgSz w:w="11900" w:h="16838" w:orient="portrait"/>
          <w:cols w:equalWidth="0" w:num="1">
            <w:col w:w="11400"/>
          </w:cols>
          <w:pgMar w:left="240" w:top="270" w:right="259" w:bottom="1440" w:gutter="0" w:footer="0" w:header="0"/>
        </w:sectPr>
      </w:pPr>
    </w:p>
    <w:bookmarkStart w:id="87" w:name="page88"/>
    <w:bookmarkEnd w:id="8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28</w:t>
      </w:r>
      <w:r>
        <w:rPr>
          <w:rFonts w:ascii="Arial" w:cs="Arial" w:eastAsia="Arial" w:hAnsi="Arial"/>
          <w:sz w:val="14"/>
          <w:szCs w:val="14"/>
          <w:color w:val="auto"/>
        </w:rPr>
        <w:t>th</w:t>
      </w:r>
      <w:r>
        <w:rPr>
          <w:rFonts w:ascii="Arial" w:cs="Arial" w:eastAsia="Arial" w:hAnsi="Arial"/>
          <w:sz w:val="17"/>
          <w:szCs w:val="17"/>
          <w:color w:val="auto"/>
        </w:rPr>
        <w:t xml:space="preserve"> day of January, 2020.</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&amp; TRUST COMPANY,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1240"/>
          </w:cols>
          <w:pgMar w:left="240" w:top="270" w:right="4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ORGANIZATION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by which the limited liability trust company is to be known is American Stock Transfer &amp; Trust Company, LLC.</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place where its principal office is to be located is 59 Maiden Lane, Borough of Manhattan, City, County, and State of New York.</w:t>
      </w:r>
    </w:p>
    <w:p>
      <w:pPr>
        <w:spacing w:after="0" w:line="117" w:lineRule="exact"/>
        <w:rPr>
          <w:sz w:val="20"/>
          <w:szCs w:val="20"/>
          <w:color w:val="auto"/>
        </w:rPr>
      </w:pPr>
    </w:p>
    <w:p>
      <w:pPr>
        <w:ind w:left="820" w:right="240" w:hanging="819"/>
        <w:spacing w:after="0" w:line="277" w:lineRule="auto"/>
        <w:tabs>
          <w:tab w:leader="none" w:pos="80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amount of its capital contributions is to be Five Million Dollars ($5,000,000), and the number of units into which such capital contributions are to be divided is five million (5,000,000) units with a par value of $1.00 each.</w:t>
      </w:r>
    </w:p>
    <w:p>
      <w:pPr>
        <w:spacing w:after="0" w:line="62" w:lineRule="exact"/>
        <w:rPr>
          <w:sz w:val="20"/>
          <w:szCs w:val="20"/>
          <w:color w:val="auto"/>
        </w:rPr>
      </w:pPr>
    </w:p>
    <w:p>
      <w:pPr>
        <w:ind w:left="820" w:right="560" w:hanging="819"/>
        <w:spacing w:after="0" w:line="282" w:lineRule="auto"/>
        <w:tabs>
          <w:tab w:leader="none" w:pos="80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will not have classes or groups of members, therefore there is only one class of members. Each member shall share the same relative rights, powers, preferences, limitations, and voting powers.</w:t>
      </w:r>
    </w:p>
    <w:p>
      <w:pPr>
        <w:spacing w:after="0" w:line="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The name, place of residence, and citizenship of each organizer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Residence</w:t>
            </w:r>
          </w:p>
        </w:tc>
        <w:tc>
          <w:tcPr>
            <w:tcW w:w="352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George Karfunkel</w:t>
            </w:r>
          </w:p>
        </w:tc>
        <w:tc>
          <w:tcPr>
            <w:tcW w:w="1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Brooklyn, NY, USA</w:t>
            </w: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USA</w:t>
            </w:r>
          </w:p>
        </w:tc>
      </w:tr>
      <w:tr>
        <w:trPr>
          <w:trHeight w:val="310"/>
        </w:trPr>
        <w:tc>
          <w:tcPr>
            <w:tcW w:w="4120" w:type="dxa"/>
            <w:vAlign w:val="bottom"/>
            <w:gridSpan w:val="3"/>
          </w:tcPr>
          <w:p>
            <w:pPr>
              <w:spacing w:after="0"/>
              <w:rPr>
                <w:sz w:val="20"/>
                <w:szCs w:val="20"/>
                <w:color w:val="auto"/>
              </w:rPr>
            </w:pPr>
            <w:r>
              <w:rPr>
                <w:rFonts w:ascii="Arial" w:cs="Arial" w:eastAsia="Arial" w:hAnsi="Arial"/>
                <w:sz w:val="18"/>
                <w:szCs w:val="18"/>
                <w:color w:val="auto"/>
              </w:rPr>
              <w:t>Michael Karfunkel</w:t>
            </w:r>
          </w:p>
        </w:tc>
        <w:tc>
          <w:tcPr>
            <w:tcW w:w="3780" w:type="dxa"/>
            <w:vAlign w:val="bottom"/>
            <w:gridSpan w:val="2"/>
          </w:tcPr>
          <w:p>
            <w:pPr>
              <w:spacing w:after="0"/>
              <w:rPr>
                <w:sz w:val="20"/>
                <w:szCs w:val="20"/>
                <w:color w:val="auto"/>
              </w:rPr>
            </w:pPr>
            <w:r>
              <w:rPr>
                <w:rFonts w:ascii="Arial" w:cs="Arial" w:eastAsia="Arial" w:hAnsi="Arial"/>
                <w:sz w:val="18"/>
                <w:szCs w:val="18"/>
                <w:color w:val="auto"/>
              </w:rPr>
              <w:t>Brooklyn, NY, USA</w:t>
            </w:r>
          </w:p>
        </w:tc>
        <w:tc>
          <w:tcPr>
            <w:tcW w:w="3520" w:type="dxa"/>
            <w:vAlign w:val="bottom"/>
          </w:tcPr>
          <w:p>
            <w:pPr>
              <w:spacing w:after="0"/>
              <w:rPr>
                <w:sz w:val="20"/>
                <w:szCs w:val="20"/>
                <w:color w:val="auto"/>
              </w:rPr>
            </w:pPr>
            <w:r>
              <w:rPr>
                <w:rFonts w:ascii="Arial" w:cs="Arial" w:eastAsia="Arial" w:hAnsi="Arial"/>
                <w:sz w:val="18"/>
                <w:szCs w:val="18"/>
                <w:color w:val="auto"/>
              </w:rPr>
              <w:t>USA</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Cameron Blanks</w:t>
            </w:r>
          </w:p>
        </w:tc>
        <w:tc>
          <w:tcPr>
            <w:tcW w:w="3780" w:type="dxa"/>
            <w:vAlign w:val="bottom"/>
            <w:gridSpan w:val="2"/>
          </w:tcPr>
          <w:p>
            <w:pPr>
              <w:spacing w:after="0"/>
              <w:rPr>
                <w:sz w:val="20"/>
                <w:szCs w:val="20"/>
                <w:color w:val="auto"/>
              </w:rPr>
            </w:pPr>
            <w:r>
              <w:rPr>
                <w:rFonts w:ascii="Arial" w:cs="Arial" w:eastAsia="Arial" w:hAnsi="Arial"/>
                <w:sz w:val="18"/>
                <w:szCs w:val="18"/>
                <w:color w:val="auto"/>
              </w:rPr>
              <w:t>Cremorne Point, Australia</w:t>
            </w: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Timothy J. Sims</w:t>
            </w:r>
          </w:p>
        </w:tc>
        <w:tc>
          <w:tcPr>
            <w:tcW w:w="3780" w:type="dxa"/>
            <w:vAlign w:val="bottom"/>
            <w:gridSpan w:val="2"/>
          </w:tcPr>
          <w:p>
            <w:pPr>
              <w:spacing w:after="0"/>
              <w:rPr>
                <w:sz w:val="20"/>
                <w:szCs w:val="20"/>
                <w:color w:val="auto"/>
              </w:rPr>
            </w:pPr>
            <w:r>
              <w:rPr>
                <w:rFonts w:ascii="Arial" w:cs="Arial" w:eastAsia="Arial" w:hAnsi="Arial"/>
                <w:sz w:val="18"/>
                <w:szCs w:val="18"/>
                <w:color w:val="auto"/>
              </w:rPr>
              <w:t>Terrey Hills, Australia</w:t>
            </w: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Paul J. McCullagh</w:t>
            </w:r>
          </w:p>
        </w:tc>
        <w:tc>
          <w:tcPr>
            <w:tcW w:w="3780" w:type="dxa"/>
            <w:vAlign w:val="bottom"/>
            <w:gridSpan w:val="2"/>
          </w:tcPr>
          <w:p>
            <w:pPr>
              <w:spacing w:after="0"/>
              <w:rPr>
                <w:sz w:val="20"/>
                <w:szCs w:val="20"/>
                <w:color w:val="auto"/>
              </w:rPr>
            </w:pPr>
            <w:r>
              <w:rPr>
                <w:rFonts w:ascii="Arial" w:cs="Arial" w:eastAsia="Arial" w:hAnsi="Arial"/>
                <w:sz w:val="18"/>
                <w:szCs w:val="18"/>
                <w:color w:val="auto"/>
              </w:rPr>
              <w:t>Tamarama, Australia</w:t>
            </w: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Joseph John O’Brien</w:t>
            </w:r>
          </w:p>
        </w:tc>
        <w:tc>
          <w:tcPr>
            <w:tcW w:w="3780" w:type="dxa"/>
            <w:vAlign w:val="bottom"/>
            <w:gridSpan w:val="2"/>
          </w:tcPr>
          <w:p>
            <w:pPr>
              <w:spacing w:after="0"/>
              <w:rPr>
                <w:sz w:val="20"/>
                <w:szCs w:val="20"/>
                <w:color w:val="auto"/>
              </w:rPr>
            </w:pPr>
            <w:r>
              <w:rPr>
                <w:rFonts w:ascii="Arial" w:cs="Arial" w:eastAsia="Arial" w:hAnsi="Arial"/>
                <w:sz w:val="18"/>
                <w:szCs w:val="18"/>
                <w:color w:val="auto"/>
              </w:rPr>
              <w:t>Bondi Beach, Australia</w:t>
            </w:r>
          </w:p>
        </w:tc>
        <w:tc>
          <w:tcPr>
            <w:tcW w:w="3520" w:type="dxa"/>
            <w:vAlign w:val="bottom"/>
          </w:tcPr>
          <w:p>
            <w:pPr>
              <w:spacing w:after="0"/>
              <w:rPr>
                <w:sz w:val="20"/>
                <w:szCs w:val="20"/>
                <w:color w:val="auto"/>
              </w:rPr>
            </w:pPr>
            <w:r>
              <w:rPr>
                <w:rFonts w:ascii="Arial" w:cs="Arial" w:eastAsia="Arial" w:hAnsi="Arial"/>
                <w:sz w:val="18"/>
                <w:szCs w:val="18"/>
                <w:color w:val="auto"/>
              </w:rPr>
              <w:t>USA</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Jay F. Krehbiel</w:t>
            </w:r>
          </w:p>
        </w:tc>
        <w:tc>
          <w:tcPr>
            <w:tcW w:w="3780" w:type="dxa"/>
            <w:vAlign w:val="bottom"/>
            <w:gridSpan w:val="2"/>
          </w:tcPr>
          <w:p>
            <w:pPr>
              <w:spacing w:after="0"/>
              <w:rPr>
                <w:sz w:val="20"/>
                <w:szCs w:val="20"/>
                <w:color w:val="auto"/>
              </w:rPr>
            </w:pPr>
            <w:r>
              <w:rPr>
                <w:rFonts w:ascii="Arial" w:cs="Arial" w:eastAsia="Arial" w:hAnsi="Arial"/>
                <w:sz w:val="18"/>
                <w:szCs w:val="18"/>
                <w:color w:val="auto"/>
              </w:rPr>
              <w:t>Darling Point, Australia</w:t>
            </w:r>
          </w:p>
        </w:tc>
        <w:tc>
          <w:tcPr>
            <w:tcW w:w="3520" w:type="dxa"/>
            <w:vAlign w:val="bottom"/>
          </w:tcPr>
          <w:p>
            <w:pPr>
              <w:spacing w:after="0"/>
              <w:rPr>
                <w:sz w:val="20"/>
                <w:szCs w:val="20"/>
                <w:color w:val="auto"/>
              </w:rPr>
            </w:pPr>
            <w:r>
              <w:rPr>
                <w:rFonts w:ascii="Arial" w:cs="Arial" w:eastAsia="Arial" w:hAnsi="Arial"/>
                <w:sz w:val="18"/>
                <w:szCs w:val="18"/>
                <w:color w:val="auto"/>
              </w:rPr>
              <w:t>USA</w:t>
            </w:r>
          </w:p>
        </w:tc>
      </w:tr>
    </w:tbl>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Sixth.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existence of the trust company is to be until December 31, 2030, unless the interest holders agree to extend such date.</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Seventh.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number</w:t>
      </w:r>
      <w:r>
        <w:rPr>
          <w:rFonts w:ascii="Arial" w:cs="Arial" w:eastAsia="Arial" w:hAnsi="Arial"/>
          <w:sz w:val="18"/>
          <w:szCs w:val="18"/>
          <w:color w:val="auto"/>
        </w:rPr>
        <w:t xml:space="preserve"> of managers of the company is to be not less than seven nor more than fifteen.</w:t>
      </w:r>
    </w:p>
    <w:p>
      <w:pPr>
        <w:spacing w:after="0" w:line="117" w:lineRule="exact"/>
        <w:rPr>
          <w:sz w:val="20"/>
          <w:szCs w:val="20"/>
          <w:color w:val="auto"/>
        </w:rPr>
      </w:pPr>
    </w:p>
    <w:p>
      <w:pPr>
        <w:ind w:left="920" w:right="600" w:hanging="919"/>
        <w:spacing w:after="0" w:line="313" w:lineRule="auto"/>
        <w:tabs>
          <w:tab w:leader="none" w:pos="900" w:val="left"/>
        </w:tabs>
        <w:rPr>
          <w:sz w:val="20"/>
          <w:szCs w:val="20"/>
          <w:color w:val="auto"/>
        </w:rPr>
      </w:pPr>
      <w:r>
        <w:rPr>
          <w:rFonts w:ascii="Arial" w:cs="Arial" w:eastAsia="Arial" w:hAnsi="Arial"/>
          <w:sz w:val="17"/>
          <w:szCs w:val="17"/>
          <w:b w:val="1"/>
          <w:bCs w:val="1"/>
          <w:color w:val="auto"/>
        </w:rPr>
        <w:t>Eighth.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names</w:t>
      </w:r>
      <w:r>
        <w:rPr>
          <w:rFonts w:ascii="Arial" w:cs="Arial" w:eastAsia="Arial" w:hAnsi="Arial"/>
          <w:sz w:val="17"/>
          <w:szCs w:val="17"/>
          <w:color w:val="auto"/>
        </w:rPr>
        <w:t xml:space="preserve"> of the organizers who shall manage the company until the first annual meeting of members are as follows: George Karfunkel, Michael Karfunkel, Cameron Blanks, Timothy J. Sims, Paul J. McCullagh, Joseph John O’Brien, and Jay F. Krehbiel.</w:t>
      </w:r>
    </w:p>
    <w:p>
      <w:pPr>
        <w:spacing w:after="0" w:line="30" w:lineRule="exact"/>
        <w:rPr>
          <w:sz w:val="20"/>
          <w:szCs w:val="20"/>
          <w:color w:val="auto"/>
        </w:rPr>
      </w:pPr>
    </w:p>
    <w:p>
      <w:pPr>
        <w:jc w:val="both"/>
        <w:ind w:left="920" w:right="160" w:hanging="919"/>
        <w:spacing w:after="0" w:line="266" w:lineRule="auto"/>
        <w:tabs>
          <w:tab w:leader="none" w:pos="900" w:val="left"/>
        </w:tabs>
        <w:rPr>
          <w:sz w:val="20"/>
          <w:szCs w:val="20"/>
          <w:color w:val="auto"/>
        </w:rPr>
      </w:pPr>
      <w:r>
        <w:rPr>
          <w:rFonts w:ascii="Arial" w:cs="Arial" w:eastAsia="Arial" w:hAnsi="Arial"/>
          <w:sz w:val="18"/>
          <w:szCs w:val="18"/>
          <w:b w:val="1"/>
          <w:bCs w:val="1"/>
          <w:color w:val="auto"/>
        </w:rPr>
        <w:t>Ninth.</w:t>
      </w:r>
      <w:r>
        <w:rPr>
          <w:sz w:val="20"/>
          <w:szCs w:val="20"/>
          <w:color w:val="auto"/>
        </w:rPr>
        <w:tab/>
      </w:r>
      <w:r>
        <w:rPr>
          <w:rFonts w:ascii="Arial" w:cs="Arial" w:eastAsia="Arial" w:hAnsi="Arial"/>
          <w:sz w:val="18"/>
          <w:szCs w:val="18"/>
          <w:color w:val="auto"/>
        </w:rPr>
        <w:t xml:space="preserve">The limited liability </w:t>
      </w:r>
      <w:r>
        <w:rPr>
          <w:rFonts w:ascii="Arial" w:cs="Arial" w:eastAsia="Arial" w:hAnsi="Arial"/>
          <w:sz w:val="18"/>
          <w:szCs w:val="18"/>
          <w:b w:val="1"/>
          <w:bCs w:val="1"/>
          <w:color w:val="auto"/>
        </w:rPr>
        <w:t>trust</w:t>
      </w:r>
      <w:r>
        <w:rPr>
          <w:rFonts w:ascii="Arial" w:cs="Arial" w:eastAsia="Arial" w:hAnsi="Arial"/>
          <w:sz w:val="18"/>
          <w:szCs w:val="18"/>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ectPr>
          <w:pgSz w:w="11900" w:h="16838" w:orient="portrait"/>
          <w:cols w:equalWidth="0" w:num="1">
            <w:col w:w="11420"/>
          </w:cols>
          <w:pgMar w:left="240" w:top="270"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ind w:left="460"/>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day of March 2008.</w:t>
            </w:r>
          </w:p>
        </w:tc>
      </w:tr>
      <w:tr>
        <w:trPr>
          <w:trHeight w:val="48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Karfunkel</w:t>
            </w:r>
          </w:p>
        </w:tc>
        <w:tc>
          <w:tcPr>
            <w:tcW w:w="1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George Karfunkel</w:t>
            </w:r>
          </w:p>
        </w:tc>
        <w:tc>
          <w:tcPr>
            <w:tcW w:w="1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Paul J. McCullagh</w:t>
            </w:r>
          </w:p>
        </w:tc>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Karfunkel</w:t>
            </w:r>
          </w:p>
        </w:tc>
        <w:tc>
          <w:tcPr>
            <w:tcW w:w="1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Michael Karfunkel</w:t>
            </w:r>
          </w:p>
        </w:tc>
        <w:tc>
          <w:tcPr>
            <w:tcW w:w="1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Joseph John O’Brien</w:t>
            </w:r>
          </w:p>
        </w:tc>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5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Cameron Blanks</w:t>
            </w:r>
          </w:p>
        </w:tc>
        <w:tc>
          <w:tcPr>
            <w:tcW w:w="1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Jay F. Krehbiel</w:t>
            </w:r>
          </w:p>
        </w:tc>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5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Timothy J. Sims</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5820" w:type="dxa"/>
            <w:vAlign w:val="bottom"/>
          </w:tcPr>
          <w:p>
            <w:pPr>
              <w:spacing w:after="0"/>
              <w:rPr>
                <w:sz w:val="20"/>
                <w:szCs w:val="20"/>
                <w:color w:val="auto"/>
              </w:rPr>
            </w:pPr>
            <w:r>
              <w:rPr>
                <w:rFonts w:ascii="Arial" w:cs="Arial" w:eastAsia="Arial" w:hAnsi="Arial"/>
                <w:sz w:val="18"/>
                <w:szCs w:val="18"/>
                <w:color w:val="auto"/>
              </w:rPr>
              <w:t>NOTARY:</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8"/>
          <w:szCs w:val="18"/>
          <w:color w:val="auto"/>
        </w:rPr>
        <w:t>State of NY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700" w:hanging="395"/>
        <w:spacing w:after="0"/>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Kings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this 28</w:t>
      </w:r>
      <w:r>
        <w:rPr>
          <w:rFonts w:ascii="Arial" w:cs="Arial" w:eastAsia="Arial" w:hAnsi="Arial"/>
          <w:sz w:val="15"/>
          <w:szCs w:val="15"/>
          <w:color w:val="auto"/>
        </w:rPr>
        <w:t>th</w:t>
      </w:r>
      <w:r>
        <w:rPr>
          <w:rFonts w:ascii="Arial" w:cs="Arial" w:eastAsia="Arial" w:hAnsi="Arial"/>
          <w:sz w:val="18"/>
          <w:szCs w:val="18"/>
          <w:color w:val="auto"/>
        </w:rPr>
        <w:t xml:space="preserve"> day of March, 2008 personally appeared before 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to me known to be the persons described in and who executed the foregoing certificate, and severally acknowledged that they executed the same.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Anthony J. Foti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Anthony J. Foti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01FO6022425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Qualified in Kings County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Expires March 29, 2011</w:t>
      </w:r>
    </w:p>
    <w:p>
      <w:pPr>
        <w:sectPr>
          <w:pgSz w:w="11900" w:h="16838" w:orient="portrait"/>
          <w:cols w:equalWidth="0" w:num="1">
            <w:col w:w="11420"/>
          </w:cols>
          <w:pgMar w:left="240" w:top="25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380" w:type="dxa"/>
            <w:vAlign w:val="bottom"/>
            <w:gridSpan w:val="4"/>
          </w:tcPr>
          <w:p>
            <w:pPr>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480"/>
        </w:trPr>
        <w:tc>
          <w:tcPr>
            <w:tcW w:w="20" w:type="dxa"/>
            <w:vAlign w:val="bottom"/>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J. McCullagh</w:t>
            </w:r>
          </w:p>
        </w:tc>
        <w:tc>
          <w:tcPr>
            <w:tcW w:w="332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George Karfunkel</w:t>
            </w:r>
          </w:p>
        </w:tc>
        <w:tc>
          <w:tcPr>
            <w:tcW w:w="14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3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Cameron Blanks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Timothy J.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State of New South Wales )</w:t>
      </w:r>
    </w:p>
    <w:p>
      <w:pPr>
        <w:spacing w:after="0" w:line="23" w:lineRule="exact"/>
        <w:rPr>
          <w:sz w:val="20"/>
          <w:szCs w:val="20"/>
          <w:color w:val="auto"/>
        </w:rPr>
      </w:pPr>
    </w:p>
    <w:p>
      <w:pPr>
        <w:ind w:left="2380" w:hanging="387"/>
        <w:spacing w:after="0"/>
        <w:tabs>
          <w:tab w:leader="none" w:pos="2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County of Australia</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this 27th day of March, 2008 personally appeared before 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Cameron R.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96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963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Joseph John O’Brien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152400</wp:posOffset>
            </wp:positionV>
            <wp:extent cx="3473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152400</wp:posOffset>
            </wp:positionV>
            <wp:extent cx="3473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257" w:right="2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me known to be the persons described in and who executed the foregoing certificate, and severally acknowledged that they executed the same.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Anthony Bateman</w:t>
      </w:r>
    </w:p>
    <w:p>
      <w:pPr>
        <w:sectPr>
          <w:pgSz w:w="11900" w:h="16838" w:orient="portrait"/>
          <w:cols w:equalWidth="0" w:num="1">
            <w:col w:w="11420"/>
          </w:cols>
          <w:pgMar w:left="240" w:top="257" w:right="2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8100" w:type="dxa"/>
            <w:vAlign w:val="bottom"/>
            <w:gridSpan w:val="5"/>
          </w:tcPr>
          <w:p>
            <w:pPr>
              <w:spacing w:after="0"/>
              <w:rPr>
                <w:sz w:val="20"/>
                <w:szCs w:val="20"/>
                <w:color w:val="auto"/>
              </w:rPr>
            </w:pPr>
            <w:r>
              <w:rPr>
                <w:rFonts w:ascii="Arial" w:cs="Arial" w:eastAsia="Arial" w:hAnsi="Arial"/>
                <w:sz w:val="18"/>
                <w:szCs w:val="18"/>
                <w:color w:val="auto"/>
              </w:rPr>
              <w:t>IN WITNESS WHEREOF, We have made, signed, and acknowledged this certificate in duplicate this</w:t>
            </w:r>
          </w:p>
        </w:tc>
        <w:tc>
          <w:tcPr>
            <w:tcW w:w="332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277"/>
        </w:trPr>
        <w:tc>
          <w:tcPr>
            <w:tcW w:w="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r>
        <w:trPr>
          <w:trHeight w:val="250"/>
        </w:trPr>
        <w:tc>
          <w:tcPr>
            <w:tcW w:w="5820" w:type="dxa"/>
            <w:vAlign w:val="bottom"/>
            <w:gridSpan w:val="2"/>
          </w:tcPr>
          <w:p>
            <w:pPr>
              <w:spacing w:after="0"/>
              <w:rPr>
                <w:sz w:val="20"/>
                <w:szCs w:val="20"/>
                <w:color w:val="auto"/>
              </w:rPr>
            </w:pPr>
            <w:r>
              <w:rPr>
                <w:rFonts w:ascii="Arial" w:cs="Arial" w:eastAsia="Arial" w:hAnsi="Arial"/>
                <w:sz w:val="18"/>
                <w:szCs w:val="18"/>
                <w:color w:val="auto"/>
              </w:rPr>
              <w:t>George Karfunkel</w:t>
            </w:r>
          </w:p>
        </w:tc>
        <w:tc>
          <w:tcPr>
            <w:tcW w:w="14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3320" w:type="dxa"/>
            <w:vAlign w:val="bottom"/>
          </w:tcPr>
          <w:p>
            <w:pPr>
              <w:spacing w:after="0"/>
              <w:rPr>
                <w:sz w:val="21"/>
                <w:szCs w:val="21"/>
                <w:color w:val="auto"/>
              </w:rPr>
            </w:pPr>
          </w:p>
        </w:tc>
      </w:tr>
      <w:tr>
        <w:trPr>
          <w:trHeight w:val="446"/>
        </w:trPr>
        <w:tc>
          <w:tcPr>
            <w:tcW w:w="20" w:type="dxa"/>
            <w:vAlign w:val="bottom"/>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John O’Brien</w:t>
            </w:r>
          </w:p>
        </w:tc>
        <w:tc>
          <w:tcPr>
            <w:tcW w:w="332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Michael Karfunkel</w:t>
            </w:r>
          </w:p>
        </w:tc>
        <w:tc>
          <w:tcPr>
            <w:tcW w:w="14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Joseph John O’Brien</w:t>
            </w:r>
          </w:p>
        </w:tc>
        <w:tc>
          <w:tcPr>
            <w:tcW w:w="332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Cameron Blanks</w:t>
            </w:r>
          </w:p>
        </w:tc>
        <w:tc>
          <w:tcPr>
            <w:tcW w:w="14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Jay F. Krehbiel</w:t>
            </w:r>
          </w:p>
        </w:tc>
        <w:tc>
          <w:tcPr>
            <w:tcW w:w="3320" w:type="dxa"/>
            <w:vAlign w:val="bottom"/>
          </w:tcPr>
          <w:p>
            <w:pPr>
              <w:spacing w:after="0"/>
              <w:rPr>
                <w:sz w:val="19"/>
                <w:szCs w:val="19"/>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Timothy J. Sims</w:t>
            </w:r>
          </w:p>
        </w:tc>
        <w:tc>
          <w:tcPr>
            <w:tcW w:w="1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44"/>
        </w:trPr>
        <w:tc>
          <w:tcPr>
            <w:tcW w:w="580" w:type="dxa"/>
            <w:vAlign w:val="bottom"/>
          </w:tcPr>
          <w:p>
            <w:pPr>
              <w:spacing w:after="0"/>
              <w:rPr>
                <w:sz w:val="24"/>
                <w:szCs w:val="24"/>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NOTARY:</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Kingdom of Thailand</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Bangkok Metropolis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ind w:left="300"/>
              <w:spacing w:after="0"/>
              <w:rPr>
                <w:sz w:val="20"/>
                <w:szCs w:val="20"/>
                <w:color w:val="auto"/>
              </w:rPr>
            </w:pPr>
            <w:r>
              <w:rPr>
                <w:rFonts w:ascii="Arial" w:cs="Arial" w:eastAsia="Arial" w:hAnsi="Arial"/>
                <w:sz w:val="17"/>
                <w:szCs w:val="17"/>
                <w:color w:val="auto"/>
                <w:w w:val="70"/>
              </w:rPr>
              <w:t>ss</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gridSpan w:val="4"/>
          </w:tcPr>
          <w:p>
            <w:pPr>
              <w:ind w:left="60"/>
              <w:spacing w:after="0"/>
              <w:rPr>
                <w:sz w:val="20"/>
                <w:szCs w:val="20"/>
                <w:color w:val="auto"/>
              </w:rPr>
            </w:pPr>
            <w:r>
              <w:rPr>
                <w:rFonts w:ascii="Arial" w:cs="Arial" w:eastAsia="Arial" w:hAnsi="Arial"/>
                <w:sz w:val="18"/>
                <w:szCs w:val="18"/>
                <w:color w:val="auto"/>
              </w:rPr>
              <w:t>Embassy of the United States of America</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State of</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County of</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w w:val="98"/>
              </w:rPr>
              <w:t>On this</w:t>
            </w:r>
          </w:p>
        </w:tc>
        <w:tc>
          <w:tcPr>
            <w:tcW w:w="720" w:type="dxa"/>
            <w:vAlign w:val="bottom"/>
            <w:tcBorders>
              <w:bottom w:val="single" w:sz="8" w:color="auto"/>
            </w:tcBorders>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day of</w:t>
            </w:r>
          </w:p>
        </w:tc>
        <w:tc>
          <w:tcPr>
            <w:tcW w:w="1160" w:type="dxa"/>
            <w:vAlign w:val="bottom"/>
          </w:tcPr>
          <w:p>
            <w:pPr>
              <w:ind w:left="140"/>
              <w:spacing w:after="0"/>
              <w:rPr>
                <w:sz w:val="20"/>
                <w:szCs w:val="20"/>
                <w:color w:val="auto"/>
              </w:rPr>
            </w:pPr>
            <w:r>
              <w:rPr>
                <w:rFonts w:ascii="Arial" w:cs="Arial" w:eastAsia="Arial" w:hAnsi="Arial"/>
                <w:sz w:val="18"/>
                <w:szCs w:val="18"/>
                <w:color w:val="auto"/>
                <w:w w:val="94"/>
              </w:rPr>
              <w:t>Mar 27 2008,</w:t>
            </w:r>
          </w:p>
        </w:tc>
        <w:tc>
          <w:tcPr>
            <w:tcW w:w="720" w:type="dxa"/>
            <w:vAlign w:val="bottom"/>
            <w:tcBorders>
              <w:bottom w:val="single" w:sz="8" w:color="auto"/>
            </w:tcBorders>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w w:val="93"/>
              </w:rPr>
              <w:t>personally appeared before me</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72325"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23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to be the persons described in and who executed the foregoing certificate, and severally acknowledged that they executed the same.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Chamnannuch Scherer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Consular Associate of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Indefinite</w:t>
      </w:r>
    </w:p>
    <w:p>
      <w:pPr>
        <w:sectPr>
          <w:pgSz w:w="11900" w:h="16838" w:orient="portrait"/>
          <w:cols w:equalWidth="0" w:num="1">
            <w:col w:w="11420"/>
          </w:cols>
          <w:pgMar w:left="240" w:top="25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172085</wp:posOffset>
            </wp:positionV>
            <wp:extent cx="3567430" cy="10204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743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i w:val="1"/>
          <w:iCs w:val="1"/>
          <w:color w:val="auto"/>
        </w:rPr>
        <w:t>the Articles of Organization of</w:t>
      </w:r>
      <w:r>
        <w:rPr>
          <w:rFonts w:ascii="Arial" w:cs="Arial" w:eastAsia="Arial" w:hAnsi="Arial"/>
          <w:sz w:val="16"/>
          <w:szCs w:val="16"/>
          <w:b w:val="1"/>
          <w:bCs w:val="1"/>
          <w:i w:val="1"/>
          <w:iCs w:val="1"/>
          <w:color w:val="auto"/>
        </w:rPr>
        <w:t xml:space="preserve"> AMERICAN STOCK TRANSFER &amp; TRUST COMPANY, LLC, </w:t>
      </w:r>
      <w:r>
        <w:rPr>
          <w:rFonts w:ascii="Arial" w:cs="Arial" w:eastAsia="Arial" w:hAnsi="Arial"/>
          <w:sz w:val="16"/>
          <w:szCs w:val="16"/>
          <w:i w:val="1"/>
          <w:iCs w:val="1"/>
          <w:color w:val="auto"/>
        </w:rPr>
        <w:t>of New York, New York, have heretofore been duly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approved and said </w:t>
      </w:r>
      <w:r>
        <w:rPr>
          <w:rFonts w:ascii="Arial" w:cs="Arial" w:eastAsia="Arial" w:hAnsi="Arial"/>
          <w:sz w:val="16"/>
          <w:szCs w:val="16"/>
          <w:b w:val="1"/>
          <w:bCs w:val="1"/>
          <w:i w:val="1"/>
          <w:iCs w:val="1"/>
          <w:color w:val="auto"/>
        </w:rPr>
        <w:t>AMERICAN STOCK TRANSFER &amp; TRUST COMPANY, LLC</w:t>
      </w:r>
      <w:r>
        <w:rPr>
          <w:rFonts w:ascii="Arial" w:cs="Arial" w:eastAsia="Arial" w:hAnsi="Arial"/>
          <w:sz w:val="16"/>
          <w:szCs w:val="16"/>
          <w:i w:val="1"/>
          <w:iCs w:val="1"/>
          <w:color w:val="auto"/>
        </w:rPr>
        <w:t xml:space="preserve"> has complied with the provisions of Chapter 2 of the Consolidated Laws,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Now Therefore I, David S. Fredsall, as Deputy Superintendent of Banks of the State of New York, do hereby authorize the said </w:t>
      </w:r>
      <w:r>
        <w:rPr>
          <w:rFonts w:ascii="Arial" w:cs="Arial" w:eastAsia="Arial" w:hAnsi="Arial"/>
          <w:sz w:val="18"/>
          <w:szCs w:val="18"/>
          <w:b w:val="1"/>
          <w:bCs w:val="1"/>
          <w:i w:val="1"/>
          <w:iCs w:val="1"/>
          <w:color w:val="auto"/>
        </w:rPr>
        <w:t>AMERICAN STOCK</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TRANSFER &amp; TRUST COMPANY, LLC </w:t>
      </w:r>
      <w:r>
        <w:rPr>
          <w:rFonts w:ascii="Arial" w:cs="Arial" w:eastAsia="Arial" w:hAnsi="Arial"/>
          <w:sz w:val="18"/>
          <w:szCs w:val="18"/>
          <w:i w:val="1"/>
          <w:iCs w:val="1"/>
          <w:color w:val="auto"/>
        </w:rPr>
        <w:t>to transact the business of a Limited Liability Trust Company, at 59 Maiden Lane, Borough of Manhattan, City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New York within this State.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 Witness Whereof, </w:t>
      </w:r>
      <w:r>
        <w:rPr>
          <w:rFonts w:ascii="Arial" w:cs="Arial" w:eastAsia="Arial" w:hAnsi="Arial"/>
          <w:sz w:val="18"/>
          <w:szCs w:val="18"/>
          <w:i w:val="1"/>
          <w:iCs w:val="1"/>
          <w:color w:val="auto"/>
        </w:rPr>
        <w:t>I have hereunto set my hand and affixed the official seal of the Banking Department, this 30</w:t>
      </w:r>
      <w:r>
        <w:rPr>
          <w:rFonts w:ascii="Arial" w:cs="Arial" w:eastAsia="Arial" w:hAnsi="Arial"/>
          <w:sz w:val="15"/>
          <w:szCs w:val="15"/>
          <w:i w:val="1"/>
          <w:iCs w:val="1"/>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day of May in the year two thousand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eight.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Fredsall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Deputy Superintendent of Banks</w:t>
      </w:r>
    </w:p>
    <w:p>
      <w:pPr>
        <w:sectPr>
          <w:pgSz w:w="11900" w:h="16838" w:orient="portrait"/>
          <w:cols w:equalWidth="0" w:num="1">
            <w:col w:w="11420"/>
          </w:cols>
          <w:pgMar w:left="240" w:top="270"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TRUST COMPANY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ind w:firstLine="1027"/>
        <w:spacing w:after="0" w:line="276" w:lineRule="auto"/>
        <w:rPr>
          <w:sz w:val="20"/>
          <w:szCs w:val="20"/>
          <w:color w:val="auto"/>
        </w:rPr>
      </w:pPr>
      <w:r>
        <w:rPr>
          <w:rFonts w:ascii="Arial" w:cs="Arial" w:eastAsia="Arial" w:hAnsi="Arial"/>
          <w:sz w:val="17"/>
          <w:szCs w:val="17"/>
          <w:color w:val="auto"/>
        </w:rPr>
        <w:t>THIS THIRD AMENDED AND RESTATED LIMITED LIABILITY TRUST COMPANY AGREEMENT (as amended, amended and restated, supplemented or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of American Stock Transfer &amp; Trust Company, LLC (the “</w:t>
      </w:r>
      <w:r>
        <w:rPr>
          <w:rFonts w:ascii="Arial" w:cs="Arial" w:eastAsia="Arial" w:hAnsi="Arial"/>
          <w:sz w:val="17"/>
          <w:szCs w:val="17"/>
          <w:u w:val="single" w:color="auto"/>
          <w:color w:val="auto"/>
        </w:rPr>
        <w:t>Company</w:t>
      </w:r>
      <w:r>
        <w:rPr>
          <w:rFonts w:ascii="Arial" w:cs="Arial" w:eastAsia="Arial" w:hAnsi="Arial"/>
          <w:sz w:val="17"/>
          <w:szCs w:val="17"/>
          <w:color w:val="auto"/>
        </w:rPr>
        <w:t>”) dated as of this 29th day of June, 2015, by Armor Holding II LLC, as the sole member of the Company (the “</w:t>
      </w:r>
      <w:r>
        <w:rPr>
          <w:rFonts w:ascii="Arial" w:cs="Arial" w:eastAsia="Arial" w:hAnsi="Arial"/>
          <w:sz w:val="17"/>
          <w:szCs w:val="17"/>
          <w:u w:val="single" w:color="auto"/>
          <w:color w:val="auto"/>
        </w:rPr>
        <w:t>Member</w:t>
      </w:r>
      <w:r>
        <w:rPr>
          <w:rFonts w:ascii="Arial" w:cs="Arial" w:eastAsia="Arial" w:hAnsi="Arial"/>
          <w:sz w:val="17"/>
          <w:szCs w:val="17"/>
          <w:color w:val="auto"/>
        </w:rPr>
        <w:t>”) amends and restates the Second Amended and Restated Limited Liability Trust Company Agreement of the Company dated as of June 26, 2013 (as amended by that certain First Amendment to the Second Amended and Restated Limited Liability Trust Company Agreement of the Company dated as of April 23, 2014) in its entirety.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jc w:val="both"/>
        <w:ind w:right="80" w:firstLine="1027"/>
        <w:spacing w:after="0" w:line="259" w:lineRule="auto"/>
        <w:rPr>
          <w:sz w:val="20"/>
          <w:szCs w:val="20"/>
          <w:color w:val="auto"/>
        </w:rPr>
      </w:pPr>
      <w:r>
        <w:rPr>
          <w:rFonts w:ascii="Arial" w:cs="Arial" w:eastAsia="Arial" w:hAnsi="Arial"/>
          <w:sz w:val="18"/>
          <w:szCs w:val="18"/>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the Banking Law of the State of New York and any successor statute, as amended from time to time (the “</w:t>
      </w:r>
      <w:r>
        <w:rPr>
          <w:rFonts w:ascii="Arial" w:cs="Arial" w:eastAsia="Arial" w:hAnsi="Arial"/>
          <w:sz w:val="18"/>
          <w:szCs w:val="18"/>
          <w:u w:val="single" w:color="auto"/>
          <w:color w:val="auto"/>
        </w:rPr>
        <w:t>Banking Law</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Limited Liability Trust Company</w:t>
      </w:r>
    </w:p>
    <w:p>
      <w:pPr>
        <w:spacing w:after="0" w:line="211" w:lineRule="exact"/>
        <w:rPr>
          <w:sz w:val="20"/>
          <w:szCs w:val="20"/>
          <w:color w:val="auto"/>
        </w:rPr>
      </w:pPr>
    </w:p>
    <w:p>
      <w:pPr>
        <w:ind w:right="100" w:firstLine="1027"/>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Formation</w:t>
      </w:r>
      <w:r>
        <w:rPr>
          <w:rFonts w:ascii="Arial" w:cs="Arial" w:eastAsia="Arial" w:hAnsi="Arial"/>
          <w:sz w:val="17"/>
          <w:szCs w:val="17"/>
          <w:color w:val="auto"/>
        </w:rPr>
        <w:t>.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63" w:lineRule="exact"/>
        <w:rPr>
          <w:sz w:val="20"/>
          <w:szCs w:val="20"/>
          <w:color w:val="auto"/>
        </w:rPr>
      </w:pPr>
    </w:p>
    <w:p>
      <w:pPr>
        <w:ind w:right="260" w:firstLine="102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Name</w:t>
      </w:r>
      <w:r>
        <w:rPr>
          <w:rFonts w:ascii="Arial" w:cs="Arial" w:eastAsia="Arial" w:hAnsi="Arial"/>
          <w:sz w:val="18"/>
          <w:szCs w:val="18"/>
          <w:color w:val="auto"/>
        </w:rPr>
        <w:t>. The name of the Company shall be “American Stock Transfer &amp;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Business Purpose</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Powers</w:t>
      </w:r>
      <w:r>
        <w:rPr>
          <w:rFonts w:ascii="Arial" w:cs="Arial" w:eastAsia="Arial" w:hAnsi="Arial"/>
          <w:sz w:val="18"/>
          <w:szCs w:val="18"/>
          <w:color w:val="auto"/>
        </w:rPr>
        <w:t>. The purposes for which the Company is formed are:</w:t>
      </w:r>
    </w:p>
    <w:p>
      <w:pPr>
        <w:spacing w:after="0" w:line="117" w:lineRule="exact"/>
        <w:rPr>
          <w:sz w:val="20"/>
          <w:szCs w:val="20"/>
          <w:color w:val="auto"/>
        </w:rPr>
      </w:pPr>
    </w:p>
    <w:p>
      <w:pPr>
        <w:ind w:right="140" w:firstLine="1035"/>
        <w:spacing w:after="0" w:line="312" w:lineRule="auto"/>
        <w:tabs>
          <w:tab w:leader="none" w:pos="12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94" w:name="page95"/>
    <w:bookmarkEnd w:id="94"/>
    <w:p>
      <w:pPr>
        <w:ind w:left="1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in furtherance of the foregoing, to engage in any lawful act or activity for which limited liability trust companies may be formed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Banking Law.</w:t>
      </w:r>
    </w:p>
    <w:p>
      <w:pPr>
        <w:spacing w:after="0" w:line="103" w:lineRule="exact"/>
        <w:rPr>
          <w:sz w:val="20"/>
          <w:szCs w:val="20"/>
          <w:color w:val="auto"/>
        </w:rPr>
      </w:pPr>
    </w:p>
    <w:p>
      <w:pPr>
        <w:ind w:firstLine="1027"/>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Registered Office and Agent</w:t>
      </w:r>
      <w:r>
        <w:rPr>
          <w:rFonts w:ascii="Arial" w:cs="Arial" w:eastAsia="Arial" w:hAnsi="Arial"/>
          <w:sz w:val="18"/>
          <w:szCs w:val="18"/>
          <w:color w:val="auto"/>
        </w:rPr>
        <w:t>.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i w:val="1"/>
          <w:iCs w:val="1"/>
          <w:u w:val="single" w:color="auto"/>
          <w:color w:val="auto"/>
        </w:rPr>
        <w:t>Term</w:t>
      </w:r>
      <w:r>
        <w:rPr>
          <w:rFonts w:ascii="Arial" w:cs="Arial" w:eastAsia="Arial" w:hAnsi="Arial"/>
          <w:sz w:val="16"/>
          <w:szCs w:val="16"/>
          <w:color w:val="auto"/>
        </w:rPr>
        <w:t>. Subject to the provisions of Article 6 below, the Company shall continue until December 31, 2030, unless the Members agree to extend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date.</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The Member</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The Member</w:t>
      </w:r>
      <w:r>
        <w:rPr>
          <w:rFonts w:ascii="Arial" w:cs="Arial" w:eastAsia="Arial" w:hAnsi="Arial"/>
          <w:sz w:val="18"/>
          <w:szCs w:val="18"/>
          <w:color w:val="auto"/>
        </w:rPr>
        <w:t>. The name and address of the Member is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28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Address</w:t>
            </w:r>
          </w:p>
        </w:tc>
        <w:tc>
          <w:tcPr>
            <w:tcW w:w="880" w:type="dxa"/>
            <w:vAlign w:val="bottom"/>
          </w:tcPr>
          <w:p>
            <w:pPr>
              <w:spacing w:after="0"/>
              <w:rPr>
                <w:sz w:val="14"/>
                <w:szCs w:val="14"/>
                <w:color w:val="auto"/>
              </w:rPr>
            </w:pPr>
          </w:p>
        </w:tc>
      </w:tr>
      <w:tr>
        <w:trPr>
          <w:trHeight w:val="195"/>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rPr>
              <w:t>Armor Holding II LLC</w:t>
            </w:r>
          </w:p>
        </w:tc>
        <w:tc>
          <w:tcPr>
            <w:tcW w:w="480" w:type="dxa"/>
            <w:vAlign w:val="bottom"/>
          </w:tcPr>
          <w:p>
            <w:pPr>
              <w:spacing w:after="0" w:line="195" w:lineRule="exact"/>
              <w:rPr>
                <w:sz w:val="20"/>
                <w:szCs w:val="20"/>
                <w:color w:val="auto"/>
              </w:rPr>
            </w:pPr>
            <w:r>
              <w:rPr>
                <w:rFonts w:ascii="Arial" w:cs="Arial" w:eastAsia="Arial" w:hAnsi="Arial"/>
                <w:sz w:val="18"/>
                <w:szCs w:val="18"/>
                <w:color w:val="auto"/>
              </w:rPr>
              <w:t>6201</w:t>
            </w:r>
          </w:p>
        </w:tc>
        <w:tc>
          <w:tcPr>
            <w:tcW w:w="880" w:type="dxa"/>
            <w:vAlign w:val="bottom"/>
          </w:tcPr>
          <w:p>
            <w:pPr>
              <w:spacing w:after="0" w:line="195" w:lineRule="exact"/>
              <w:rPr>
                <w:sz w:val="20"/>
                <w:szCs w:val="20"/>
                <w:color w:val="auto"/>
              </w:rPr>
            </w:pPr>
            <w:r>
              <w:rPr>
                <w:rFonts w:ascii="Arial" w:cs="Arial" w:eastAsia="Arial" w:hAnsi="Arial"/>
                <w:sz w:val="18"/>
                <w:szCs w:val="18"/>
                <w:color w:val="auto"/>
                <w:w w:val="81"/>
              </w:rPr>
              <w:t>15th Avenue,</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Brooklyn, New York 11219</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0"/>
          <w:szCs w:val="20"/>
          <w:color w:val="auto"/>
        </w:rPr>
      </w:pPr>
    </w:p>
    <w:p>
      <w:pPr>
        <w:jc w:val="both"/>
        <w:ind w:right="160" w:firstLine="1027"/>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Actions by the Member; Meetings</w:t>
      </w:r>
      <w:r>
        <w:rPr>
          <w:rFonts w:ascii="Arial" w:cs="Arial" w:eastAsia="Arial" w:hAnsi="Arial"/>
          <w:sz w:val="18"/>
          <w:szCs w:val="18"/>
          <w:color w:val="auto"/>
        </w:rPr>
        <w:t>. All actions taken by the Member must be duly authorized by the board of managers of the Member (the “</w:t>
      </w:r>
      <w:r>
        <w:rPr>
          <w:rFonts w:ascii="Arial" w:cs="Arial" w:eastAsia="Arial" w:hAnsi="Arial"/>
          <w:sz w:val="18"/>
          <w:szCs w:val="18"/>
          <w:u w:val="single" w:color="auto"/>
          <w:color w:val="auto"/>
        </w:rPr>
        <w:t>Member’s Board</w:t>
      </w:r>
      <w:r>
        <w:rPr>
          <w:rFonts w:ascii="Arial" w:cs="Arial" w:eastAsia="Arial" w:hAnsi="Arial"/>
          <w:sz w:val="18"/>
          <w:szCs w:val="18"/>
          <w:color w:val="auto"/>
        </w:rPr>
        <w:t>”) in accordance with the Shareholders Agreement (as hereinafter defined). Subject to the foregoing sentence, the Member may approve a matter or take any action at a meeting or without a meeting by the written consent of the Member. Meetings of the Member may be called at any time by the Member.</w:t>
      </w:r>
    </w:p>
    <w:p>
      <w:pPr>
        <w:spacing w:after="0" w:line="79" w:lineRule="exact"/>
        <w:rPr>
          <w:sz w:val="20"/>
          <w:szCs w:val="20"/>
          <w:color w:val="auto"/>
        </w:rPr>
      </w:pPr>
    </w:p>
    <w:p>
      <w:pPr>
        <w:ind w:right="240" w:firstLine="102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Liability of the Member</w:t>
      </w:r>
      <w:r>
        <w:rPr>
          <w:rFonts w:ascii="Arial" w:cs="Arial" w:eastAsia="Arial" w:hAnsi="Arial"/>
          <w:sz w:val="18"/>
          <w:szCs w:val="18"/>
          <w:color w:val="auto"/>
        </w:rPr>
        <w:t>.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73" w:lineRule="exact"/>
        <w:rPr>
          <w:sz w:val="20"/>
          <w:szCs w:val="20"/>
          <w:color w:val="auto"/>
        </w:rPr>
      </w:pPr>
    </w:p>
    <w:p>
      <w:pPr>
        <w:ind w:right="300" w:firstLine="102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Power to Bind the Company</w:t>
      </w:r>
      <w:r>
        <w:rPr>
          <w:rFonts w:ascii="Arial" w:cs="Arial" w:eastAsia="Arial" w:hAnsi="Arial"/>
          <w:sz w:val="18"/>
          <w:szCs w:val="18"/>
          <w:color w:val="auto"/>
        </w:rPr>
        <w:t>. Except as required by the Act or the Banking Law, the Member (acting in its capacity as such) shall have no authority to bind the Company to any third party with respect to any matter.</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Admission of Members</w:t>
      </w:r>
      <w:r>
        <w:rPr>
          <w:rFonts w:ascii="Arial" w:cs="Arial" w:eastAsia="Arial" w:hAnsi="Arial"/>
          <w:sz w:val="18"/>
          <w:szCs w:val="18"/>
          <w:i w:val="1"/>
          <w:iCs w:val="1"/>
          <w:color w:val="auto"/>
        </w:rPr>
        <w:t>.</w:t>
      </w:r>
      <w:r>
        <w:rPr>
          <w:rFonts w:ascii="Arial" w:cs="Arial" w:eastAsia="Arial" w:hAnsi="Arial"/>
          <w:sz w:val="18"/>
          <w:szCs w:val="18"/>
          <w:color w:val="auto"/>
        </w:rPr>
        <w:t xml:space="preserve"> New members shall be admitted only upon the prior written approval of the Member.</w:t>
      </w:r>
    </w:p>
    <w:p>
      <w:pPr>
        <w:spacing w:after="0" w:line="117" w:lineRule="exact"/>
        <w:rPr>
          <w:sz w:val="20"/>
          <w:szCs w:val="20"/>
          <w:color w:val="auto"/>
        </w:rPr>
      </w:pPr>
    </w:p>
    <w:p>
      <w:pPr>
        <w:ind w:right="140" w:firstLine="1027"/>
        <w:spacing w:after="0" w:line="30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Engagement of Third Parties</w:t>
      </w:r>
      <w:r>
        <w:rPr>
          <w:rFonts w:ascii="Arial" w:cs="Arial" w:eastAsia="Arial" w:hAnsi="Arial"/>
          <w:sz w:val="16"/>
          <w:szCs w:val="16"/>
          <w:color w:val="auto"/>
        </w:rPr>
        <w:t>.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Management By Board of Managers</w:t>
      </w:r>
      <w:r>
        <w:rPr>
          <w:rFonts w:ascii="Arial" w:cs="Arial" w:eastAsia="Arial" w:hAnsi="Arial"/>
          <w:sz w:val="18"/>
          <w:szCs w:val="18"/>
          <w:color w:val="auto"/>
        </w:rPr>
        <w:t>.</w:t>
      </w:r>
    </w:p>
    <w:p>
      <w:pPr>
        <w:spacing w:after="0" w:line="117" w:lineRule="exact"/>
        <w:rPr>
          <w:sz w:val="20"/>
          <w:szCs w:val="20"/>
          <w:color w:val="auto"/>
        </w:rPr>
      </w:pPr>
    </w:p>
    <w:p>
      <w:pPr>
        <w:ind w:left="-20" w:right="100" w:firstLine="1035"/>
        <w:spacing w:after="0" w:line="255" w:lineRule="auto"/>
        <w:tabs>
          <w:tab w:leader="none" w:pos="12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such matters which are expressly reserved hereunder, under the Act, under the Banking Law or under that certain Fourth Amended and Restated Shareholders Agreement, dated as of June 20, 2014, as amended from time to time, among the Shareholders of Armor Holdco, Inc. and Armor Holdco, Inc.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to the Member for decision, the business and affairs of the Company shall be managed by a board of managers (the “</w:t>
      </w:r>
      <w:r>
        <w:rPr>
          <w:rFonts w:ascii="Arial" w:cs="Arial" w:eastAsia="Arial" w:hAnsi="Arial"/>
          <w:sz w:val="18"/>
          <w:szCs w:val="18"/>
          <w:u w:val="single" w:color="auto"/>
          <w:color w:val="auto"/>
        </w:rPr>
        <w:t>Board</w:t>
      </w:r>
      <w:r>
        <w:rPr>
          <w:rFonts w:ascii="Arial" w:cs="Arial" w:eastAsia="Arial" w:hAnsi="Arial"/>
          <w:sz w:val="18"/>
          <w:szCs w:val="18"/>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Arial" w:cs="Arial" w:eastAsia="Arial" w:hAnsi="Arial"/>
          <w:sz w:val="18"/>
          <w:szCs w:val="18"/>
          <w:u w:val="single" w:color="auto"/>
          <w:color w:val="auto"/>
        </w:rPr>
        <w:t>Managers</w:t>
      </w:r>
      <w:r>
        <w:rPr>
          <w:rFonts w:ascii="Arial" w:cs="Arial" w:eastAsia="Arial" w:hAnsi="Arial"/>
          <w:sz w:val="18"/>
          <w:szCs w:val="18"/>
          <w:color w:val="auto"/>
        </w:rPr>
        <w:t>”). Such Managers shall be determined from time to time by resolution of the Member in accordance with Section 4.2 of the Shareholders Agreement.</w:t>
      </w:r>
    </w:p>
    <w:p>
      <w:pPr>
        <w:spacing w:after="0" w:line="81" w:lineRule="exact"/>
        <w:rPr>
          <w:rFonts w:ascii="Arial" w:cs="Arial" w:eastAsia="Arial" w:hAnsi="Arial"/>
          <w:sz w:val="18"/>
          <w:szCs w:val="18"/>
          <w:color w:val="auto"/>
        </w:rPr>
      </w:pPr>
    </w:p>
    <w:p>
      <w:pPr>
        <w:jc w:val="both"/>
        <w:ind w:left="-20" w:right="180" w:firstLine="1035"/>
        <w:spacing w:after="0" w:line="312" w:lineRule="auto"/>
        <w:tabs>
          <w:tab w:leader="none" w:pos="1272"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Manager shall be elected by the Member and shall serve until his or her successor has been duly elected and qualified, or until his or her earlier removal, resignation, death or disability. Subject to the provisions of clause (iii) below, the Member may remove any Manager from the Board or from any other capacity with the Company at any time, with or without cause. A Manager may resign at any time upon written notice to the Member.</w:t>
      </w:r>
    </w:p>
    <w:p>
      <w:pPr>
        <w:spacing w:after="0" w:line="38" w:lineRule="exact"/>
        <w:rPr>
          <w:rFonts w:ascii="Arial" w:cs="Arial" w:eastAsia="Arial" w:hAnsi="Arial"/>
          <w:sz w:val="16"/>
          <w:szCs w:val="16"/>
          <w:color w:val="auto"/>
        </w:rPr>
      </w:pPr>
    </w:p>
    <w:p>
      <w:pPr>
        <w:ind w:left="-20" w:right="40" w:firstLine="1035"/>
        <w:spacing w:after="0" w:line="297" w:lineRule="auto"/>
        <w:tabs>
          <w:tab w:leader="none" w:pos="1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Member may take all actions that it deems necessary to cause the Board to consist of the same managers who serve on the Member’s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Article 3(a)(i)</w:t>
      </w:r>
      <w:r>
        <w:rPr>
          <w:rFonts w:ascii="Arial" w:cs="Arial" w:eastAsia="Arial" w:hAnsi="Arial"/>
          <w:sz w:val="16"/>
          <w:szCs w:val="16"/>
          <w:color w:val="auto"/>
        </w:rPr>
        <w:t xml:space="preserve">, the number of independent directors who serve on the Board may be greater or less than the number of independent directors who serve on the Member’s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the Board be composed of less than three (3) independent directors. Accordingly, if any person who is a member of the Members’ Board ceases to be a member of such board for any reason, the Member may take such action as is necessary to remove such person from the Board and elect to the Board the person appointed to the Member’s Board in place of such person.</w:t>
      </w:r>
    </w:p>
    <w:p>
      <w:pPr>
        <w:spacing w:after="0" w:line="50" w:lineRule="exact"/>
        <w:rPr>
          <w:rFonts w:ascii="Arial" w:cs="Arial" w:eastAsia="Arial" w:hAnsi="Arial"/>
          <w:sz w:val="16"/>
          <w:szCs w:val="16"/>
          <w:color w:val="auto"/>
        </w:rPr>
      </w:pPr>
    </w:p>
    <w:p>
      <w:pPr>
        <w:ind w:left="-20" w:firstLine="1035"/>
        <w:spacing w:after="0" w:line="264" w:lineRule="auto"/>
        <w:tabs>
          <w:tab w:leader="none" w:pos="13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Action By the Board</w:t>
      </w:r>
      <w:r>
        <w:rPr>
          <w:rFonts w:ascii="Arial" w:cs="Arial" w:eastAsia="Arial" w:hAnsi="Arial"/>
          <w:sz w:val="18"/>
          <w:szCs w:val="18"/>
          <w:color w:val="auto"/>
        </w:rPr>
        <w:t>.</w:t>
      </w:r>
    </w:p>
    <w:p>
      <w:pPr>
        <w:spacing w:after="0" w:line="117" w:lineRule="exact"/>
        <w:rPr>
          <w:sz w:val="20"/>
          <w:szCs w:val="20"/>
          <w:color w:val="auto"/>
        </w:rPr>
      </w:pPr>
    </w:p>
    <w:p>
      <w:pPr>
        <w:ind w:left="-20" w:right="100" w:firstLine="1035"/>
        <w:spacing w:after="0" w:line="259" w:lineRule="auto"/>
        <w:tabs>
          <w:tab w:leader="none" w:pos="122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78" w:lineRule="exact"/>
        <w:rPr>
          <w:rFonts w:ascii="Arial" w:cs="Arial" w:eastAsia="Arial" w:hAnsi="Arial"/>
          <w:sz w:val="18"/>
          <w:szCs w:val="18"/>
          <w:color w:val="auto"/>
        </w:rPr>
      </w:pPr>
    </w:p>
    <w:p>
      <w:pPr>
        <w:ind w:left="-20" w:firstLine="1035"/>
        <w:spacing w:after="0" w:line="264" w:lineRule="auto"/>
        <w:tabs>
          <w:tab w:leader="none" w:pos="12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0" w:right="239" w:bottom="1440" w:gutter="0" w:footer="0" w:header="0"/>
        </w:sectPr>
      </w:pPr>
    </w:p>
    <w:bookmarkStart w:id="96" w:name="page97"/>
    <w:bookmarkEnd w:id="96"/>
    <w:p>
      <w:pPr>
        <w:ind w:right="60" w:firstLine="1027"/>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6"/>
          <w:szCs w:val="16"/>
          <w:i w:val="1"/>
          <w:iCs w:val="1"/>
          <w:u w:val="single" w:color="auto"/>
          <w:color w:val="auto"/>
        </w:rPr>
        <w:t>Power to Bind Company</w:t>
      </w:r>
      <w:r>
        <w:rPr>
          <w:rFonts w:ascii="Arial" w:cs="Arial" w:eastAsia="Arial" w:hAnsi="Arial"/>
          <w:sz w:val="16"/>
          <w:szCs w:val="16"/>
          <w:color w:val="auto"/>
        </w:rPr>
        <w:t>.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Officers and Related Persons</w:t>
      </w:r>
      <w:r>
        <w:rPr>
          <w:rFonts w:ascii="Arial" w:cs="Arial" w:eastAsia="Arial" w:hAnsi="Arial"/>
          <w:sz w:val="18"/>
          <w:szCs w:val="18"/>
          <w:color w:val="auto"/>
        </w:rPr>
        <w:t>.</w:t>
      </w:r>
    </w:p>
    <w:p>
      <w:pPr>
        <w:spacing w:after="0" w:line="117" w:lineRule="exact"/>
        <w:rPr>
          <w:sz w:val="20"/>
          <w:szCs w:val="20"/>
          <w:color w:val="auto"/>
        </w:rPr>
      </w:pPr>
    </w:p>
    <w:p>
      <w:pPr>
        <w:ind w:right="60" w:firstLine="1035"/>
        <w:spacing w:after="0" w:line="276" w:lineRule="auto"/>
        <w:tabs>
          <w:tab w:leader="none" w:pos="124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Structure and Contributions</w:t>
      </w:r>
    </w:p>
    <w:p>
      <w:pPr>
        <w:spacing w:after="0" w:line="211" w:lineRule="exact"/>
        <w:rPr>
          <w:sz w:val="20"/>
          <w:szCs w:val="20"/>
          <w:color w:val="auto"/>
        </w:rPr>
      </w:pPr>
    </w:p>
    <w:p>
      <w:pPr>
        <w:ind w:right="20" w:firstLine="1027"/>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Capital Structure</w:t>
      </w:r>
      <w:r>
        <w:rPr>
          <w:rFonts w:ascii="Arial" w:cs="Arial" w:eastAsia="Arial" w:hAnsi="Arial"/>
          <w:sz w:val="18"/>
          <w:szCs w:val="18"/>
          <w:color w:val="auto"/>
        </w:rPr>
        <w:t>. The capital structure of the Company shall consist of one class of common interests, par value $1.00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In exchange for all of the outstanding shares of American Stock Transfer &amp; Trust Company held by the Member, the 5,000,000 Common Interests shall be issued to the Member. The Member shall own all of the Common Interests issued and outstanding.</w:t>
      </w:r>
    </w:p>
    <w:p>
      <w:pPr>
        <w:spacing w:after="0" w:line="80" w:lineRule="exact"/>
        <w:rPr>
          <w:sz w:val="20"/>
          <w:szCs w:val="20"/>
          <w:color w:val="auto"/>
        </w:rPr>
      </w:pPr>
    </w:p>
    <w:p>
      <w:pPr>
        <w:jc w:val="both"/>
        <w:ind w:right="80" w:firstLine="102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Capital Contributions</w:t>
      </w:r>
      <w:r>
        <w:rPr>
          <w:rFonts w:ascii="Arial" w:cs="Arial" w:eastAsia="Arial" w:hAnsi="Arial"/>
          <w:sz w:val="18"/>
          <w:szCs w:val="18"/>
          <w:color w:val="auto"/>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73" w:lineRule="exact"/>
        <w:rPr>
          <w:sz w:val="20"/>
          <w:szCs w:val="20"/>
          <w:color w:val="auto"/>
        </w:rPr>
      </w:pPr>
    </w:p>
    <w:p>
      <w:pPr>
        <w:ind w:firstLine="102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Right to Issue Certificates</w:t>
      </w:r>
      <w:r>
        <w:rPr>
          <w:rFonts w:ascii="Arial" w:cs="Arial" w:eastAsia="Arial" w:hAnsi="Arial"/>
          <w:sz w:val="18"/>
          <w:szCs w:val="18"/>
          <w:color w:val="auto"/>
        </w:rPr>
        <w:t>. The ownership of a Common Interest by a Member shall be evidenced by a certificate (a “</w:t>
      </w:r>
      <w:r>
        <w:rPr>
          <w:rFonts w:ascii="Arial" w:cs="Arial" w:eastAsia="Arial" w:hAnsi="Arial"/>
          <w:sz w:val="18"/>
          <w:szCs w:val="18"/>
          <w:u w:val="single" w:color="auto"/>
          <w:color w:val="auto"/>
        </w:rPr>
        <w:t>Certificate</w:t>
      </w:r>
      <w:r>
        <w:rPr>
          <w:rFonts w:ascii="Arial" w:cs="Arial" w:eastAsia="Arial" w:hAnsi="Arial"/>
          <w:sz w:val="18"/>
          <w:szCs w:val="18"/>
          <w:color w:val="auto"/>
        </w:rPr>
        <w:t>”) issued by the Company. All Common Interests in the Company shall be securities governed by Article 8 of the Uniform Commercial Code as in effect from time to time in any jurisdiction, including without limitation the State of New York.</w:t>
      </w:r>
    </w:p>
    <w:p>
      <w:pPr>
        <w:spacing w:after="0" w:line="73" w:lineRule="exact"/>
        <w:rPr>
          <w:sz w:val="20"/>
          <w:szCs w:val="20"/>
          <w:color w:val="auto"/>
        </w:rPr>
      </w:pPr>
    </w:p>
    <w:p>
      <w:pPr>
        <w:ind w:right="120" w:firstLine="1027"/>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Form of Certificates</w:t>
      </w:r>
      <w:r>
        <w:rPr>
          <w:rFonts w:ascii="Arial" w:cs="Arial" w:eastAsia="Arial" w:hAnsi="Arial"/>
          <w:sz w:val="18"/>
          <w:szCs w:val="18"/>
          <w:color w:val="auto"/>
        </w:rPr>
        <w:t>.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79" w:lineRule="exact"/>
        <w:rPr>
          <w:sz w:val="20"/>
          <w:szCs w:val="20"/>
          <w:color w:val="auto"/>
        </w:rPr>
      </w:pPr>
    </w:p>
    <w:p>
      <w:pPr>
        <w:ind w:left="1040"/>
        <w:spacing w:after="0" w:line="264"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97" w:name="page98"/>
    <w:bookmarkEnd w:id="97"/>
    <w:p>
      <w:pPr>
        <w:ind w:left="104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80" w:lineRule="exact"/>
        <w:rPr>
          <w:sz w:val="20"/>
          <w:szCs w:val="20"/>
          <w:color w:val="auto"/>
        </w:rPr>
      </w:pPr>
    </w:p>
    <w:p>
      <w:pPr>
        <w:ind w:right="480" w:firstLine="102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Execution</w:t>
      </w:r>
      <w:r>
        <w:rPr>
          <w:rFonts w:ascii="Arial" w:cs="Arial" w:eastAsia="Arial" w:hAnsi="Arial"/>
          <w:sz w:val="18"/>
          <w:szCs w:val="18"/>
          <w:color w:val="auto"/>
        </w:rPr>
        <w:t>. Each Certificate shall be signed by the Chief Executive Officer, the President, the Secretary, an Assistant Secretary or other authorized officer or person of the Company by either manual or facsimile signature.</w:t>
      </w:r>
    </w:p>
    <w:p>
      <w:pPr>
        <w:spacing w:after="0" w:line="62" w:lineRule="exact"/>
        <w:rPr>
          <w:sz w:val="20"/>
          <w:szCs w:val="20"/>
          <w:color w:val="auto"/>
        </w:rPr>
      </w:pPr>
    </w:p>
    <w:p>
      <w:pPr>
        <w:ind w:right="340" w:firstLine="1027"/>
        <w:spacing w:after="0" w:line="34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Registrar</w:t>
      </w:r>
      <w:r>
        <w:rPr>
          <w:rFonts w:ascii="Arial" w:cs="Arial" w:eastAsia="Arial" w:hAnsi="Arial"/>
          <w:sz w:val="16"/>
          <w:szCs w:val="16"/>
          <w:color w:val="auto"/>
        </w:rPr>
        <w:t>.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u w:val="single" w:color="auto"/>
          <w:color w:val="auto"/>
        </w:rPr>
        <w:t>Issuance</w:t>
      </w:r>
      <w:r>
        <w:rPr>
          <w:rFonts w:ascii="Arial" w:cs="Arial" w:eastAsia="Arial" w:hAnsi="Arial"/>
          <w:sz w:val="16"/>
          <w:szCs w:val="16"/>
          <w:color w:val="auto"/>
        </w:rPr>
        <w:t>. The Certificates of the Company shall be numbered and registered in the interest register or transfer books of the Company as they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issued.</w:t>
      </w:r>
    </w:p>
    <w:p>
      <w:pPr>
        <w:spacing w:after="0" w:line="103" w:lineRule="exact"/>
        <w:rPr>
          <w:sz w:val="20"/>
          <w:szCs w:val="20"/>
          <w:color w:val="auto"/>
        </w:rPr>
      </w:pPr>
    </w:p>
    <w:p>
      <w:pPr>
        <w:ind w:right="60" w:firstLine="1027"/>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Common Interest Holder Lists</w:t>
      </w:r>
      <w:r>
        <w:rPr>
          <w:rFonts w:ascii="Arial" w:cs="Arial" w:eastAsia="Arial" w:hAnsi="Arial"/>
          <w:sz w:val="18"/>
          <w:szCs w:val="18"/>
          <w:color w:val="auto"/>
        </w:rPr>
        <w:t>. The Company shall preserve in as current a form as is reasonably practicable the most recent list available to it of the names and addresses of all holders of Common Interests.</w:t>
      </w:r>
    </w:p>
    <w:p>
      <w:pPr>
        <w:spacing w:after="0" w:line="62" w:lineRule="exact"/>
        <w:rPr>
          <w:sz w:val="20"/>
          <w:szCs w:val="20"/>
          <w:color w:val="auto"/>
        </w:rPr>
      </w:pPr>
    </w:p>
    <w:p>
      <w:pPr>
        <w:ind w:firstLine="1027"/>
        <w:spacing w:after="0" w:line="272"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u w:val="single" w:color="auto"/>
          <w:color w:val="auto"/>
        </w:rPr>
        <w:t>Transfer and Exchange</w:t>
      </w:r>
      <w:r>
        <w:rPr>
          <w:rFonts w:ascii="Arial" w:cs="Arial" w:eastAsia="Arial" w:hAnsi="Arial"/>
          <w:sz w:val="17"/>
          <w:szCs w:val="17"/>
          <w:color w:val="auto"/>
        </w:rPr>
        <w:t>.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Governmental Authority or otherwise violate the terms of this Agreement or the Shareholders Agreement.</w:t>
      </w:r>
    </w:p>
    <w:p>
      <w:pPr>
        <w:spacing w:after="0" w:line="70" w:lineRule="exact"/>
        <w:rPr>
          <w:sz w:val="20"/>
          <w:szCs w:val="20"/>
          <w:color w:val="auto"/>
        </w:rPr>
      </w:pPr>
    </w:p>
    <w:p>
      <w:pPr>
        <w:ind w:right="100" w:firstLine="1027"/>
        <w:spacing w:after="0" w:line="279" w:lineRule="auto"/>
        <w:rPr>
          <w:sz w:val="20"/>
          <w:szCs w:val="20"/>
          <w:color w:val="auto"/>
        </w:rPr>
      </w:pPr>
      <w:r>
        <w:rPr>
          <w:rFonts w:ascii="Arial" w:cs="Arial" w:eastAsia="Arial" w:hAnsi="Arial"/>
          <w:sz w:val="17"/>
          <w:szCs w:val="17"/>
          <w:color w:val="auto"/>
        </w:rPr>
        <w:t xml:space="preserve">j. </w:t>
      </w:r>
      <w:r>
        <w:rPr>
          <w:rFonts w:ascii="Arial" w:cs="Arial" w:eastAsia="Arial" w:hAnsi="Arial"/>
          <w:sz w:val="17"/>
          <w:szCs w:val="17"/>
          <w:i w:val="1"/>
          <w:iCs w:val="1"/>
          <w:u w:val="single" w:color="auto"/>
          <w:color w:val="auto"/>
        </w:rPr>
        <w:t>Record Holder</w:t>
      </w:r>
      <w:r>
        <w:rPr>
          <w:rFonts w:ascii="Arial" w:cs="Arial" w:eastAsia="Arial" w:hAnsi="Arial"/>
          <w:sz w:val="17"/>
          <w:szCs w:val="17"/>
          <w:color w:val="auto"/>
        </w:rPr>
        <w:t>.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63" w:lineRule="exact"/>
        <w:rPr>
          <w:sz w:val="20"/>
          <w:szCs w:val="20"/>
          <w:color w:val="auto"/>
        </w:rPr>
      </w:pPr>
    </w:p>
    <w:p>
      <w:pPr>
        <w:ind w:right="40" w:firstLine="1027"/>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i w:val="1"/>
          <w:iCs w:val="1"/>
          <w:u w:val="single" w:color="auto"/>
          <w:color w:val="auto"/>
        </w:rPr>
        <w:t>Replacement Certificates</w:t>
      </w:r>
      <w:r>
        <w:rPr>
          <w:rFonts w:ascii="Arial" w:cs="Arial" w:eastAsia="Arial" w:hAnsi="Arial"/>
          <w:sz w:val="18"/>
          <w:szCs w:val="18"/>
          <w:color w:val="auto"/>
        </w:rPr>
        <w:t>.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98" w:name="page99"/>
    <w:bookmarkEnd w:id="98"/>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Profits, Losses and Distributions</w:t>
      </w:r>
    </w:p>
    <w:p>
      <w:pPr>
        <w:spacing w:after="0" w:line="211" w:lineRule="exact"/>
        <w:rPr>
          <w:sz w:val="20"/>
          <w:szCs w:val="20"/>
          <w:color w:val="auto"/>
        </w:rPr>
      </w:pPr>
    </w:p>
    <w:p>
      <w:pPr>
        <w:ind w:right="60" w:firstLine="1027"/>
        <w:spacing w:after="0" w:line="30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Profits and Losses</w:t>
      </w:r>
      <w:r>
        <w:rPr>
          <w:rFonts w:ascii="Arial" w:cs="Arial" w:eastAsia="Arial" w:hAnsi="Arial"/>
          <w:sz w:val="17"/>
          <w:szCs w:val="17"/>
          <w:color w:val="auto"/>
        </w:rPr>
        <w:t>.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38" w:lineRule="exact"/>
        <w:rPr>
          <w:sz w:val="20"/>
          <w:szCs w:val="20"/>
          <w:color w:val="auto"/>
        </w:rPr>
      </w:pPr>
    </w:p>
    <w:p>
      <w:pPr>
        <w:jc w:val="both"/>
        <w:ind w:right="160" w:firstLine="1027"/>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u w:val="single" w:color="auto"/>
          <w:color w:val="auto"/>
        </w:rPr>
        <w:t>Distributions</w:t>
      </w:r>
      <w:r>
        <w:rPr>
          <w:rFonts w:ascii="Arial" w:cs="Arial" w:eastAsia="Arial" w:hAnsi="Arial"/>
          <w:sz w:val="17"/>
          <w:szCs w:val="17"/>
          <w:color w:val="auto"/>
        </w:rPr>
        <w:t>.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Events of Dissolution</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Company shall be dissolved and its affairs wound up only upon the occurrence of any of the following events (each, an “</w:t>
      </w:r>
      <w:r>
        <w:rPr>
          <w:rFonts w:ascii="Arial" w:cs="Arial" w:eastAsia="Arial" w:hAnsi="Arial"/>
          <w:sz w:val="17"/>
          <w:szCs w:val="17"/>
          <w:u w:val="single" w:color="auto"/>
          <w:color w:val="auto"/>
        </w:rPr>
        <w:t>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The Board votes for dissolution; or</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 A dissolution of the Company under Section 102-a(2) of the Banking Law or Section 701 of the Act.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Transfer of Interests in the Company</w:t>
      </w:r>
    </w:p>
    <w:p>
      <w:pPr>
        <w:spacing w:after="0" w:line="211" w:lineRule="exact"/>
        <w:rPr>
          <w:sz w:val="20"/>
          <w:szCs w:val="20"/>
          <w:color w:val="auto"/>
        </w:rPr>
      </w:pPr>
    </w:p>
    <w:p>
      <w:pPr>
        <w:ind w:firstLine="1027"/>
        <w:spacing w:after="0" w:line="259" w:lineRule="auto"/>
        <w:rPr>
          <w:sz w:val="20"/>
          <w:szCs w:val="20"/>
          <w:color w:val="auto"/>
        </w:rPr>
      </w:pPr>
      <w:r>
        <w:rPr>
          <w:rFonts w:ascii="Arial" w:cs="Arial" w:eastAsia="Arial" w:hAnsi="Arial"/>
          <w:sz w:val="18"/>
          <w:szCs w:val="18"/>
          <w:color w:val="auto"/>
        </w:rPr>
        <w:t>Except upon approval of the Member’s Board in accordance with Section 4.2 of the Member’s Shareholder’s Agreement, 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Exculpation and Indemnification</w:t>
      </w:r>
    </w:p>
    <w:p>
      <w:pPr>
        <w:spacing w:after="0" w:line="211" w:lineRule="exact"/>
        <w:rPr>
          <w:sz w:val="20"/>
          <w:szCs w:val="20"/>
          <w:color w:val="auto"/>
        </w:rPr>
      </w:pPr>
    </w:p>
    <w:p>
      <w:pPr>
        <w:ind w:right="80" w:firstLine="1027"/>
        <w:spacing w:after="0" w:line="27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Exculpation</w:t>
      </w:r>
      <w:r>
        <w:rPr>
          <w:rFonts w:ascii="Arial" w:cs="Arial" w:eastAsia="Arial" w:hAnsi="Arial"/>
          <w:sz w:val="17"/>
          <w:szCs w:val="17"/>
          <w:color w:val="auto"/>
        </w:rPr>
        <w:t>.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Arial" w:cs="Arial" w:eastAsia="Arial" w:hAnsi="Arial"/>
          <w:sz w:val="17"/>
          <w:szCs w:val="17"/>
          <w:u w:val="single" w:color="auto"/>
          <w:color w:val="auto"/>
        </w:rPr>
        <w:t>Covered Person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Covered Persons</w:t>
      </w:r>
      <w:r>
        <w:rPr>
          <w:rFonts w:ascii="Arial" w:cs="Arial" w:eastAsia="Arial" w:hAnsi="Arial"/>
          <w:sz w:val="17"/>
          <w:szCs w:val="17"/>
          <w:color w:val="auto"/>
        </w:rPr>
        <w:t>”) shall be liable to the Company or any other person for any act or omission (in relation to the Company, 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99" w:name="page100"/>
    <w:bookmarkEnd w:id="9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79" w:lineRule="exact"/>
        <w:rPr>
          <w:sz w:val="20"/>
          <w:szCs w:val="20"/>
          <w:color w:val="auto"/>
        </w:rPr>
      </w:pPr>
    </w:p>
    <w:p>
      <w:pPr>
        <w:ind w:firstLine="1027"/>
        <w:spacing w:after="0" w:line="270"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u w:val="single" w:color="auto"/>
          <w:color w:val="auto"/>
        </w:rPr>
        <w:t>Indemnification</w:t>
      </w:r>
      <w:r>
        <w:rPr>
          <w:rFonts w:ascii="Arial" w:cs="Arial" w:eastAsia="Arial" w:hAnsi="Arial"/>
          <w:sz w:val="17"/>
          <w:szCs w:val="17"/>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Arial" w:cs="Arial" w:eastAsia="Arial" w:hAnsi="Arial"/>
          <w:sz w:val="17"/>
          <w:szCs w:val="17"/>
          <w:u w:val="single" w:color="auto"/>
          <w:color w:val="auto"/>
        </w:rPr>
        <w:t>Claims</w:t>
      </w:r>
      <w:r>
        <w:rPr>
          <w:rFonts w:ascii="Arial" w:cs="Arial" w:eastAsia="Arial" w:hAnsi="Arial"/>
          <w:sz w:val="17"/>
          <w:szCs w:val="17"/>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70" w:lineRule="exact"/>
        <w:rPr>
          <w:sz w:val="20"/>
          <w:szCs w:val="20"/>
          <w:color w:val="auto"/>
        </w:rPr>
      </w:pPr>
    </w:p>
    <w:p>
      <w:pPr>
        <w:ind w:right="280" w:firstLine="1027"/>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The Board in its discretion shall have the power to cause the Company to purchase and maintain insurance in accordance with, and subject to, the Act and Banking Law.</w:t>
      </w:r>
    </w:p>
    <w:p>
      <w:pPr>
        <w:spacing w:after="0" w:line="62" w:lineRule="exact"/>
        <w:rPr>
          <w:sz w:val="20"/>
          <w:szCs w:val="20"/>
          <w:color w:val="auto"/>
        </w:rPr>
      </w:pPr>
    </w:p>
    <w:p>
      <w:pPr>
        <w:ind w:right="20" w:firstLine="1027"/>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Amendments</w:t>
      </w:r>
      <w:r>
        <w:rPr>
          <w:rFonts w:ascii="Arial" w:cs="Arial" w:eastAsia="Arial" w:hAnsi="Arial"/>
          <w:sz w:val="18"/>
          <w:szCs w:val="18"/>
          <w:color w:val="auto"/>
        </w:rPr>
        <w:t>.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right="60" w:firstLine="1027"/>
        <w:spacing w:after="0" w:line="31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Tax Treatment</w:t>
      </w:r>
      <w:r>
        <w:rPr>
          <w:rFonts w:ascii="Arial" w:cs="Arial" w:eastAsia="Arial" w:hAnsi="Arial"/>
          <w:sz w:val="16"/>
          <w:szCs w:val="16"/>
          <w:color w:val="auto"/>
        </w:rPr>
        <w:t>.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39" w:lineRule="exact"/>
        <w:rPr>
          <w:sz w:val="20"/>
          <w:szCs w:val="20"/>
          <w:color w:val="auto"/>
        </w:rPr>
      </w:pPr>
    </w:p>
    <w:p>
      <w:pPr>
        <w:ind w:right="740" w:firstLine="102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Amendments</w:t>
      </w:r>
      <w:r>
        <w:rPr>
          <w:rFonts w:ascii="Arial" w:cs="Arial" w:eastAsia="Arial" w:hAnsi="Arial"/>
          <w:sz w:val="18"/>
          <w:szCs w:val="18"/>
          <w:color w:val="auto"/>
        </w:rPr>
        <w:t>.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73" w:lineRule="exact"/>
        <w:rPr>
          <w:sz w:val="20"/>
          <w:szCs w:val="20"/>
          <w:color w:val="auto"/>
        </w:rPr>
      </w:pPr>
    </w:p>
    <w:p>
      <w:pPr>
        <w:ind w:right="240" w:firstLine="102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Severability</w:t>
      </w:r>
      <w:r>
        <w:rPr>
          <w:rFonts w:ascii="Arial" w:cs="Arial" w:eastAsia="Arial" w:hAnsi="Arial"/>
          <w:sz w:val="18"/>
          <w:szCs w:val="18"/>
          <w:color w:val="auto"/>
        </w:rPr>
        <w:t>.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00" w:name="page101"/>
    <w:bookmarkEnd w:id="100"/>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6" w:lineRule="exact"/>
        <w:rPr>
          <w:sz w:val="20"/>
          <w:szCs w:val="20"/>
          <w:color w:val="auto"/>
        </w:rPr>
      </w:pPr>
    </w:p>
    <w:p>
      <w:pPr>
        <w:ind w:firstLine="102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the principles of conflicts of laws thereof.</w:t>
      </w:r>
    </w:p>
    <w:p>
      <w:pPr>
        <w:spacing w:after="0" w:line="62" w:lineRule="exact"/>
        <w:rPr>
          <w:sz w:val="20"/>
          <w:szCs w:val="20"/>
          <w:color w:val="auto"/>
        </w:rPr>
      </w:pPr>
    </w:p>
    <w:p>
      <w:pPr>
        <w:ind w:right="260" w:firstLine="102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Limited Liability Trust Company</w:t>
      </w:r>
      <w:r>
        <w:rPr>
          <w:rFonts w:ascii="Arial" w:cs="Arial" w:eastAsia="Arial" w:hAnsi="Arial"/>
          <w:sz w:val="18"/>
          <w:szCs w:val="18"/>
          <w:color w:val="auto"/>
        </w:rPr>
        <w:t>. The Member intends to form a limited liability trust company and does not intend to form a partnership under the laws of the State of New York or any other laws.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duly executed this Agreement as of the date first written above.</w:t>
      </w: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auto"/>
        </w:rPr>
        <w:t>ARMOR HOLDING II LLC</w:t>
      </w:r>
      <w:r>
        <w:rPr>
          <w:rFonts w:ascii="Arial" w:cs="Arial" w:eastAsia="Arial" w:hAnsi="Arial"/>
          <w:sz w:val="17"/>
          <w:szCs w:val="17"/>
          <w:color w:val="auto"/>
        </w:rPr>
        <w:t>, as sole member</w:t>
      </w: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Martin G. Flanigan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Third Amended and Restated Limited Liability Trust Company Agreement]</w:t>
      </w:r>
    </w:p>
    <w:p>
      <w:pPr>
        <w:sectPr>
          <w:pgSz w:w="11900" w:h="16838" w:orient="portrait"/>
          <w:cols w:equalWidth="0" w:num="1">
            <w:col w:w="9240"/>
          </w:cols>
          <w:pgMar w:left="1280" w:top="274" w:right="13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w:t>
      </w:r>
    </w:p>
    <w:p>
      <w:pPr>
        <w:spacing w:after="0" w:line="25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6"/>
          <w:szCs w:val="16"/>
          <w:color w:val="auto"/>
        </w:rPr>
        <w:t>Common Interest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liability trust company formed under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Trust Company Common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_________________________________ is the owner of _______ fully paid and non-assessable Common Interests of the above-named</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and is entitled to the full benefits and privileges of such Common Interest, subject to the duties and obligations, as more fully set forth in the Agreements. This Certificate is transferable on the books of the Company by the holder hereof in person or by duly authorized attorney upon surrender of this Certificate properly endorsed.</w:t>
      </w:r>
    </w:p>
    <w:p>
      <w:pPr>
        <w:spacing w:after="0" w:line="186" w:lineRule="exact"/>
        <w:rPr>
          <w:sz w:val="20"/>
          <w:szCs w:val="20"/>
          <w:color w:val="auto"/>
        </w:rPr>
      </w:pPr>
    </w:p>
    <w:p>
      <w:pPr>
        <w:ind w:right="460" w:firstLine="102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said Limited Liability Company has caused this Certificate, and the Common Interest it represents,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duly authorized officer this ___ day of ______, 20__.</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Third Amended and Restated Limited Liability Trust Company Agreement]</w:t>
      </w:r>
    </w:p>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1420"/>
          </w:cols>
          <w:pgMar w:left="240" w:top="270" w:right="239" w:bottom="1440" w:gutter="0" w:footer="0" w:header="0"/>
        </w:sectPr>
      </w:pPr>
    </w:p>
    <w:bookmarkStart w:id="104" w:name="page105"/>
    <w:bookmarkEnd w:id="104"/>
    <w:p>
      <w:pPr>
        <w:ind w:left="9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5213985" cy="6483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648335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312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583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consent to the incorporation by reference in this Pre-Effective Amendment No. 1 to the Registration Statement (No. 333-235532) on Form N-2 of PennantPark Floating Rate Capital Ltd. of our reports dated November 20, 2019 relating to our audit of the consolidated financial statements and internal control over financial reporting of PennantPark Floating Rate Capital Ltd. and its Subsidiaries, which appear in the September 30, 2019 Annual Report to Stockholders, which is also incorporated by reference into the Prospectus, which is part of this Registration Statement. We also consent to use in this Registration Statement of our report dated November 20, 2019 relating to the senior securities table appearing elsewhere in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caption “Independent Registered Public Accounting Firm” in such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2020</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Subsidiaries</w:t>
      </w:r>
    </w:p>
    <w:p>
      <w:pPr>
        <w:spacing w:after="0" w:line="21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20, 2019, (incorporated by reference in the accompanying registration statement on Form N-2) also included an audit of the senior securities table of PennantPark Floating Rate Capital Ltd. and its Subsidiaries appearing in this Registration Statement on Form N-2. This table is the responsibility of PennantPark Floating Rate Capital Ltd. and its Subsidiaries’ management. Our responsibility is to express an opinion based on our audit of the consolidated financial statements.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1)"/>
      <w:numFmt w:val="lowerRoman"/>
      <w:start w:val="1"/>
    </w:lvl>
  </w:abstractNum>
  <w:abstractNum w:abstractNumId="3">
    <w:nsid w:val="153EA438"/>
    <w:multiLevelType w:val="hybridMultilevel"/>
    <w:lvl w:ilvl="0">
      <w:lvlJc w:val="left"/>
      <w:lvlText w:val="(%1)"/>
      <w:numFmt w:val="decimal"/>
      <w:start w:val="212"/>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7"/>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lvl w:ilvl="1">
      <w:lvlJc w:val="left"/>
      <w:lvlText w:val="%2)"/>
      <w:numFmt w:val="decimal"/>
      <w:start w:val="1"/>
    </w:lvl>
  </w:abstractNum>
  <w:abstractNum w:abstractNumId="46">
    <w:nsid w:val="7E0C57B1"/>
    <w:multiLevelType w:val="hybridMultilevel"/>
    <w:lvl w:ilvl="0">
      <w:lvlJc w:val="left"/>
      <w:lvlText w:val="(%1)"/>
      <w:numFmt w:val="decimal"/>
      <w:start w:val="2"/>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bullet"/>
      <w:start w:val="1"/>
    </w:lvl>
  </w:abstractNum>
  <w:abstractNum w:abstractNumId="50">
    <w:nsid w:val="5FF87E05"/>
    <w:multiLevelType w:val="hybridMultilevel"/>
    <w:lvl w:ilvl="0">
      <w:lvlJc w:val="left"/>
      <w:lvlText w:val="2"/>
      <w:numFmt w:val="bullet"/>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7"/>
    </w:lvl>
  </w:abstractNum>
  <w:abstractNum w:abstractNumId="53">
    <w:nsid w:val="1DBABF00"/>
    <w:multiLevelType w:val="hybridMultilevel"/>
    <w:lvl w:ilvl="0">
      <w:lvlJc w:val="left"/>
      <w:lvlText w:val="(%1)"/>
      <w:numFmt w:val="lowerLetter"/>
      <w:start w:val="10"/>
    </w:lvl>
  </w:abstractNum>
  <w:abstractNum w:abstractNumId="54">
    <w:nsid w:val="4AD084E9"/>
    <w:multiLevelType w:val="hybridMultilevel"/>
    <w:lvl w:ilvl="0">
      <w:lvlJc w:val="left"/>
      <w:lvlText w:val="2"/>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lowerRoman"/>
      <w:start w:val="1"/>
    </w:lvl>
  </w:abstractNum>
  <w:abstractNum w:abstractNumId="60">
    <w:nsid w:val="15014ACB"/>
    <w:multiLevelType w:val="hybridMultilevel"/>
    <w:lvl w:ilvl="0">
      <w:lvlJc w:val="left"/>
      <w:lvlText w:val="(%1)"/>
      <w:numFmt w:val="lowerRoman"/>
      <w:start w:val="3"/>
    </w:lvl>
  </w:abstractNum>
  <w:abstractNum w:abstractNumId="61">
    <w:nsid w:val="5F5E7FD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3">
    <w:nsid w:val="799D024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4">
    <w:nsid w:val="6B94764"/>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65">
    <w:nsid w:val="42C296BD"/>
    <w:multiLevelType w:val="hybridMultilevel"/>
    <w:lvl w:ilvl="0">
      <w:lvlJc w:val="left"/>
      <w:lvlText w:val="%1"/>
      <w:numFmt w:val="decimal"/>
      <w:start w:val="1"/>
    </w:lvl>
    <w:lvl w:ilvl="1">
      <w:lvlJc w:val="left"/>
      <w:lvlText w:val="(%2)"/>
      <w:numFmt w:val="lowerRoman"/>
      <w:start w:val="1"/>
    </w:lvl>
  </w:abstractNum>
  <w:abstractNum w:abstractNumId="66">
    <w:nsid w:val="168E121F"/>
    <w:multiLevelType w:val="hybridMultilevel"/>
    <w:lvl w:ilvl="0">
      <w:lvlJc w:val="left"/>
      <w:lvlText w:val="(%1)"/>
      <w:numFmt w:val="decimal"/>
      <w:start w:val="5"/>
    </w:lvl>
    <w:lvl w:ilvl="1">
      <w:lvlJc w:val="left"/>
      <w:lvlText w:val="%2"/>
      <w:numFmt w:val="lowerRoman"/>
      <w:start w:val="1"/>
    </w:lvl>
  </w:abstractNum>
  <w:abstractNum w:abstractNumId="67">
    <w:nsid w:val="1EBA5D23"/>
    <w:multiLevelType w:val="hybridMultilevel"/>
    <w:lvl w:ilvl="0">
      <w:lvlJc w:val="left"/>
      <w:lvlText w:val="(%1)"/>
      <w:numFmt w:val="decimal"/>
      <w:start w:val="7"/>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lowerRoman"/>
      <w:start w:val="1"/>
    </w:lvl>
  </w:abstractNum>
  <w:abstractNum w:abstractNumId="75">
    <w:nsid w:val="11447B73"/>
    <w:multiLevelType w:val="hybridMultilevel"/>
    <w:lvl w:ilvl="0">
      <w:lvlJc w:val="left"/>
      <w:lvlText w:val="(%1)"/>
      <w:numFmt w:val="lowerRoman"/>
      <w:start w:val="1"/>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2020-02-17T18:56:34Z</dcterms:created>
  <dcterms:modified xsi:type="dcterms:W3CDTF">2020-02-17T18:56:34Z</dcterms:modified>
</cp:coreProperties>
</file>