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12, 2024</w:t>
      </w:r>
    </w:p>
    <w:p>
      <w:pPr>
        <w:jc w:val="right"/>
        <w:spacing w:after="0" w:line="218" w:lineRule="auto"/>
        <w:rPr>
          <w:sz w:val="20"/>
          <w:szCs w:val="20"/>
          <w:color w:val="auto"/>
        </w:rPr>
      </w:pPr>
      <w:r>
        <w:rPr>
          <w:rFonts w:ascii="Times New Roman" w:cs="Times New Roman" w:eastAsia="Times New Roman" w:hAnsi="Times New Roman"/>
          <w:sz w:val="14"/>
          <w:szCs w:val="14"/>
          <w:b w:val="1"/>
          <w:bCs w:val="1"/>
          <w:color w:val="auto"/>
        </w:rPr>
        <w:t>Securities Act Registration No. 333-279726</w:t>
      </w:r>
    </w:p>
    <w:p>
      <w:pPr>
        <w:jc w:val="right"/>
        <w:spacing w:after="0"/>
        <w:rPr>
          <w:sz w:val="20"/>
          <w:szCs w:val="20"/>
          <w:color w:val="auto"/>
        </w:rPr>
      </w:pPr>
      <w:r>
        <w:rPr>
          <w:rFonts w:ascii="Times New Roman" w:cs="Times New Roman" w:eastAsia="Times New Roman" w:hAnsi="Times New Roman"/>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69215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95885</wp:posOffset>
            </wp:positionV>
            <wp:extent cx="1504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N-2</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tbl>
      <w:tblPr>
        <w:tblLayout w:type="fixed"/>
        <w:tblInd w:w="4160" w:type="dxa"/>
        <w:tblCellMar>
          <w:top w:w="0" w:type="dxa"/>
          <w:left w:w="0" w:type="dxa"/>
          <w:bottom w:w="0" w:type="dxa"/>
          <w:right w:w="0" w:type="dxa"/>
        </w:tblCellMar>
      </w:tblPr>
      <w:tr>
        <w:trPr>
          <w:trHeight w:val="198"/>
        </w:trPr>
        <w:tc>
          <w:tcPr>
            <w:tcW w:w="4800" w:type="dxa"/>
            <w:vAlign w:val="bottom"/>
          </w:tcPr>
          <w:p>
            <w:pPr>
              <w:ind w:left="1220"/>
              <w:spacing w:after="0" w:line="198" w:lineRule="exact"/>
              <w:rPr>
                <w:sz w:val="20"/>
                <w:szCs w:val="20"/>
                <w:color w:val="auto"/>
              </w:rPr>
            </w:pPr>
            <w:r>
              <w:rPr>
                <w:rFonts w:ascii="Times New Roman" w:cs="Times New Roman" w:eastAsia="Times New Roman" w:hAnsi="Times New Roman"/>
                <w:sz w:val="19"/>
                <w:szCs w:val="19"/>
                <w:b w:val="1"/>
                <w:bCs w:val="1"/>
                <w:i w:val="1"/>
                <w:iCs w:val="1"/>
                <w:color w:val="auto"/>
              </w:rPr>
              <w:t>under</w:t>
            </w:r>
          </w:p>
        </w:tc>
        <w:tc>
          <w:tcPr>
            <w:tcW w:w="2280" w:type="dxa"/>
            <w:vAlign w:val="bottom"/>
            <w:vMerge w:val="restart"/>
          </w:tcPr>
          <w:p>
            <w:pPr>
              <w:ind w:left="2120"/>
              <w:spacing w:after="0" w:line="191" w:lineRule="exact"/>
              <w:rPr>
                <w:sz w:val="20"/>
                <w:szCs w:val="20"/>
                <w:color w:val="auto"/>
              </w:rPr>
            </w:pPr>
            <w:r>
              <w:rPr>
                <w:rFonts w:ascii="MS PGothic" w:cs="MS PGothic" w:eastAsia="MS PGothic" w:hAnsi="MS PGothic"/>
                <w:sz w:val="19"/>
                <w:szCs w:val="19"/>
                <w:color w:val="auto"/>
                <w:w w:val="73"/>
              </w:rPr>
              <w:t>☒</w:t>
            </w:r>
          </w:p>
        </w:tc>
        <w:tc>
          <w:tcPr>
            <w:tcW w:w="0" w:type="dxa"/>
            <w:vAlign w:val="bottom"/>
          </w:tcPr>
          <w:p>
            <w:pPr>
              <w:spacing w:after="0"/>
              <w:rPr>
                <w:sz w:val="1"/>
                <w:szCs w:val="1"/>
                <w:color w:val="auto"/>
              </w:rPr>
            </w:pPr>
          </w:p>
        </w:tc>
      </w:tr>
      <w:tr>
        <w:trPr>
          <w:trHeight w:val="211"/>
        </w:trPr>
        <w:tc>
          <w:tcPr>
            <w:tcW w:w="4800" w:type="dxa"/>
            <w:vAlign w:val="bottom"/>
          </w:tcPr>
          <w:p>
            <w:pPr>
              <w:ind w:left="60"/>
              <w:spacing w:after="0" w:line="211" w:lineRule="exact"/>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Pre-Effective Amendment No. 1</w:t>
            </w:r>
          </w:p>
        </w:tc>
        <w:tc>
          <w:tcPr>
            <w:tcW w:w="2280" w:type="dxa"/>
            <w:vAlign w:val="bottom"/>
          </w:tcPr>
          <w:p>
            <w:pPr>
              <w:ind w:left="2120"/>
              <w:spacing w:after="0" w:line="191" w:lineRule="exact"/>
              <w:rPr>
                <w:sz w:val="20"/>
                <w:szCs w:val="20"/>
                <w:color w:val="auto"/>
              </w:rPr>
            </w:pPr>
            <w:r>
              <w:rPr>
                <w:rFonts w:ascii="MS PGothic" w:cs="MS PGothic" w:eastAsia="MS PGothic" w:hAnsi="MS PGothic"/>
                <w:sz w:val="19"/>
                <w:szCs w:val="19"/>
                <w:color w:val="auto"/>
                <w:w w:val="73"/>
              </w:rPr>
              <w:t>☒</w:t>
            </w:r>
          </w:p>
        </w:tc>
        <w:tc>
          <w:tcPr>
            <w:tcW w:w="0" w:type="dxa"/>
            <w:vAlign w:val="bottom"/>
          </w:tcPr>
          <w:p>
            <w:pPr>
              <w:spacing w:after="0"/>
              <w:rPr>
                <w:sz w:val="1"/>
                <w:szCs w:val="1"/>
                <w:color w:val="auto"/>
              </w:rPr>
            </w:pPr>
          </w:p>
        </w:tc>
      </w:tr>
      <w:tr>
        <w:trPr>
          <w:trHeight w:val="325"/>
        </w:trPr>
        <w:tc>
          <w:tcPr>
            <w:tcW w:w="48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Post-Effective Amendment No. </w:t>
            </w:r>
          </w:p>
        </w:tc>
        <w:tc>
          <w:tcPr>
            <w:tcW w:w="2280" w:type="dxa"/>
            <w:vAlign w:val="bottom"/>
          </w:tcPr>
          <w:p>
            <w:pPr>
              <w:ind w:left="2120"/>
              <w:spacing w:after="0" w:line="191" w:lineRule="exact"/>
              <w:rPr>
                <w:sz w:val="20"/>
                <w:szCs w:val="20"/>
                <w:color w:val="auto"/>
              </w:rPr>
            </w:pPr>
            <w:r>
              <w:rPr>
                <w:rFonts w:ascii="MS PGothic" w:cs="MS PGothic" w:eastAsia="MS PGothic" w:hAnsi="MS PGothic"/>
                <w:sz w:val="19"/>
                <w:szCs w:val="19"/>
                <w:color w:val="auto"/>
                <w:w w:val="73"/>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69215</wp:posOffset>
            </wp:positionV>
            <wp:extent cx="15043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PennantPark Floating Rate Capital Ltd.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93345</wp:posOffset>
            </wp:positionV>
            <wp:extent cx="1504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1691 Michigan Avenue</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Miami Beach, Florida 33139</w:t>
      </w: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(786) 297-9500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Arthur H. Penn</w:t>
      </w:r>
    </w:p>
    <w:p>
      <w:pPr>
        <w:jc w:val="center"/>
        <w:spacing w:after="0" w:line="218" w:lineRule="auto"/>
        <w:rPr>
          <w:sz w:val="20"/>
          <w:szCs w:val="20"/>
          <w:color w:val="auto"/>
        </w:rPr>
      </w:pPr>
      <w:r>
        <w:rPr>
          <w:rFonts w:ascii="Times New Roman" w:cs="Times New Roman" w:eastAsia="Times New Roman" w:hAnsi="Times New Roman"/>
          <w:sz w:val="14"/>
          <w:szCs w:val="14"/>
          <w:b w:val="1"/>
          <w:bCs w:val="1"/>
          <w:color w:val="auto"/>
        </w:rPr>
        <w:t>c/o PennantPark Floating Rate Capital Ltd.</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1691 Michigan Avenue</w:t>
      </w:r>
    </w:p>
    <w:p>
      <w:pPr>
        <w:jc w:val="center"/>
        <w:spacing w:after="0" w:line="219" w:lineRule="auto"/>
        <w:rPr>
          <w:sz w:val="20"/>
          <w:szCs w:val="20"/>
          <w:color w:val="auto"/>
        </w:rPr>
      </w:pPr>
      <w:r>
        <w:rPr>
          <w:rFonts w:ascii="Times New Roman" w:cs="Times New Roman" w:eastAsia="Times New Roman" w:hAnsi="Times New Roman"/>
          <w:sz w:val="14"/>
          <w:szCs w:val="14"/>
          <w:b w:val="1"/>
          <w:bCs w:val="1"/>
          <w:color w:val="auto"/>
        </w:rPr>
        <w:t>Miami Beach, FL 33139</w:t>
      </w:r>
    </w:p>
    <w:p>
      <w:pPr>
        <w:jc w:val="center"/>
        <w:spacing w:after="0"/>
        <w:rPr>
          <w:sz w:val="20"/>
          <w:szCs w:val="20"/>
          <w:color w:val="auto"/>
        </w:rPr>
      </w:pPr>
      <w:r>
        <w:rPr>
          <w:rFonts w:ascii="Times New Roman" w:cs="Times New Roman" w:eastAsia="Times New Roman" w:hAnsi="Times New Roman"/>
          <w:sz w:val="12"/>
          <w:szCs w:val="12"/>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90170</wp:posOffset>
            </wp:positionV>
            <wp:extent cx="1504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jc w:val="center"/>
        <w:spacing w:after="0" w:line="218" w:lineRule="auto"/>
        <w:rPr>
          <w:sz w:val="20"/>
          <w:szCs w:val="20"/>
          <w:color w:val="auto"/>
        </w:rPr>
      </w:pPr>
      <w:r>
        <w:rPr>
          <w:rFonts w:ascii="Times New Roman" w:cs="Times New Roman" w:eastAsia="Times New Roman" w:hAnsi="Times New Roman"/>
          <w:sz w:val="14"/>
          <w:szCs w:val="14"/>
          <w:b w:val="1"/>
          <w:bCs w:val="1"/>
          <w:color w:val="auto"/>
        </w:rPr>
        <w:t>Thomas Friedmann</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Stephen Pratt</w:t>
      </w:r>
    </w:p>
    <w:p>
      <w:pPr>
        <w:jc w:val="center"/>
        <w:spacing w:after="0" w:line="215" w:lineRule="auto"/>
        <w:rPr>
          <w:sz w:val="20"/>
          <w:szCs w:val="20"/>
          <w:color w:val="auto"/>
        </w:rPr>
      </w:pPr>
      <w:r>
        <w:rPr>
          <w:rFonts w:ascii="Times New Roman" w:cs="Times New Roman" w:eastAsia="Times New Roman" w:hAnsi="Times New Roman"/>
          <w:sz w:val="14"/>
          <w:szCs w:val="14"/>
          <w:b w:val="1"/>
          <w:bCs w:val="1"/>
          <w:color w:val="auto"/>
        </w:rPr>
        <w:t>Dechert LLP</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One International Place</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40th Floor</w:t>
      </w:r>
    </w:p>
    <w:p>
      <w:pPr>
        <w:jc w:val="center"/>
        <w:spacing w:after="0" w:line="216" w:lineRule="auto"/>
        <w:rPr>
          <w:sz w:val="20"/>
          <w:szCs w:val="20"/>
          <w:color w:val="auto"/>
        </w:rPr>
      </w:pPr>
      <w:r>
        <w:rPr>
          <w:rFonts w:ascii="Times New Roman" w:cs="Times New Roman" w:eastAsia="Times New Roman" w:hAnsi="Times New Roman"/>
          <w:sz w:val="14"/>
          <w:szCs w:val="14"/>
          <w:b w:val="1"/>
          <w:bCs w:val="1"/>
          <w:color w:val="auto"/>
        </w:rPr>
        <w:t>100 Oliver Street</w:t>
      </w:r>
    </w:p>
    <w:p>
      <w:pPr>
        <w:jc w:val="center"/>
        <w:spacing w:after="0"/>
        <w:rPr>
          <w:sz w:val="20"/>
          <w:szCs w:val="20"/>
          <w:color w:val="auto"/>
        </w:rPr>
      </w:pPr>
      <w:r>
        <w:rPr>
          <w:rFonts w:ascii="Times New Roman" w:cs="Times New Roman" w:eastAsia="Times New Roman" w:hAnsi="Times New Roman"/>
          <w:sz w:val="14"/>
          <w:szCs w:val="14"/>
          <w:b w:val="1"/>
          <w:bCs w:val="1"/>
          <w:color w:val="auto"/>
        </w:rPr>
        <w:t>Boston, MA 02110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85725</wp:posOffset>
            </wp:positionV>
            <wp:extent cx="1504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PROPOSED PUBLIC OFFERING: </w:t>
      </w:r>
      <w:r>
        <w:rPr>
          <w:rFonts w:ascii="Times New Roman" w:cs="Times New Roman" w:eastAsia="Times New Roman" w:hAnsi="Times New Roman"/>
          <w:sz w:val="13"/>
          <w:szCs w:val="13"/>
          <w:color w:val="auto"/>
        </w:rPr>
        <w:t>As soon as practicable after the effective date of this Registration Statement.</w:t>
      </w:r>
    </w:p>
    <w:p>
      <w:pPr>
        <w:spacing w:after="0" w:line="24"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the only securities being registered on this Form are being offered pursuant to dividend or interest reinvestment plans.</w:t>
      </w:r>
    </w:p>
    <w:p>
      <w:pPr>
        <w:spacing w:after="0" w:line="44" w:lineRule="exact"/>
        <w:rPr>
          <w:sz w:val="24"/>
          <w:szCs w:val="24"/>
          <w:color w:val="auto"/>
        </w:rPr>
      </w:pPr>
    </w:p>
    <w:p>
      <w:pPr>
        <w:ind w:right="380"/>
        <w:spacing w:after="0" w:line="154"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any securities being registered on this Form will be offered on a delayed or continuous basis in reliance on Rule 415 under the Securities Act of 1933 (“Securities Act”), other than securities offered in connection with a dividend reinvestment plan.</w:t>
      </w: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this Form is a registration statement pursuant to General Instruction A.2 or a post-effective amendment thereto.</w:t>
      </w:r>
    </w:p>
    <w:p>
      <w:pPr>
        <w:spacing w:after="0" w:line="55" w:lineRule="exact"/>
        <w:rPr>
          <w:sz w:val="24"/>
          <w:szCs w:val="24"/>
          <w:color w:val="auto"/>
        </w:rPr>
      </w:pPr>
    </w:p>
    <w:p>
      <w:pPr>
        <w:ind w:right="160"/>
        <w:spacing w:after="0" w:line="15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this Form is a registration statement pursuant to General Instruction B or a post-effective amendment thereto that will become effective upon filing with the Commission pursuant to Rule 462(e) under the Securities Act.</w:t>
      </w:r>
    </w:p>
    <w:p>
      <w:pPr>
        <w:ind w:right="40"/>
        <w:spacing w:after="0" w:line="158"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Check box if this Form is a post-effective amendment to a registration statement filed pursuant to General Instruction B to register additional securities or additional classes of securities pursuant to Rule 413(b) under the Securities Act.</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 is proposed that this filing will become effective (check appropriate box):</w:t>
      </w:r>
    </w:p>
    <w:p>
      <w:pPr>
        <w:spacing w:after="0" w:line="24"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when declared effective pursuant to Section 8(c) of the Securities Act.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If appropriate, check the following box:</w:t>
      </w:r>
    </w:p>
    <w:p>
      <w:pPr>
        <w:spacing w:after="0" w:line="8"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This post-effective amendment designates a new effective date for a previously filed post-effective amendment registration statement.</w:t>
      </w:r>
    </w:p>
    <w:p>
      <w:pPr>
        <w:spacing w:after="0" w:line="44" w:lineRule="exact"/>
        <w:rPr>
          <w:sz w:val="24"/>
          <w:szCs w:val="24"/>
          <w:color w:val="auto"/>
        </w:rPr>
      </w:pPr>
    </w:p>
    <w:p>
      <w:pPr>
        <w:ind w:right="420"/>
        <w:spacing w:after="0" w:line="154"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This Form is filed to register additional securities for an offering pursuant to Rule 462(b) under the Securities Act, and the Securities Act registration statement number of the earlier effective registration statement for the same offering is:        .</w:t>
      </w:r>
    </w:p>
    <w:p>
      <w:pPr>
        <w:ind w:right="160"/>
        <w:spacing w:after="0" w:line="16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This Form is a post-effective amendment filed pursuant to Rule 462(c) under the Securities Act, and the Securities Act registration statement number of the earlier effective registration statement for the same offering is:        .</w:t>
      </w:r>
    </w:p>
    <w:p>
      <w:pPr>
        <w:ind w:right="140"/>
        <w:spacing w:after="0" w:line="16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This Form is a post-effective amendment filed pursuant to Rule 462(d) under the Securities Act, and the Securities Act registration statement number of the earlier effective registration statement for the same offering is:        .</w:t>
      </w:r>
    </w:p>
    <w:p>
      <w:pPr>
        <w:spacing w:after="0"/>
        <w:rPr>
          <w:sz w:val="20"/>
          <w:szCs w:val="20"/>
          <w:color w:val="auto"/>
        </w:rPr>
      </w:pPr>
      <w:r>
        <w:rPr>
          <w:rFonts w:ascii="Times New Roman" w:cs="Times New Roman" w:eastAsia="Times New Roman" w:hAnsi="Times New Roman"/>
          <w:sz w:val="13"/>
          <w:szCs w:val="13"/>
          <w:b w:val="1"/>
          <w:bCs w:val="1"/>
          <w:color w:val="auto"/>
        </w:rPr>
        <w:t>Check each box that appropriately characterizes the Registrant:</w:t>
      </w:r>
    </w:p>
    <w:p>
      <w:pPr>
        <w:spacing w:after="0" w:line="22"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Registered Closed-End Fund (closed-end company that is registered under the Investment Company Act of 1940 (“Investment Company Act”)).</w:t>
      </w:r>
    </w:p>
    <w:p>
      <w:pPr>
        <w:spacing w:after="0" w:line="55"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Business Development Company (closed-end company that intends or has elected to be regulated as a business development company under the Investment Company Act).</w:t>
      </w:r>
    </w:p>
    <w:p>
      <w:pPr>
        <w:spacing w:after="0" w:line="29"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Interval Fund (Registered Closed-End Fund or a Business Development Company that makes periodic repurchase offers under Rule 23c-3 under the Investment Company Act).</w:t>
      </w:r>
    </w:p>
    <w:p>
      <w:pPr>
        <w:spacing w:after="0" w:line="28"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A.2 Qualified (qualified to register securities pursuant to General Instruction A.2 of this Form).</w:t>
      </w:r>
    </w:p>
    <w:p>
      <w:pPr>
        <w:spacing w:after="0" w:line="35"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Well-Known Seasoned Issuer (as defined by Rule 405 under the Securities Act).</w:t>
      </w:r>
    </w:p>
    <w:p>
      <w:pPr>
        <w:spacing w:after="0" w:line="24"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Emerging Growth Company (as defined by Rule 12b-2 under the Securities Exchange Act of 1934 (“Exchange Act”).</w:t>
      </w:r>
    </w:p>
    <w:p>
      <w:pPr>
        <w:spacing w:after="0" w:line="33" w:lineRule="exact"/>
        <w:rPr>
          <w:sz w:val="24"/>
          <w:szCs w:val="24"/>
          <w:color w:val="auto"/>
        </w:rPr>
      </w:pPr>
    </w:p>
    <w:p>
      <w:pPr>
        <w:ind w:right="140"/>
        <w:spacing w:after="0" w:line="15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New Registrant (registered or regulated under the Investment Company Act for less than 12 calendar months preceding this filing).</w:t>
      </w:r>
    </w:p>
    <w:p>
      <w:pPr>
        <w:spacing w:after="0" w:line="49" w:lineRule="exact"/>
        <w:rPr>
          <w:sz w:val="24"/>
          <w:szCs w:val="24"/>
          <w:color w:val="auto"/>
        </w:rPr>
      </w:pPr>
    </w:p>
    <w:p>
      <w:pPr>
        <w:ind w:right="160"/>
        <w:spacing w:after="0" w:line="239"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13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right="80"/>
        <w:spacing w:after="0" w:line="257" w:lineRule="auto"/>
        <w:rPr>
          <w:sz w:val="20"/>
          <w:szCs w:val="20"/>
          <w:color w:val="auto"/>
        </w:rPr>
      </w:pPr>
      <w:r>
        <w:rPr>
          <w:rFonts w:ascii="Times New Roman" w:cs="Times New Roman" w:eastAsia="Times New Roman" w:hAnsi="Times New Roman"/>
          <w:sz w:val="18"/>
          <w:szCs w:val="18"/>
          <w:b w:val="1"/>
          <w:bCs w:val="1"/>
          <w:color w:val="FF4338"/>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97155</wp:posOffset>
            </wp:positionV>
            <wp:extent cx="1938655" cy="459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655"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135255</wp:posOffset>
            </wp:positionV>
            <wp:extent cx="15043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55" w:lineRule="exact"/>
        <w:rPr>
          <w:sz w:val="20"/>
          <w:szCs w:val="20"/>
          <w:color w:val="auto"/>
        </w:rPr>
      </w:pPr>
    </w:p>
    <w:p>
      <w:pPr>
        <w:ind w:right="80" w:firstLine="450"/>
        <w:spacing w:after="0" w:line="248" w:lineRule="auto"/>
        <w:rPr>
          <w:sz w:val="20"/>
          <w:szCs w:val="20"/>
          <w:color w:val="auto"/>
        </w:rPr>
      </w:pPr>
      <w:r>
        <w:rPr>
          <w:rFonts w:ascii="Times New Roman" w:cs="Times New Roman" w:eastAsia="Times New Roman" w:hAnsi="Times New Roman"/>
          <w:sz w:val="15"/>
          <w:szCs w:val="15"/>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38" w:lineRule="exact"/>
        <w:rPr>
          <w:sz w:val="20"/>
          <w:szCs w:val="20"/>
          <w:color w:val="auto"/>
        </w:rPr>
      </w:pPr>
    </w:p>
    <w:p>
      <w:pPr>
        <w:ind w:right="120" w:firstLine="450"/>
        <w:spacing w:after="0" w:line="231" w:lineRule="auto"/>
        <w:rPr>
          <w:sz w:val="20"/>
          <w:szCs w:val="20"/>
          <w:color w:val="auto"/>
        </w:rPr>
      </w:pPr>
      <w:r>
        <w:rPr>
          <w:rFonts w:ascii="Times New Roman" w:cs="Times New Roman" w:eastAsia="Times New Roman" w:hAnsi="Times New Roman"/>
          <w:sz w:val="15"/>
          <w:szCs w:val="15"/>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the Secured Overnight Financing Rate, or SOFR, with or without a floor, plus a fixed spread. We can offer no assurances that we will achieve our investment objectives.</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firstLine="450"/>
        <w:spacing w:after="0" w:line="225" w:lineRule="auto"/>
        <w:rPr>
          <w:sz w:val="20"/>
          <w:szCs w:val="20"/>
          <w:color w:val="auto"/>
        </w:rPr>
      </w:pPr>
      <w:r>
        <w:rPr>
          <w:rFonts w:ascii="Times New Roman" w:cs="Times New Roman" w:eastAsia="Times New Roman" w:hAnsi="Times New Roman"/>
          <w:sz w:val="15"/>
          <w:szCs w:val="15"/>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Times New Roman" w:cs="Times New Roman" w:eastAsia="Times New Roman" w:hAnsi="Times New Roman"/>
          <w:sz w:val="15"/>
          <w:szCs w:val="15"/>
          <w:u w:val="single" w:color="auto"/>
          <w:color w:val="0000EE"/>
        </w:rPr>
        <w:t>Risk Factors</w:t>
      </w:r>
      <w:r>
        <w:rPr>
          <w:rFonts w:ascii="Times New Roman" w:cs="Times New Roman" w:eastAsia="Times New Roman" w:hAnsi="Times New Roman"/>
          <w:sz w:val="15"/>
          <w:szCs w:val="15"/>
          <w:color w:val="auto"/>
        </w:rPr>
        <w:t>” on page 11 and “</w:t>
      </w:r>
      <w:r>
        <w:rPr>
          <w:rFonts w:ascii="Times New Roman" w:cs="Times New Roman" w:eastAsia="Times New Roman" w:hAnsi="Times New Roman"/>
          <w:sz w:val="15"/>
          <w:szCs w:val="15"/>
          <w:u w:val="single" w:color="auto"/>
          <w:color w:val="0000EE"/>
        </w:rPr>
        <w:t>Sales of Common Stock Below Net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Asset Value</w:t>
      </w:r>
      <w:r>
        <w:rPr>
          <w:rFonts w:ascii="Times New Roman" w:cs="Times New Roman" w:eastAsia="Times New Roman" w:hAnsi="Times New Roman"/>
          <w:sz w:val="15"/>
          <w:szCs w:val="15"/>
          <w:color w:val="000000"/>
        </w:rPr>
        <w:t>” on page 17 of this prospectus for more information.</w:t>
      </w:r>
    </w:p>
    <w:p>
      <w:pPr>
        <w:spacing w:after="0" w:line="45"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4"/>
          <w:szCs w:val="14"/>
          <w:color w:val="auto"/>
        </w:rPr>
        <w:t>Our common stock is traded on The New York Stock Exchange under the symbol “PFLT.” Prior to April 14, 2022, our common stock was traded on The Nasdaq Global Select Market under the same symbol. The last reported closing price for our common stock on May 23, 2024 was $11.26 per share, and our NAV on March 31, 2024 was $11.40 per share.</w:t>
      </w:r>
    </w:p>
    <w:p>
      <w:pPr>
        <w:spacing w:after="0" w:line="3" w:lineRule="exact"/>
        <w:rPr>
          <w:sz w:val="20"/>
          <w:szCs w:val="20"/>
          <w:color w:val="auto"/>
        </w:rPr>
      </w:pPr>
    </w:p>
    <w:p>
      <w:pPr>
        <w:ind w:right="40" w:firstLine="450"/>
        <w:spacing w:after="0" w:line="226" w:lineRule="auto"/>
        <w:rPr>
          <w:sz w:val="20"/>
          <w:szCs w:val="20"/>
          <w:color w:val="auto"/>
        </w:rPr>
      </w:pPr>
      <w:r>
        <w:rPr>
          <w:rFonts w:ascii="Times New Roman" w:cs="Times New Roman" w:eastAsia="Times New Roman" w:hAnsi="Times New Roman"/>
          <w:sz w:val="15"/>
          <w:szCs w:val="15"/>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5"/>
          <w:szCs w:val="15"/>
          <w:i w:val="1"/>
          <w:iCs w:val="1"/>
          <w:u w:val="single" w:color="auto"/>
          <w:color w:val="auto"/>
        </w:rPr>
        <w:t>www.pennantpark.com</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5"/>
          <w:szCs w:val="15"/>
          <w:i w:val="1"/>
          <w:iCs w:val="1"/>
          <w:u w:val="single" w:color="auto"/>
          <w:color w:val="auto"/>
        </w:rPr>
        <w:t>www.sec.gov</w:t>
      </w:r>
      <w:r>
        <w:rPr>
          <w:rFonts w:ascii="Times New Roman" w:cs="Times New Roman" w:eastAsia="Times New Roman" w:hAnsi="Times New Roman"/>
          <w:sz w:val="15"/>
          <w:szCs w:val="15"/>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107950</wp:posOffset>
            </wp:positionV>
            <wp:extent cx="15043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22"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11 of this prospectus.</w:t>
      </w:r>
    </w:p>
    <w:p>
      <w:pPr>
        <w:spacing w:after="0" w:line="19" w:lineRule="exact"/>
        <w:rPr>
          <w:sz w:val="20"/>
          <w:szCs w:val="20"/>
          <w:color w:val="auto"/>
        </w:rPr>
      </w:pPr>
    </w:p>
    <w:p>
      <w:pPr>
        <w:ind w:right="540" w:firstLine="450"/>
        <w:spacing w:after="0" w:line="253"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100330</wp:posOffset>
            </wp:positionV>
            <wp:extent cx="1504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This prospectus may not be used to consummate sales of securities unless accompanied by a prospectus supplement.</w:t>
      </w:r>
    </w:p>
    <w:p>
      <w:pPr>
        <w:spacing w:after="0" w:line="5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5"/>
          <w:szCs w:val="15"/>
          <w:b w:val="1"/>
          <w:bCs w:val="1"/>
          <w:color w:val="auto"/>
        </w:rPr>
        <w:t>Prospectus dated             , 2024</w:t>
      </w:r>
    </w:p>
    <w:p>
      <w:pPr>
        <w:sectPr>
          <w:pgSz w:w="11900" w:h="16838" w:orient="portrait"/>
          <w:cols w:equalWidth="0" w:num="1">
            <w:col w:w="11240"/>
          </w:cols>
          <w:pgMar w:left="320" w:top="290" w:right="339" w:bottom="1440" w:gutter="0" w:footer="0" w:header="0"/>
        </w:sectPr>
      </w:pPr>
    </w:p>
    <w:bookmarkStart w:id="2" w:name="page3"/>
    <w:bookmarkEnd w:id="2"/>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210185</wp:posOffset>
            </wp:positionV>
            <wp:extent cx="7178040" cy="67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6731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8860" w:type="dxa"/>
            <w:vAlign w:val="bottom"/>
            <w:gridSpan w:val="19"/>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0000EE"/>
            </w:tcBorders>
            <w:gridSpan w:val="7"/>
            <w:vMerge w:val="continue"/>
          </w:tcPr>
          <w:p>
            <w:pPr>
              <w:spacing w:after="0"/>
              <w:rPr>
                <w:sz w:val="14"/>
                <w:szCs w:val="14"/>
                <w:color w:val="auto"/>
              </w:rPr>
            </w:pPr>
          </w:p>
        </w:tc>
        <w:tc>
          <w:tcPr>
            <w:tcW w:w="8860" w:type="dxa"/>
            <w:vAlign w:val="bottom"/>
            <w:gridSpan w:val="19"/>
            <w:vMerge w:val="continue"/>
          </w:tcPr>
          <w:p>
            <w:pPr>
              <w:spacing w:after="0"/>
              <w:rPr>
                <w:sz w:val="14"/>
                <w:szCs w:val="14"/>
                <w:color w:val="auto"/>
              </w:rPr>
            </w:pPr>
          </w:p>
        </w:tc>
        <w:tc>
          <w:tcPr>
            <w:tcW w:w="3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FEES AND EXPENSES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bottom w:val="single" w:sz="8" w:color="0000EE"/>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EE"/>
                <w:w w:val="96"/>
              </w:rPr>
              <w:t>FINANCIAL HIGHLIGHTS</w:t>
            </w:r>
          </w:p>
        </w:tc>
        <w:tc>
          <w:tcPr>
            <w:tcW w:w="8840" w:type="dxa"/>
            <w:vAlign w:val="bottom"/>
            <w:gridSpan w:val="1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8040" w:type="dxa"/>
            <w:vAlign w:val="bottom"/>
            <w:gridSpan w:val="1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4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9160" w:type="dxa"/>
            <w:vAlign w:val="bottom"/>
            <w:gridSpan w:val="21"/>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PRICE RANGE OF COMMON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SALES OF COMMON STOCK BELOW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1"/>
        </w:trPr>
        <w:tc>
          <w:tcPr>
            <w:tcW w:w="134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7"/>
              </w:rPr>
              <w:t>DISTRIBUTIONS</w:t>
            </w:r>
          </w:p>
        </w:tc>
        <w:tc>
          <w:tcPr>
            <w:tcW w:w="3180" w:type="dxa"/>
            <w:vAlign w:val="bottom"/>
            <w:tcBorders>
              <w:top w:val="single" w:sz="8" w:color="0000EE"/>
            </w:tcBorders>
            <w:gridSpan w:val="19"/>
          </w:tcPr>
          <w:p>
            <w:pPr>
              <w:spacing w:after="0"/>
              <w:rPr>
                <w:sz w:val="16"/>
                <w:szCs w:val="16"/>
                <w:color w:val="auto"/>
              </w:rPr>
            </w:pPr>
          </w:p>
        </w:tc>
        <w:tc>
          <w:tcPr>
            <w:tcW w:w="6380" w:type="dxa"/>
            <w:vAlign w:val="bottom"/>
            <w:gridSpan w:val="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PORTFOLIO COMPANIES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MANAGEMENT OF THE COMPANY</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INVESTMENT MANAGEMENT AND ADMINISTRATION AGREEMENT</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5520" w:type="dxa"/>
            <w:vAlign w:val="bottom"/>
            <w:tcBorders>
              <w:top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rPr>
              <w:t>PORTFOLIO MANAGEMENT</w:t>
            </w:r>
          </w:p>
        </w:tc>
        <w:tc>
          <w:tcPr>
            <w:tcW w:w="5380" w:type="dxa"/>
            <w:vAlign w:val="bottom"/>
            <w:gridSpan w:val="2"/>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1"/>
        </w:trPr>
        <w:tc>
          <w:tcPr>
            <w:tcW w:w="3220" w:type="dxa"/>
            <w:vAlign w:val="bottom"/>
            <w:tcBorders>
              <w:top w:val="single" w:sz="8" w:color="0000EE"/>
              <w:bottom w:val="single" w:sz="8" w:color="0000EE"/>
            </w:tcBorders>
            <w:gridSpan w:val="15"/>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CAPITAL STOCK</w:t>
            </w:r>
          </w:p>
        </w:tc>
        <w:tc>
          <w:tcPr>
            <w:tcW w:w="60" w:type="dxa"/>
            <w:vAlign w:val="bottom"/>
            <w:tcBorders>
              <w:top w:val="single" w:sz="8" w:color="0000EE"/>
            </w:tcBorders>
          </w:tcPr>
          <w:p>
            <w:pPr>
              <w:spacing w:after="0"/>
              <w:rPr>
                <w:sz w:val="16"/>
                <w:szCs w:val="16"/>
                <w:color w:val="auto"/>
              </w:rPr>
            </w:pPr>
          </w:p>
        </w:tc>
        <w:tc>
          <w:tcPr>
            <w:tcW w:w="7620" w:type="dxa"/>
            <w:vAlign w:val="bottom"/>
            <w:gridSpan w:val="10"/>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1"/>
        </w:trPr>
        <w:tc>
          <w:tcPr>
            <w:tcW w:w="2840" w:type="dxa"/>
            <w:vAlign w:val="bottom"/>
            <w:tcBorders>
              <w:top w:val="single" w:sz="8" w:color="0000EE"/>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WARRANTS</w:t>
            </w:r>
          </w:p>
        </w:tc>
        <w:tc>
          <w:tcPr>
            <w:tcW w:w="640" w:type="dxa"/>
            <w:vAlign w:val="bottom"/>
            <w:tcBorders>
              <w:top w:val="single" w:sz="8" w:color="0000EE"/>
            </w:tcBorders>
            <w:gridSpan w:val="6"/>
          </w:tcPr>
          <w:p>
            <w:pPr>
              <w:spacing w:after="0"/>
              <w:rPr>
                <w:sz w:val="16"/>
                <w:szCs w:val="16"/>
                <w:color w:val="auto"/>
              </w:rPr>
            </w:pPr>
          </w:p>
        </w:tc>
        <w:tc>
          <w:tcPr>
            <w:tcW w:w="7420" w:type="dxa"/>
            <w:vAlign w:val="bottom"/>
            <w:gridSpan w:val="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0000EE"/>
            </w:tcBorders>
            <w:gridSpan w:val="19"/>
          </w:tcPr>
          <w:p>
            <w:pPr>
              <w:spacing w:after="0" w:line="190" w:lineRule="exact"/>
              <w:rPr>
                <w:sz w:val="20"/>
                <w:szCs w:val="20"/>
                <w:color w:val="auto"/>
              </w:rPr>
            </w:pPr>
            <w:r>
              <w:rPr>
                <w:rFonts w:ascii="Times New Roman" w:cs="Times New Roman" w:eastAsia="Times New Roman" w:hAnsi="Times New Roman"/>
                <w:sz w:val="18"/>
                <w:szCs w:val="18"/>
                <w:color w:val="0000EE"/>
                <w:w w:val="97"/>
              </w:rPr>
              <w:t>DESCRIPTION OF OUR SUBSCRIPTION RIGHTS</w:t>
            </w:r>
          </w:p>
        </w:tc>
        <w:tc>
          <w:tcPr>
            <w:tcW w:w="7100" w:type="dxa"/>
            <w:vAlign w:val="bottom"/>
            <w:gridSpan w:val="7"/>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tcBorders>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BROKERAGE ALLOCATIONS AND OTHER PRACTICES</w:t>
            </w:r>
          </w:p>
        </w:tc>
        <w:tc>
          <w:tcPr>
            <w:tcW w:w="6520" w:type="dxa"/>
            <w:vAlign w:val="bottom"/>
            <w:gridSpan w:val="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0000EE"/>
            </w:tcBorders>
            <w:gridSpan w:val="23"/>
          </w:tcPr>
          <w:p>
            <w:pPr>
              <w:spacing w:after="0" w:line="190" w:lineRule="exact"/>
              <w:rPr>
                <w:sz w:val="20"/>
                <w:szCs w:val="20"/>
                <w:color w:val="auto"/>
              </w:rPr>
            </w:pPr>
            <w:r>
              <w:rPr>
                <w:rFonts w:ascii="Times New Roman" w:cs="Times New Roman" w:eastAsia="Times New Roman" w:hAnsi="Times New Roman"/>
                <w:sz w:val="18"/>
                <w:szCs w:val="18"/>
                <w:color w:val="0000EE"/>
                <w:w w:val="96"/>
              </w:rPr>
              <w:t>MATERIAL U.S. FEDERAL INCOME TAX CONSIDERATIONS</w:t>
            </w:r>
          </w:p>
        </w:tc>
        <w:tc>
          <w:tcPr>
            <w:tcW w:w="6140" w:type="dxa"/>
            <w:vAlign w:val="bottom"/>
            <w:gridSpan w:val="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0" w:type="dxa"/>
            <w:vAlign w:val="bottom"/>
            <w:tcBorders>
              <w:bottom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w w:val="96"/>
              </w:rPr>
              <w:t>SUB-ADMINISTRATOR, CUSTODIAN, TRANSFER AGENT AND TRUSTEE</w:t>
            </w:r>
          </w:p>
        </w:tc>
        <w:tc>
          <w:tcPr>
            <w:tcW w:w="5100" w:type="dxa"/>
            <w:vAlign w:val="bottom"/>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160" w:type="dxa"/>
            <w:vAlign w:val="bottom"/>
            <w:tcBorders>
              <w:top w:val="single" w:sz="8" w:color="0000EE"/>
              <w:bottom w:val="single" w:sz="8" w:color="0000EE"/>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EE"/>
                <w:w w:val="97"/>
              </w:rPr>
              <w:t>INDEPENDENT AUDITORS</w:t>
            </w:r>
          </w:p>
        </w:tc>
        <w:tc>
          <w:tcPr>
            <w:tcW w:w="2520" w:type="dxa"/>
            <w:vAlign w:val="bottom"/>
            <w:tcBorders>
              <w:top w:val="single" w:sz="8" w:color="0000EE"/>
            </w:tcBorders>
            <w:gridSpan w:val="13"/>
          </w:tcPr>
          <w:p>
            <w:pPr>
              <w:spacing w:after="0"/>
              <w:rPr>
                <w:sz w:val="16"/>
                <w:szCs w:val="16"/>
                <w:color w:val="auto"/>
              </w:rPr>
            </w:pPr>
          </w:p>
        </w:tc>
        <w:tc>
          <w:tcPr>
            <w:tcW w:w="6220" w:type="dxa"/>
            <w:vAlign w:val="bottom"/>
            <w:gridSpan w:val="4"/>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82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7"/>
              </w:rPr>
              <w:t>INCORPORATION BY REFERENCE</w:t>
            </w:r>
          </w:p>
        </w:tc>
        <w:tc>
          <w:tcPr>
            <w:tcW w:w="8080" w:type="dxa"/>
            <w:vAlign w:val="bottom"/>
            <w:gridSpan w:val="1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8640" w:type="dxa"/>
            <w:vAlign w:val="bottom"/>
            <w:gridSpan w:val="1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20" w:top="503" w:right="3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ABOUT THIS PROSPECTUS</w:t>
      </w:r>
    </w:p>
    <w:p>
      <w:pPr>
        <w:spacing w:after="0" w:line="216"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290" w:right="4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58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558790"/>
                    </a:xfrm>
                    <a:prstGeom prst="rect">
                      <a:avLst/>
                    </a:prstGeom>
                    <a:noFill/>
                  </pic:spPr>
                </pic:pic>
              </a:graphicData>
            </a:graphic>
          </wp:anchor>
        </w:drawing>
        <w:t>PROSPECTUS SUMMARY</w:t>
      </w:r>
    </w:p>
    <w:p>
      <w:pPr>
        <w:spacing w:after="0" w:line="214" w:lineRule="exact"/>
        <w:rPr>
          <w:sz w:val="20"/>
          <w:szCs w:val="20"/>
          <w:color w:val="auto"/>
        </w:rPr>
      </w:pPr>
    </w:p>
    <w:p>
      <w:pPr>
        <w:ind w:firstLine="435"/>
        <w:spacing w:after="0" w:line="277" w:lineRule="auto"/>
        <w:rPr>
          <w:sz w:val="20"/>
          <w:szCs w:val="20"/>
          <w:color w:val="auto"/>
        </w:rPr>
      </w:pPr>
      <w:r>
        <w:rPr>
          <w:rFonts w:ascii="Times New Roman" w:cs="Times New Roman" w:eastAsia="Times New Roman" w:hAnsi="Times New Roman"/>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collectively PFLT Investment Holdings, LLC and PFLT Investment Holdings II, LLC; “PSSL” refers to PennantPark Senior Secured Loan Fund I LLC, an unconsolidated joint venture; “PTSF” refers to PennantPark-TSO Senior Loan Fund, LP, an unconsolidated limited partnership; “PennantPark Investment Advisers” and “Investment Adviser” refer to PennantPark Investment Advisers, LLC; “PennantPark Investment Administration” and “Administrator” refer to PennantPark Investment Administration, LLC;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“2036 Securitization Issuer” refers to PennantPark CLO VIII, LLC; “2036-Debt Securitization” refers to the $350.6 million term debt securitization completed by the 2036 Securitization Issuer; “2036 Asset-Backed Debt” refers to the issuance of the AAA(sf) Class A-1 Notes, AAA(sf) Class A-2 Notes, AA(sf) Class B Notes, A(sf) Class C Notes, BBB-(sf) Class D Notes, and the borrowing issuance of AAA(sf) Class A-1 floating rate loans.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11" w:lineRule="exact"/>
        <w:rPr>
          <w:sz w:val="20"/>
          <w:szCs w:val="20"/>
          <w:color w:val="auto"/>
        </w:rPr>
      </w:pPr>
    </w:p>
    <w:p>
      <w:pPr>
        <w:ind w:right="280" w:firstLine="435"/>
        <w:spacing w:after="0" w:line="268"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69" w:lineRule="exact"/>
        <w:rPr>
          <w:sz w:val="20"/>
          <w:szCs w:val="20"/>
          <w:color w:val="auto"/>
        </w:rPr>
      </w:pPr>
    </w:p>
    <w:p>
      <w:pPr>
        <w:ind w:right="220" w:firstLine="435"/>
        <w:spacing w:after="0" w:line="252"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20" w:top="474" w:right="539" w:bottom="1440" w:gutter="0" w:footer="0" w:header="0"/>
        </w:sectPr>
      </w:pPr>
    </w:p>
    <w:bookmarkStart w:id="5" w:name="page6"/>
    <w:bookmarkEnd w:id="5"/>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58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558790"/>
                    </a:xfrm>
                    <a:prstGeom prst="rect">
                      <a:avLst/>
                    </a:prstGeom>
                    <a:noFill/>
                  </pic:spPr>
                </pic:pic>
              </a:graphicData>
            </a:graphic>
          </wp:anchor>
        </w:drawing>
        <w:t>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5" w:lineRule="exact"/>
        <w:rPr>
          <w:sz w:val="20"/>
          <w:szCs w:val="20"/>
          <w:color w:val="auto"/>
        </w:rPr>
      </w:pPr>
    </w:p>
    <w:p>
      <w:pPr>
        <w:ind w:right="160" w:firstLine="435"/>
        <w:spacing w:after="0" w:line="249"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5" w:lineRule="exact"/>
        <w:rPr>
          <w:sz w:val="20"/>
          <w:szCs w:val="20"/>
          <w:color w:val="auto"/>
        </w:rPr>
      </w:pPr>
    </w:p>
    <w:p>
      <w:pPr>
        <w:jc w:val="both"/>
        <w:ind w:right="120" w:firstLine="435"/>
        <w:spacing w:after="0" w:line="252"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11" w:lineRule="exact"/>
        <w:rPr>
          <w:sz w:val="20"/>
          <w:szCs w:val="20"/>
          <w:color w:val="auto"/>
        </w:rPr>
      </w:pPr>
    </w:p>
    <w:p>
      <w:pPr>
        <w:ind w:right="240" w:firstLine="435"/>
        <w:spacing w:after="0" w:line="25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0" w:lineRule="exact"/>
        <w:rPr>
          <w:sz w:val="20"/>
          <w:szCs w:val="20"/>
          <w:color w:val="auto"/>
        </w:rPr>
      </w:pPr>
    </w:p>
    <w:p>
      <w:pPr>
        <w:ind w:right="400" w:firstLine="435"/>
        <w:spacing w:after="0" w:line="293" w:lineRule="auto"/>
        <w:rPr>
          <w:sz w:val="20"/>
          <w:szCs w:val="20"/>
          <w:color w:val="auto"/>
        </w:rPr>
      </w:pPr>
      <w:r>
        <w:rPr>
          <w:rFonts w:ascii="Times New Roman" w:cs="Times New Roman" w:eastAsia="Times New Roman" w:hAnsi="Times New Roman"/>
          <w:sz w:val="16"/>
          <w:szCs w:val="16"/>
          <w:color w:val="auto"/>
        </w:rPr>
        <w:t>We execute our investment strategy directly and through our wholly-owned subsidiaries, our unconsolidated joint venture and unconsolidated limited partnership. The term “subsidiary” includes entities that primarily engage in investment activities in securities or other assets and are wholly-owned by us. We comply with the provisions of Section 18 of the 1940 Act governing capital structure and leverage on an aggregate basis with our subsidiaries. Our subsidiaries comply with the provisions of Section 17 of the 1940 Act related to affiliated transactions and custody.</w:t>
      </w:r>
    </w:p>
    <w:p>
      <w:pPr>
        <w:spacing w:after="0" w:line="154" w:lineRule="exact"/>
        <w:rPr>
          <w:sz w:val="20"/>
          <w:szCs w:val="20"/>
          <w:color w:val="auto"/>
        </w:rPr>
      </w:pPr>
    </w:p>
    <w:p>
      <w:pPr>
        <w:ind w:right="40" w:firstLine="435"/>
        <w:spacing w:after="0" w:line="256" w:lineRule="auto"/>
        <w:rPr>
          <w:sz w:val="20"/>
          <w:szCs w:val="20"/>
          <w:color w:val="auto"/>
        </w:rPr>
      </w:pPr>
      <w:r>
        <w:rPr>
          <w:rFonts w:ascii="Times New Roman" w:cs="Times New Roman" w:eastAsia="Times New Roman" w:hAnsi="Times New Roman"/>
          <w:sz w:val="18"/>
          <w:szCs w:val="18"/>
          <w:color w:val="auto"/>
        </w:rPr>
        <w:t>Funding I, our wholly-owned subsidiary and a special purpose entity, was organized in Delaware as a limited liability company in May 2011. On August 12, 2021, Funding I, as borrower, entered into the Credit Facility, which provides the ability for Funding I to borrow up to $436 million (increased from $386 million on April 9, 2024). The Credit Facility is secured by all of the assets of Funding I.</w:t>
      </w:r>
    </w:p>
    <w:p>
      <w:pPr>
        <w:spacing w:after="0" w:line="180" w:lineRule="exact"/>
        <w:rPr>
          <w:sz w:val="20"/>
          <w:szCs w:val="20"/>
          <w:color w:val="auto"/>
        </w:rPr>
      </w:pPr>
    </w:p>
    <w:p>
      <w:pPr>
        <w:ind w:right="100" w:firstLine="435"/>
        <w:spacing w:after="0" w:line="256" w:lineRule="auto"/>
        <w:rPr>
          <w:sz w:val="20"/>
          <w:szCs w:val="20"/>
          <w:color w:val="auto"/>
        </w:rPr>
      </w:pPr>
      <w:r>
        <w:rPr>
          <w:rFonts w:ascii="Times New Roman" w:cs="Times New Roman" w:eastAsia="Times New Roman" w:hAnsi="Times New Roman"/>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0" w:lineRule="exact"/>
        <w:rPr>
          <w:sz w:val="20"/>
          <w:szCs w:val="20"/>
          <w:color w:val="auto"/>
        </w:rPr>
      </w:pPr>
    </w:p>
    <w:p>
      <w:pPr>
        <w:ind w:right="480" w:firstLine="435"/>
        <w:spacing w:after="0" w:line="268" w:lineRule="auto"/>
        <w:rPr>
          <w:sz w:val="20"/>
          <w:szCs w:val="20"/>
          <w:color w:val="auto"/>
        </w:rPr>
      </w:pPr>
      <w:r>
        <w:rPr>
          <w:rFonts w:ascii="Times New Roman" w:cs="Times New Roman" w:eastAsia="Times New Roman" w:hAnsi="Times New Roman"/>
          <w:sz w:val="18"/>
          <w:szCs w:val="18"/>
          <w:color w:val="auto"/>
        </w:rPr>
        <w:t>In April 2019, our wholly-owned subsidiary, the Securitization Issuer, was incorporated in the Cayman Islands as an exempted company with limited liability. We formed the Securitization Issuer in order to complete the Debt Securitization.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520" w:top="476" w:right="539" w:bottom="1440" w:gutter="0" w:footer="0" w:header="0"/>
        </w:sectPr>
      </w:pPr>
    </w:p>
    <w:bookmarkStart w:id="6" w:name="page7"/>
    <w:bookmarkEnd w:id="6"/>
    <w:p>
      <w:pPr>
        <w:ind w:firstLine="435"/>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157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157470"/>
                    </a:xfrm>
                    <a:prstGeom prst="rect">
                      <a:avLst/>
                    </a:prstGeom>
                    <a:noFill/>
                  </pic:spPr>
                </pic:pic>
              </a:graphicData>
            </a:graphic>
          </wp:anchor>
        </w:drawing>
        <w:t>In addition, in April 2021, we formed PTSF, an unconsolidated limited partnership, organized as a Delaware limited liability partnership. As of March 31, 2024, our capital commitment of $15.3 million is fully funded and we hold 23.08% of the total outstanding Class A Units of PTSF and a 4.99% voting interest in the general partner which manages PTSF. PTSF also invests primarily in middle-market and other corporate debt securities consistent with our strategy.</w:t>
      </w:r>
    </w:p>
    <w:p>
      <w:pPr>
        <w:spacing w:after="0" w:line="183" w:lineRule="exact"/>
        <w:rPr>
          <w:sz w:val="20"/>
          <w:szCs w:val="20"/>
          <w:color w:val="auto"/>
        </w:rPr>
      </w:pPr>
    </w:p>
    <w:p>
      <w:pPr>
        <w:ind w:right="360" w:firstLine="435"/>
        <w:spacing w:after="0" w:line="268" w:lineRule="auto"/>
        <w:rPr>
          <w:sz w:val="20"/>
          <w:szCs w:val="20"/>
          <w:color w:val="auto"/>
        </w:rPr>
      </w:pPr>
      <w:r>
        <w:rPr>
          <w:rFonts w:ascii="Times New Roman" w:cs="Times New Roman" w:eastAsia="Times New Roman" w:hAnsi="Times New Roman"/>
          <w:sz w:val="18"/>
          <w:szCs w:val="18"/>
          <w:color w:val="auto"/>
        </w:rPr>
        <w:t>In January 2024, our wholly-owned subsidiary, the 2036 Securitization Issuer, was incorporated in Delaware as a limited liability company. We formed the 2036 Securitization Issuer in order to complete the 2036-Debt Securitization.</w:t>
      </w:r>
    </w:p>
    <w:p>
      <w:pPr>
        <w:spacing w:after="0" w:line="169" w:lineRule="exact"/>
        <w:rPr>
          <w:sz w:val="20"/>
          <w:szCs w:val="20"/>
          <w:color w:val="auto"/>
        </w:rPr>
      </w:pPr>
    </w:p>
    <w:p>
      <w:pPr>
        <w:ind w:right="100" w:firstLine="435"/>
        <w:spacing w:after="0" w:line="249" w:lineRule="auto"/>
        <w:rPr>
          <w:sz w:val="20"/>
          <w:szCs w:val="20"/>
          <w:color w:val="auto"/>
        </w:rPr>
      </w:pPr>
      <w:r>
        <w:rPr>
          <w:rFonts w:ascii="Times New Roman" w:cs="Times New Roman" w:eastAsia="Times New Roman" w:hAnsi="Times New Roman"/>
          <w:sz w:val="18"/>
          <w:szCs w:val="18"/>
          <w:color w:val="auto"/>
        </w:rPr>
        <w:t>On February 4, 2022, we formed PFLT Investment Holdings II, LLC, a Delaware limited liability company (“Holdings II”), as a wholly owned subsidiary. On December 31, 2022, we contributed 100% of our interests in PFLT Investment Holdings, LLC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11" w:lineRule="exact"/>
        <w:rPr>
          <w:sz w:val="20"/>
          <w:szCs w:val="20"/>
          <w:color w:val="auto"/>
        </w:rPr>
      </w:pPr>
    </w:p>
    <w:p>
      <w:pPr>
        <w:ind w:right="40" w:firstLine="435"/>
        <w:spacing w:after="0" w:line="246"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$20.3 billion in 674 companies with more than 200 different financial sponsors through its managed funds, which includes investments by the Company totaling $5.9 billion in 492 companies.</w:t>
      </w:r>
    </w:p>
    <w:p>
      <w:pPr>
        <w:spacing w:after="0" w:line="194" w:lineRule="exact"/>
        <w:rPr>
          <w:sz w:val="20"/>
          <w:szCs w:val="20"/>
          <w:color w:val="auto"/>
        </w:rPr>
      </w:pPr>
    </w:p>
    <w:p>
      <w:pPr>
        <w:ind w:right="20" w:firstLine="435"/>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520" w:top="476"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6135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8040" cy="6135370"/>
                    </a:xfrm>
                    <a:prstGeom prst="rect">
                      <a:avLst/>
                    </a:prstGeom>
                    <a:noFill/>
                  </pic:spPr>
                </pic:pic>
              </a:graphicData>
            </a:graphic>
          </wp:anchor>
        </w:drawing>
        <w:t>Market Opportunity</w:t>
      </w:r>
    </w:p>
    <w:p>
      <w:pPr>
        <w:spacing w:after="0" w:line="111" w:lineRule="exact"/>
        <w:rPr>
          <w:sz w:val="20"/>
          <w:szCs w:val="20"/>
          <w:color w:val="auto"/>
        </w:rPr>
      </w:pPr>
    </w:p>
    <w:p>
      <w:pPr>
        <w:ind w:firstLine="435"/>
        <w:spacing w:after="0" w:line="268"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5" w:lineRule="exact"/>
        <w:rPr>
          <w:sz w:val="20"/>
          <w:szCs w:val="20"/>
          <w:color w:val="auto"/>
        </w:rPr>
      </w:pPr>
    </w:p>
    <w:p>
      <w:pPr>
        <w:ind w:left="960" w:right="520" w:hanging="430"/>
        <w:spacing w:after="0" w:line="25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raising debt in private markets. </w:t>
      </w:r>
      <w:r>
        <w:rPr>
          <w:rFonts w:ascii="Times New Roman" w:cs="Times New Roman" w:eastAsia="Times New Roman" w:hAnsi="Times New Roman"/>
          <w:sz w:val="18"/>
          <w:szCs w:val="18"/>
          <w:color w:val="auto"/>
        </w:rPr>
        <w:t>From time to time, banks,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hedge funds and collateralized loan obligation, or CLO, funds have withdrawn, and may again withdraw, capital from the middle-market, resulting in opportunities for alternative funding sources.</w:t>
      </w:r>
    </w:p>
    <w:p>
      <w:pPr>
        <w:spacing w:after="0" w:line="85" w:lineRule="exact"/>
        <w:rPr>
          <w:rFonts w:ascii="Times New Roman" w:cs="Times New Roman" w:eastAsia="Times New Roman" w:hAnsi="Times New Roman"/>
          <w:sz w:val="18"/>
          <w:szCs w:val="18"/>
          <w:color w:val="auto"/>
        </w:rPr>
      </w:pPr>
    </w:p>
    <w:p>
      <w:pPr>
        <w:ind w:left="960" w:right="200" w:hanging="430"/>
        <w:spacing w:after="0" w:line="253"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8"/>
          <w:szCs w:val="18"/>
          <w:color w:val="auto"/>
        </w:rPr>
        <w:t>Many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7" w:lineRule="exact"/>
        <w:rPr>
          <w:rFonts w:ascii="Times New Roman" w:cs="Times New Roman" w:eastAsia="Times New Roman" w:hAnsi="Times New Roman"/>
          <w:sz w:val="18"/>
          <w:szCs w:val="18"/>
          <w:color w:val="auto"/>
        </w:rPr>
      </w:pPr>
    </w:p>
    <w:p>
      <w:pPr>
        <w:jc w:val="both"/>
        <w:ind w:left="960" w:right="120" w:hanging="430"/>
        <w:spacing w:after="0" w:line="25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8"/>
          <w:szCs w:val="18"/>
          <w:color w:val="auto"/>
        </w:rPr>
        <w:t>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85" w:lineRule="exact"/>
        <w:rPr>
          <w:rFonts w:ascii="Times New Roman" w:cs="Times New Roman" w:eastAsia="Times New Roman" w:hAnsi="Times New Roman"/>
          <w:sz w:val="18"/>
          <w:szCs w:val="18"/>
          <w:color w:val="auto"/>
        </w:rPr>
      </w:pPr>
    </w:p>
    <w:p>
      <w:pPr>
        <w:ind w:left="960" w:right="100" w:hanging="430"/>
        <w:spacing w:after="0" w:line="253"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8"/>
          <w:szCs w:val="18"/>
          <w:color w:val="auto"/>
        </w:rPr>
        <w:t>We expect that private equity firms will continue to be active investors in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These private equity funds generally seek to leverage their investments by combining their capital with loans provided by other sources, and we believe that we are well-positioned to partner with such equity investors.</w:t>
      </w:r>
    </w:p>
    <w:p>
      <w:pPr>
        <w:spacing w:after="0" w:line="87" w:lineRule="exact"/>
        <w:rPr>
          <w:rFonts w:ascii="Times New Roman" w:cs="Times New Roman" w:eastAsia="Times New Roman" w:hAnsi="Times New Roman"/>
          <w:sz w:val="18"/>
          <w:szCs w:val="18"/>
          <w:color w:val="auto"/>
        </w:rPr>
      </w:pPr>
    </w:p>
    <w:p>
      <w:pPr>
        <w:ind w:left="960" w:right="20" w:hanging="430"/>
        <w:spacing w:after="0" w:line="249"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8"/>
          <w:szCs w:val="18"/>
          <w:color w:val="auto"/>
        </w:rPr>
        <w:t>A high volume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1" w:lineRule="exact"/>
        <w:rPr>
          <w:sz w:val="20"/>
          <w:szCs w:val="20"/>
          <w:color w:val="auto"/>
        </w:rPr>
      </w:pPr>
    </w:p>
    <w:p>
      <w:pPr>
        <w:ind w:right="20" w:firstLine="435"/>
        <w:spacing w:after="0" w:line="303" w:lineRule="auto"/>
        <w:rPr>
          <w:sz w:val="20"/>
          <w:szCs w:val="20"/>
          <w:color w:val="auto"/>
        </w:rPr>
      </w:pPr>
      <w:r>
        <w:rPr>
          <w:rFonts w:ascii="Times New Roman" w:cs="Times New Roman" w:eastAsia="Times New Roman" w:hAnsi="Times New Roman"/>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We intend to continue our monthly distributions to our stockholders. Our monthly distributions, if any, are determined by our board of directors.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may include a return of capital. See “Distributions” for more information.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111" w:lineRule="exact"/>
        <w:rPr>
          <w:sz w:val="20"/>
          <w:szCs w:val="20"/>
          <w:color w:val="auto"/>
        </w:rPr>
      </w:pPr>
    </w:p>
    <w:p>
      <w:pPr>
        <w:ind w:right="260" w:firstLine="435"/>
        <w:spacing w:after="0" w:line="256" w:lineRule="auto"/>
        <w:rPr>
          <w:sz w:val="20"/>
          <w:szCs w:val="20"/>
          <w:color w:val="auto"/>
        </w:rPr>
      </w:pPr>
      <w:r>
        <w:rPr>
          <w:rFonts w:ascii="Times New Roman" w:cs="Times New Roman" w:eastAsia="Times New Roman" w:hAnsi="Times New Roman"/>
          <w:sz w:val="18"/>
          <w:szCs w:val="18"/>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520" w:top="474" w:right="559" w:bottom="1440" w:gutter="0" w:footer="0" w:header="0"/>
        </w:sectPr>
      </w:pPr>
    </w:p>
    <w:bookmarkStart w:id="8" w:name="page9"/>
    <w:bookmarkEnd w:id="8"/>
    <w:p>
      <w:pPr>
        <w:ind w:right="2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4756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8040" cy="4756785"/>
                    </a:xfrm>
                    <a:prstGeom prst="rect">
                      <a:avLst/>
                    </a:prstGeom>
                    <a:noFill/>
                  </pic:spPr>
                </pic:pic>
              </a:graphicData>
            </a:graphic>
          </wp:anchor>
        </w:drawing>
        <w:t>entitled to receive cash dividends at an annual rate that will be fixed or will vary for the successive dividend periods for each series. In general, the dividend periods for fixed rate preferred stock can range from weekly to quarterly and are subject to extension. The dividend rate could be variable and determined for each dividend period. See “Description of our Preferred Stock” for more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11" w:lineRule="exact"/>
        <w:rPr>
          <w:sz w:val="20"/>
          <w:szCs w:val="20"/>
          <w:color w:val="auto"/>
        </w:rPr>
      </w:pPr>
    </w:p>
    <w:p>
      <w:pPr>
        <w:ind w:right="60" w:firstLine="435"/>
        <w:spacing w:after="0" w:line="268" w:lineRule="auto"/>
        <w:rPr>
          <w:sz w:val="20"/>
          <w:szCs w:val="20"/>
          <w:color w:val="auto"/>
        </w:rPr>
      </w:pPr>
      <w:r>
        <w:rPr>
          <w:rFonts w:ascii="Times New Roman" w:cs="Times New Roman" w:eastAsia="Times New Roman" w:hAnsi="Times New Roman"/>
          <w:sz w:val="18"/>
          <w:szCs w:val="18"/>
          <w:color w:val="auto"/>
        </w:rPr>
        <w:t>We may offer, from time to time, up to $1,000,000,000 of our securities, on terms to be determined at the time of each such offering and set forth in a supplement to this prospectus.</w:t>
      </w:r>
    </w:p>
    <w:p>
      <w:pPr>
        <w:spacing w:after="0" w:line="169" w:lineRule="exact"/>
        <w:rPr>
          <w:sz w:val="20"/>
          <w:szCs w:val="20"/>
          <w:color w:val="auto"/>
        </w:rPr>
      </w:pPr>
    </w:p>
    <w:p>
      <w:pPr>
        <w:ind w:firstLine="435"/>
        <w:spacing w:after="0" w:line="284" w:lineRule="auto"/>
        <w:rPr>
          <w:sz w:val="20"/>
          <w:szCs w:val="20"/>
          <w:color w:val="auto"/>
        </w:rPr>
      </w:pPr>
      <w:r>
        <w:rPr>
          <w:rFonts w:ascii="Times New Roman" w:cs="Times New Roman" w:eastAsia="Times New Roman" w:hAnsi="Times New Roman"/>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A supplement to this prospectus relating to any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60" w:lineRule="exact"/>
        <w:rPr>
          <w:sz w:val="20"/>
          <w:szCs w:val="20"/>
          <w:color w:val="auto"/>
        </w:rPr>
      </w:pPr>
    </w:p>
    <w:p>
      <w:pPr>
        <w:ind w:right="40" w:firstLine="435"/>
        <w:spacing w:after="0" w:line="268"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11" w:lineRule="exact"/>
        <w:rPr>
          <w:sz w:val="20"/>
          <w:szCs w:val="20"/>
          <w:color w:val="auto"/>
        </w:rPr>
      </w:pPr>
    </w:p>
    <w:p>
      <w:pPr>
        <w:ind w:right="80" w:firstLine="435"/>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w:t>
      </w:r>
      <w:hyperlink r:id="rId30">
        <w:r>
          <w:rPr>
            <w:rFonts w:ascii="Times New Roman" w:cs="Times New Roman" w:eastAsia="Times New Roman" w:hAnsi="Times New Roman"/>
            <w:sz w:val="18"/>
            <w:szCs w:val="18"/>
            <w:color w:val="auto"/>
          </w:rPr>
          <w:t xml:space="preserve">that are incorporated by reference into this prospectus, including the section titled “Risk Factors” included in our most recent Annual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Quarterly Reports on</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Form 10-Q</w:t>
        </w:r>
      </w:hyperlink>
      <w:hyperlink r:id="rId30">
        <w:r>
          <w:rPr>
            <w:rFonts w:ascii="Times New Roman" w:cs="Times New Roman" w:eastAsia="Times New Roman" w:hAnsi="Times New Roman"/>
            <w:sz w:val="18"/>
            <w:szCs w:val="18"/>
            <w:color w:val="000000"/>
          </w:rPr>
          <w:t>, as well as any amendments reflected in subsequent filings with the SEC.</w:t>
        </w:r>
      </w:hyperlink>
    </w:p>
    <w:p>
      <w:pPr>
        <w:spacing w:after="0" w:line="287"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11" w:lineRule="exact"/>
        <w:rPr>
          <w:rFonts w:ascii="Times New Roman" w:cs="Times New Roman" w:eastAsia="Times New Roman" w:hAnsi="Times New Roman"/>
          <w:sz w:val="18"/>
          <w:szCs w:val="18"/>
          <w:color w:val="0000EE"/>
        </w:rPr>
      </w:pPr>
    </w:p>
    <w:p>
      <w:pPr>
        <w:ind w:right="120" w:firstLine="435"/>
        <w:spacing w:after="0" w:line="252"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Florida 33139. Our phone number is (786) 297-9500,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0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520" w:top="476" w:right="5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FEES AND EXPENSES</w:t>
      </w:r>
    </w:p>
    <w:p>
      <w:pPr>
        <w:spacing w:after="0" w:line="216"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1200" w:type="dxa"/>
            <w:vAlign w:val="bottom"/>
            <w:shd w:val="clear" w:color="auto" w:fill="CCEEFF"/>
          </w:tcPr>
          <w:p>
            <w:pPr>
              <w:spacing w:after="0"/>
              <w:rPr>
                <w:sz w:val="18"/>
                <w:szCs w:val="18"/>
                <w:color w:val="auto"/>
              </w:rPr>
            </w:pP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200" w:type="dxa"/>
            <w:vAlign w:val="bottom"/>
          </w:tcPr>
          <w:p>
            <w:pPr>
              <w:ind w:left="600"/>
              <w:spacing w:after="0" w:line="211" w:lineRule="exact"/>
              <w:rPr>
                <w:sz w:val="20"/>
                <w:szCs w:val="20"/>
                <w:color w:val="auto"/>
              </w:rPr>
            </w:pPr>
            <w:r>
              <w:rPr>
                <w:rFonts w:ascii="Times New Roman" w:cs="Times New Roman" w:eastAsia="Times New Roman" w:hAnsi="Times New Roman"/>
                <w:sz w:val="18"/>
                <w:szCs w:val="18"/>
                <w:color w:val="auto"/>
                <w:w w:val="92"/>
              </w:rPr>
              <w:t>—  %</w:t>
            </w:r>
            <w:r>
              <w:rPr>
                <w:rFonts w:ascii="Times New Roman" w:cs="Times New Roman" w:eastAsia="Times New Roman" w:hAnsi="Times New Roman"/>
                <w:sz w:val="21"/>
                <w:szCs w:val="21"/>
                <w:color w:val="auto"/>
                <w:w w:val="92"/>
                <w:vertAlign w:val="superscript"/>
              </w:rPr>
              <w:t>(1)</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1200" w:type="dxa"/>
            <w:vAlign w:val="bottom"/>
            <w:shd w:val="clear" w:color="auto" w:fill="CCEEFF"/>
          </w:tcPr>
          <w:p>
            <w:pPr>
              <w:ind w:left="60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9"/>
                <w:szCs w:val="9"/>
                <w:color w:val="auto"/>
              </w:rPr>
              <w:t xml:space="preserve"> (2)</w:t>
            </w:r>
          </w:p>
        </w:tc>
      </w:tr>
      <w:tr>
        <w:trPr>
          <w:trHeight w:val="23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 (as a percentage of offering price)</w:t>
            </w:r>
          </w:p>
        </w:tc>
        <w:tc>
          <w:tcPr>
            <w:tcW w:w="12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— </w:t>
            </w:r>
          </w:p>
        </w:tc>
      </w:tr>
      <w:tr>
        <w:trPr>
          <w:trHeight w:val="20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w:t>
            </w:r>
          </w:p>
        </w:tc>
        <w:tc>
          <w:tcPr>
            <w:tcW w:w="1200" w:type="dxa"/>
            <w:vAlign w:val="bottom"/>
            <w:shd w:val="clear" w:color="auto" w:fill="CCEEFF"/>
          </w:tcPr>
          <w:p>
            <w:pPr>
              <w:spacing w:after="0"/>
              <w:rPr>
                <w:sz w:val="18"/>
                <w:szCs w:val="18"/>
                <w:color w:val="auto"/>
              </w:rPr>
            </w:pPr>
          </w:p>
        </w:tc>
      </w:tr>
      <w:tr>
        <w:trPr>
          <w:trHeight w:val="244"/>
        </w:trPr>
        <w:tc>
          <w:tcPr>
            <w:tcW w:w="6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21"/>
                <w:szCs w:val="21"/>
                <w:b w:val="1"/>
                <w:bCs w:val="1"/>
                <w:color w:val="auto"/>
                <w:vertAlign w:val="superscript"/>
              </w:rPr>
              <w:t>(3)</w:t>
            </w:r>
          </w:p>
        </w:tc>
        <w:tc>
          <w:tcPr>
            <w:tcW w:w="1200" w:type="dxa"/>
            <w:vAlign w:val="bottom"/>
            <w:shd w:val="clear" w:color="auto" w:fill="CCEEFF"/>
          </w:tcPr>
          <w:p>
            <w:pPr>
              <w:spacing w:after="0"/>
              <w:rPr>
                <w:sz w:val="21"/>
                <w:szCs w:val="21"/>
                <w:color w:val="auto"/>
              </w:rPr>
            </w:pPr>
          </w:p>
        </w:tc>
      </w:tr>
      <w:tr>
        <w:trPr>
          <w:trHeight w:val="23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200" w:type="dxa"/>
            <w:vAlign w:val="bottom"/>
          </w:tcPr>
          <w:p>
            <w:pPr>
              <w:jc w:val="right"/>
              <w:spacing w:after="0" w:line="237" w:lineRule="exact"/>
              <w:rPr>
                <w:sz w:val="20"/>
                <w:szCs w:val="20"/>
                <w:color w:val="auto"/>
              </w:rPr>
            </w:pPr>
            <w:r>
              <w:rPr>
                <w:rFonts w:ascii="Times New Roman" w:cs="Times New Roman" w:eastAsia="Times New Roman" w:hAnsi="Times New Roman"/>
                <w:sz w:val="18"/>
                <w:szCs w:val="18"/>
                <w:color w:val="auto"/>
              </w:rPr>
              <w:t>1.98 %</w:t>
            </w:r>
            <w:r>
              <w:rPr>
                <w:rFonts w:ascii="Times New Roman" w:cs="Times New Roman" w:eastAsia="Times New Roman" w:hAnsi="Times New Roman"/>
                <w:sz w:val="21"/>
                <w:szCs w:val="21"/>
                <w:color w:val="auto"/>
                <w:vertAlign w:val="superscript"/>
              </w:rPr>
              <w:t>(4)</w:t>
            </w:r>
          </w:p>
        </w:tc>
      </w:tr>
      <w:tr>
        <w:trPr>
          <w:trHeight w:val="23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12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18"/>
                <w:szCs w:val="18"/>
                <w:color w:val="auto"/>
              </w:rPr>
              <w:t>2.76 %</w:t>
            </w:r>
            <w:r>
              <w:rPr>
                <w:rFonts w:ascii="Times New Roman" w:cs="Times New Roman" w:eastAsia="Times New Roman" w:hAnsi="Times New Roman"/>
                <w:sz w:val="21"/>
                <w:szCs w:val="21"/>
                <w:color w:val="auto"/>
                <w:vertAlign w:val="superscript"/>
              </w:rPr>
              <w:t>(5)</w:t>
            </w:r>
          </w:p>
        </w:tc>
      </w:tr>
      <w:tr>
        <w:trPr>
          <w:trHeight w:val="23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1200" w:type="dxa"/>
            <w:vAlign w:val="bottom"/>
          </w:tcPr>
          <w:p>
            <w:pPr>
              <w:jc w:val="right"/>
              <w:spacing w:after="0" w:line="237" w:lineRule="exact"/>
              <w:rPr>
                <w:sz w:val="20"/>
                <w:szCs w:val="20"/>
                <w:color w:val="auto"/>
              </w:rPr>
            </w:pPr>
            <w:r>
              <w:rPr>
                <w:rFonts w:ascii="Times New Roman" w:cs="Times New Roman" w:eastAsia="Times New Roman" w:hAnsi="Times New Roman"/>
                <w:sz w:val="18"/>
                <w:szCs w:val="18"/>
                <w:color w:val="auto"/>
              </w:rPr>
              <w:t>8.50 %</w:t>
            </w:r>
            <w:r>
              <w:rPr>
                <w:rFonts w:ascii="Times New Roman" w:cs="Times New Roman" w:eastAsia="Times New Roman" w:hAnsi="Times New Roman"/>
                <w:sz w:val="21"/>
                <w:szCs w:val="21"/>
                <w:color w:val="auto"/>
                <w:vertAlign w:val="superscript"/>
              </w:rPr>
              <w:t>(6)</w:t>
            </w:r>
          </w:p>
        </w:tc>
      </w:tr>
      <w:tr>
        <w:trPr>
          <w:trHeight w:val="23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12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18"/>
                <w:szCs w:val="18"/>
                <w:color w:val="auto"/>
              </w:rPr>
              <w:t>12.26 %</w:t>
            </w:r>
            <w:r>
              <w:rPr>
                <w:rFonts w:ascii="Times New Roman" w:cs="Times New Roman" w:eastAsia="Times New Roman" w:hAnsi="Times New Roman"/>
                <w:sz w:val="21"/>
                <w:szCs w:val="21"/>
                <w:color w:val="auto"/>
                <w:vertAlign w:val="superscript"/>
              </w:rPr>
              <w:t>(7)</w:t>
            </w:r>
          </w:p>
        </w:tc>
      </w:tr>
      <w:tr>
        <w:trPr>
          <w:trHeight w:val="23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200" w:type="dxa"/>
            <w:vAlign w:val="bottom"/>
          </w:tcPr>
          <w:p>
            <w:pPr>
              <w:jc w:val="right"/>
              <w:spacing w:after="0" w:line="237" w:lineRule="exact"/>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21"/>
                <w:szCs w:val="21"/>
                <w:color w:val="auto"/>
                <w:vertAlign w:val="superscript"/>
              </w:rPr>
              <w:t>(8)</w:t>
            </w:r>
          </w:p>
        </w:tc>
      </w:tr>
      <w:tr>
        <w:trPr>
          <w:trHeight w:val="23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120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18"/>
                <w:szCs w:val="18"/>
                <w:color w:val="auto"/>
              </w:rPr>
              <w:t>26.88 %</w:t>
            </w:r>
            <w:r>
              <w:rPr>
                <w:rFonts w:ascii="Times New Roman" w:cs="Times New Roman" w:eastAsia="Times New Roman" w:hAnsi="Times New Roman"/>
                <w:sz w:val="21"/>
                <w:szCs w:val="21"/>
                <w:color w:val="auto"/>
                <w:vertAlign w:val="superscript"/>
              </w:rPr>
              <w:t>(9)</w:t>
            </w:r>
          </w:p>
        </w:tc>
      </w:tr>
    </w:tbl>
    <w:p>
      <w:pPr>
        <w:spacing w:after="0" w:line="140" w:lineRule="exact"/>
        <w:rPr>
          <w:sz w:val="20"/>
          <w:szCs w:val="20"/>
          <w:color w:val="auto"/>
        </w:rPr>
      </w:pPr>
    </w:p>
    <w:p>
      <w:pPr>
        <w:ind w:left="460" w:right="460" w:hanging="455"/>
        <w:spacing w:after="0" w:line="25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any applicable prospectus relates are sold to or through underwriters or agents, a corresponding prospectus supplement will disclose the applicable sales load.</w:t>
      </w:r>
    </w:p>
    <w:p>
      <w:pPr>
        <w:ind w:left="460" w:right="660" w:hanging="455"/>
        <w:spacing w:after="0" w:line="24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ind w:left="460" w:hanging="455"/>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for the fiscal quarter ended March 31, 2024.</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1.00% of our average adjusted gross assets on March 31, 2024.</w:t>
      </w:r>
    </w:p>
    <w:p>
      <w:pPr>
        <w:spacing w:after="0" w:line="3" w:lineRule="exact"/>
        <w:rPr>
          <w:rFonts w:ascii="Times New Roman" w:cs="Times New Roman" w:eastAsia="Times New Roman" w:hAnsi="Times New Roman"/>
          <w:sz w:val="18"/>
          <w:szCs w:val="18"/>
          <w:color w:val="auto"/>
        </w:rPr>
      </w:pPr>
    </w:p>
    <w:p>
      <w:pPr>
        <w:ind w:left="460" w:hanging="455"/>
        <w:spacing w:after="0" w:line="244"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incentive fees paid with respect to net investment income and capital gains, if any, is based on actual amounts incurred during the fiscal quarter ended March 31, 2024.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quarter ended March 31, 2024. For more detailed information about the incentive fee, please see “Item 1. Business—Investment Management Agreement” and “Item 1. Business—Investment Advisory Fees” in our most recent Annual Report on </w:t>
      </w:r>
      <w:hyperlink r:id="rId33">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had $168.9 million in borrowings outstanding under the Credit Facility, $185.0 million outstanding under of 2026 Notes,</w:t>
      </w:r>
    </w:p>
    <w:p>
      <w:pPr>
        <w:spacing w:after="0" w:line="3" w:lineRule="exact"/>
        <w:rPr>
          <w:rFonts w:ascii="Times New Roman" w:cs="Times New Roman" w:eastAsia="Times New Roman" w:hAnsi="Times New Roman"/>
          <w:sz w:val="18"/>
          <w:szCs w:val="18"/>
          <w:color w:val="auto"/>
        </w:rPr>
      </w:pPr>
    </w:p>
    <w:p>
      <w:pPr>
        <w:ind w:left="460" w:right="2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$226.3 million outstanding under the 2031 Asset-Backed Debt and $287.0 million outstanding under the 2036 Asset-Backed Debt. We may use proceeds of an offering of securities under any applicable registration statement to repay outstanding obligations under our existing financing arrangements or other indebtedness. After completing any such offering, we may continue to borrow under our existing financing arrangements to finance our investment objectives.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-2950210</wp:posOffset>
            </wp:positionV>
            <wp:extent cx="785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290" w:right="379" w:bottom="1440" w:gutter="0" w:footer="0" w:header="0"/>
        </w:sectPr>
      </w:pPr>
    </w:p>
    <w:bookmarkStart w:id="10" w:name="page11"/>
    <w:bookmarkEnd w:id="10"/>
    <w:p>
      <w:pPr>
        <w:ind w:left="46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1" w:lineRule="exact"/>
        <w:rPr>
          <w:sz w:val="20"/>
          <w:szCs w:val="20"/>
          <w:color w:val="auto"/>
        </w:rPr>
      </w:pPr>
    </w:p>
    <w:p>
      <w:pPr>
        <w:ind w:left="460" w:right="80" w:hanging="455"/>
        <w:spacing w:after="0" w:line="24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March 31, 2024, annualized for a full year. Expenses for PSSL may fluctuate over time and may be substantially higher or lower in the future. Our stockholders indirectly bear 23.08% of the expenses of our investment in PTSF. A management fee equal to 0.50% per annum of the gross assets of PTSF and its subsidiaries is charged by PennantPark Investment Advisers in connection with PTSF. For this chart, PTSF fees and operating expenses are based on our share of the actual fees and operating expenses of PTSF for the fiscal quarter ended March 31, 2024, annualized for a full year. Expenses for PTSF may fluctuate over time and may be substantially higher or lower in the future.</w:t>
      </w:r>
    </w:p>
    <w:p>
      <w:pPr>
        <w:ind w:left="460" w:right="20" w:hanging="455"/>
        <w:spacing w:after="0" w:line="24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quarter ended March 31, 2024, annualized for a full year.</w:t>
      </w:r>
    </w:p>
    <w:p>
      <w:pPr>
        <w:ind w:left="460" w:hanging="455"/>
        <w:spacing w:after="0" w:line="24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12.21% of average total assets.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3.0% sales load (underwriting discounts and commissions) and offering expenses totaling 0.50%, (2) total net estimated annual expenses of 24.12% of average net assets attributable to common shares as set forth in the table above (other than performance-based incentive fees) and (3) a 5% annual return.</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 stock investment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1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92"/>
        </w:trPr>
        <w:tc>
          <w:tcPr>
            <w:tcW w:w="69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553</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755</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$ 1,004</w:t>
            </w:r>
          </w:p>
        </w:tc>
      </w:tr>
      <w:tr>
        <w:trPr>
          <w:trHeight w:val="192"/>
        </w:trPr>
        <w:tc>
          <w:tcPr>
            <w:tcW w:w="6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return only from realized capital gains and thus subject</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capital gains incentive fee)</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$ 1,004</w:t>
            </w:r>
          </w:p>
        </w:tc>
      </w:tr>
    </w:tbl>
    <w:p>
      <w:pPr>
        <w:spacing w:after="0" w:line="193" w:lineRule="exact"/>
        <w:rPr>
          <w:sz w:val="20"/>
          <w:szCs w:val="20"/>
          <w:color w:val="auto"/>
        </w:rPr>
      </w:pPr>
    </w:p>
    <w:p>
      <w:pPr>
        <w:ind w:firstLine="450"/>
        <w:spacing w:after="0" w:line="28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for more information in our most recent Annual Report on </w:t>
      </w:r>
      <w:hyperlink r:id="rId36">
        <w:r>
          <w:rPr>
            <w:rFonts w:ascii="Times New Roman" w:cs="Times New Roman" w:eastAsia="Times New Roman" w:hAnsi="Times New Roman"/>
            <w:sz w:val="16"/>
            <w:szCs w:val="16"/>
            <w:u w:val="single" w:color="auto"/>
            <w:color w:val="0000EE"/>
          </w:rPr>
          <w:t>Form 10-K</w:t>
        </w:r>
      </w:hyperlink>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92" w:right="339" w:bottom="1440" w:gutter="0" w:footer="0" w:header="0"/>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FINANCIAL HIGHLIGHTS</w:t>
      </w:r>
    </w:p>
    <w:p>
      <w:pPr>
        <w:spacing w:after="0" w:line="216" w:lineRule="exact"/>
        <w:rPr>
          <w:sz w:val="20"/>
          <w:szCs w:val="20"/>
          <w:color w:val="auto"/>
        </w:rPr>
      </w:pPr>
    </w:p>
    <w:p>
      <w:pPr>
        <w:ind w:right="140" w:firstLine="450"/>
        <w:spacing w:after="0" w:line="24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data set forth in the following table as of and for the years ended September 30, 2023, 2022, 2021, 2020, 2019, 2018, 2017, 2016, 2015 and 2014 are derived from our consolidated financial statements, which have been audited by an independent registered public accounting firm for those periods. The financial data set forth in the following table as of and for the six months ended March 31, 2024 is derived from our unaudited consolidated financial statements, but in the opinion of management, reflects all adjustments (consisting only of normal recurring adjustments) that are necessary to present fairly the results of such interim period. Interim results as of and for the six months ended March 31, 2024 are not necessarily indicative of the results that may be expected for the year ending September 30, 2024. This financial data should be read in conjunction with our Consolidated Financial Statements and related notes thereto and “Management’s Discussion and Analysis of Financial Condition and Results of Operations” included in our most recent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most recent Quarterly Report on</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Form 10-Q</w:t>
        </w:r>
      </w:hyperlink>
      <w:r>
        <w:rPr>
          <w:rFonts w:ascii="Times New Roman" w:cs="Times New Roman" w:eastAsia="Times New Roman" w:hAnsi="Times New Roman"/>
          <w:sz w:val="18"/>
          <w:szCs w:val="18"/>
          <w:color w:val="000000"/>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six months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ended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2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beginning of</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200" w:type="dxa"/>
            <w:vAlign w:val="bottom"/>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14.40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investment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realized and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unrealized (loss)</w:t>
            </w: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(0.56)</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0.44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(1)</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increase in net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assets resulting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from</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0.77</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0.47</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operations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Distribution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Distribution of</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realized gains</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Total distributions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stockholders (1),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4"/>
        </w:trPr>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Accretive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(dilutive) effect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of common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issuance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and acquisition</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MCG (1)</w:t>
            </w: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00" w:type="dxa"/>
            <w:vAlign w:val="bottom"/>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11.62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 of period</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Per share market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value, end of</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9.60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return*(3)</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12.76%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23.84%</w:t>
            </w:r>
          </w:p>
        </w:tc>
        <w:tc>
          <w:tcPr>
            <w:tcW w:w="60" w:type="dxa"/>
            <w:vAlign w:val="bottom"/>
          </w:tcPr>
          <w:p>
            <w:pPr>
              <w:spacing w:after="0"/>
              <w:rPr>
                <w:sz w:val="13"/>
                <w:szCs w:val="13"/>
                <w:color w:val="auto"/>
              </w:rPr>
            </w:pPr>
          </w:p>
        </w:tc>
        <w:tc>
          <w:tcPr>
            <w:tcW w:w="9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(17.76)%</w:t>
            </w:r>
          </w:p>
        </w:tc>
        <w:tc>
          <w:tcPr>
            <w:tcW w:w="6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66.47%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(17.15)%</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(3.20)%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21.77%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63,228,138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58,734,702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45,345,638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38,880,728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8"/>
              </w:rPr>
              <w:t>38,772,074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32,480,074</w:t>
            </w: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26,730,074</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5"/>
              </w:rPr>
              <w:t>26,730,074</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14,898,056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 end of 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4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Ratios**/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Supplemental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operating</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5.90%</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(4)</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debt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related expenses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 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6.68%</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5.85%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total</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11.19%</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income 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11.82%</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9.55%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assets at end of</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720,711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653,605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527,092</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490,611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477,270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503,057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535,842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457,906</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375,907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372,890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214,528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outstanding</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667,111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615,068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698,765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622,739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737,209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512,135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354,322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269,320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140,218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123,924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147,599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per</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17.06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16.06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19.01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(1)</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Asset coverage per</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2,304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1,784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1,786</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2,122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2,601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13,598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(6)</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Portfolio turnover</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28.64%</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45.03%</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62.58%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35.08%</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47.15%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32.16%</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51.02%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340"/>
          </w:cols>
          <w:pgMar w:left="320" w:top="290" w:right="239" w:bottom="1440" w:gutter="0" w:footer="0" w:header="0"/>
        </w:sectPr>
      </w:pPr>
    </w:p>
    <w:p>
      <w:pPr>
        <w:jc w:val="center"/>
        <w:ind w:right="10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340"/>
          </w:cols>
          <w:pgMar w:left="320" w:top="290" w:right="2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Note: The expense and investment income ratios above do not reflect the Company’s proportionate share of income and expenses of PSSL and PTSF.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854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68" w:lineRule="exact"/>
        <w:rPr>
          <w:sz w:val="20"/>
          <w:szCs w:val="20"/>
          <w:color w:val="auto"/>
        </w:rPr>
      </w:pPr>
    </w:p>
    <w:p>
      <w:pPr>
        <w:ind w:left="460" w:hanging="455"/>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annualized for periods less than one year.</w:t>
      </w:r>
    </w:p>
    <w:p>
      <w:pPr>
        <w:spacing w:after="0" w:line="21" w:lineRule="exact"/>
        <w:rPr>
          <w:sz w:val="20"/>
          <w:szCs w:val="20"/>
          <w:color w:val="auto"/>
        </w:rPr>
      </w:pPr>
    </w:p>
    <w:p>
      <w:pPr>
        <w:ind w:left="460" w:hanging="455"/>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Re-occuring investment income and expenses included in these ratios are annualized for periods less than one year.</w:t>
      </w:r>
    </w:p>
    <w:p>
      <w:pPr>
        <w:spacing w:after="0" w:line="4" w:lineRule="exact"/>
        <w:rPr>
          <w:sz w:val="20"/>
          <w:szCs w:val="20"/>
          <w:color w:val="auto"/>
        </w:rPr>
      </w:pP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weighted average shares outstanding for the respective periods.</w:t>
      </w:r>
    </w:p>
    <w:p>
      <w:pPr>
        <w:spacing w:after="0" w:line="3" w:lineRule="exact"/>
        <w:rPr>
          <w:rFonts w:ascii="Times New Roman" w:cs="Times New Roman" w:eastAsia="Times New Roman" w:hAnsi="Times New Roman"/>
          <w:sz w:val="18"/>
          <w:szCs w:val="18"/>
          <w:color w:val="auto"/>
        </w:rPr>
      </w:pPr>
    </w:p>
    <w:p>
      <w:pPr>
        <w:ind w:left="460" w:right="160" w:hanging="455"/>
        <w:spacing w:after="0" w:line="244"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status of distributions is calculated in accordance with income tax regulations, which may differ from amounts determined under GAAP, and reported on Form 1099-DIV each calendar year.</w:t>
      </w: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change in market price per share during the period and assumes distributions, if any, are reinvested.</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debt related costs.</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and expenses on debt (annualized) as well as Credit Facility amendment and debt issuance costs, if any (not annualized).</w:t>
      </w:r>
    </w:p>
    <w:p>
      <w:pPr>
        <w:spacing w:after="0" w:line="3" w:lineRule="exact"/>
        <w:rPr>
          <w:rFonts w:ascii="Times New Roman" w:cs="Times New Roman" w:eastAsia="Times New Roman" w:hAnsi="Times New Roman"/>
          <w:sz w:val="18"/>
          <w:szCs w:val="18"/>
          <w:color w:val="auto"/>
        </w:rPr>
      </w:pPr>
    </w:p>
    <w:p>
      <w:pPr>
        <w:ind w:left="460" w:hanging="455"/>
        <w:spacing w:after="0" w:line="246"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292" w:right="519" w:bottom="1440" w:gutter="0" w:footer="0" w:header="0"/>
        </w:sectPr>
      </w:pPr>
    </w:p>
    <w:bookmarkStart w:id="13" w:name="page14"/>
    <w:bookmarkEnd w:id="1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RISK FACTORS</w:t>
      </w:r>
    </w:p>
    <w:p>
      <w:pPr>
        <w:spacing w:after="0" w:line="216" w:lineRule="exact"/>
        <w:rPr>
          <w:sz w:val="20"/>
          <w:szCs w:val="20"/>
          <w:color w:val="auto"/>
        </w:rPr>
      </w:pPr>
    </w:p>
    <w:p>
      <w:pPr>
        <w:ind w:firstLine="45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w:t>
      </w:r>
      <w:hyperlink r:id="rId30">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September 30, 2023, filed on December 8, 2023,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290" w:right="439" w:bottom="1440" w:gutter="0" w:footer="0" w:header="0"/>
        </w:sectPr>
      </w:pPr>
    </w:p>
    <w:bookmarkStart w:id="14" w:name="page15"/>
    <w:bookmarkEnd w:id="1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FORWARD-LOOKING STATEMENTS</w:t>
      </w:r>
    </w:p>
    <w:p>
      <w:pPr>
        <w:spacing w:after="0" w:line="216"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3" w:lineRule="exact"/>
        <w:rPr>
          <w:sz w:val="20"/>
          <w:szCs w:val="20"/>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inflation, and its impact on us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Hamas-Israel conflicts and other world economic and political issues;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 over financial reporting.</w:t>
      </w:r>
    </w:p>
    <w:p>
      <w:pPr>
        <w:spacing w:after="0" w:line="214"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8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290" w:right="439" w:bottom="1440" w:gutter="0" w:footer="0" w:header="0"/>
        </w:sectPr>
      </w:pPr>
    </w:p>
    <w:bookmarkStart w:id="15" w:name="page16"/>
    <w:bookmarkEnd w:id="15"/>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83"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Forms 10-K and 10-Q and current reports on Form 8-K.</w:t>
      </w:r>
    </w:p>
    <w:p>
      <w:pPr>
        <w:spacing w:after="0" w:line="185" w:lineRule="exact"/>
        <w:rPr>
          <w:sz w:val="20"/>
          <w:szCs w:val="20"/>
          <w:color w:val="auto"/>
        </w:rPr>
      </w:pPr>
    </w:p>
    <w:p>
      <w:pPr>
        <w:ind w:right="220" w:firstLine="450"/>
        <w:spacing w:after="0" w:line="256" w:lineRule="auto"/>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292"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USE OF PROCEEDS</w:t>
      </w:r>
    </w:p>
    <w:p>
      <w:pPr>
        <w:spacing w:after="0" w:line="216"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Unless otherwise specified in a prospectus supplement or a free writing prospectus we have authorized for use in connection with a specific offering, we may use the net proceeds from selling securities pursuant to this prospectus to reduce our then-outstanding debt obligations, to invest in new or existing portfolio companies, to capitalize a subsidiary or for other general corporate or strategic purposes.</w:t>
      </w:r>
    </w:p>
    <w:p>
      <w:pPr>
        <w:spacing w:after="0" w:line="180" w:lineRule="exact"/>
        <w:rPr>
          <w:sz w:val="20"/>
          <w:szCs w:val="20"/>
          <w:color w:val="auto"/>
        </w:rPr>
      </w:pPr>
    </w:p>
    <w:p>
      <w:pPr>
        <w:ind w:firstLine="45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290" w:right="35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SENIOR SECURITIES</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our senior securities is shown in the following table as of the end of the fiscal quarter ended March 31, 2024 and as of September 30, 2023, 2022, 2021, 2020, 2019, 2018, 2017, 2016, 2015, and 2014. The report of RSM US LLP, an independent registered public accounting firm, on our senior securities table as of September 30, 2023 is included in our most recent Annual Report on </w:t>
      </w:r>
      <w:hyperlink r:id="rId30">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on December 8, 2023, and is incorporated by reference into the registration statement of which this prospectus is a part.</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560" w:type="dxa"/>
            <w:vAlign w:val="bottom"/>
            <w:gridSpan w:val="2"/>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256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69"/>
        </w:trPr>
        <w:tc>
          <w:tcPr>
            <w:tcW w:w="3700" w:type="dxa"/>
            <w:vAlign w:val="bottom"/>
            <w:gridSpan w:val="2"/>
            <w:vMerge w:val="continue"/>
          </w:tcPr>
          <w:p>
            <w:pPr>
              <w:spacing w:after="0"/>
              <w:rPr>
                <w:sz w:val="14"/>
                <w:szCs w:val="14"/>
                <w:color w:val="auto"/>
              </w:rPr>
            </w:pPr>
          </w:p>
        </w:tc>
        <w:tc>
          <w:tcPr>
            <w:tcW w:w="25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 xml:space="preserve">Outstanding </w:t>
            </w:r>
            <w:r>
              <w:rPr>
                <w:rFonts w:ascii="Times New Roman" w:cs="Times New Roman" w:eastAsia="Times New Roman" w:hAnsi="Times New Roman"/>
                <w:sz w:val="8"/>
                <w:szCs w:val="8"/>
                <w:b w:val="1"/>
                <w:bCs w:val="1"/>
                <w:color w:val="auto"/>
              </w:rPr>
              <w:t>(1)</w:t>
            </w:r>
          </w:p>
        </w:tc>
        <w:tc>
          <w:tcPr>
            <w:tcW w:w="58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8"/>
                <w:szCs w:val="8"/>
                <w:b w:val="1"/>
                <w:bCs w:val="1"/>
                <w:color w:val="auto"/>
              </w:rPr>
              <w:t>(2)</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168,855</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168,830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219,400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308,599</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265,308</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333,728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253,783</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2,780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2016</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232,908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2,601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29,600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13,598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2014</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146,400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2,469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76,219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97,006</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117,793</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100,000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2031 Asset-Backed Debt</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226,259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2036 Asset-Backed Debt</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287,000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60" w:hanging="455"/>
        <w:spacing w:after="0"/>
        <w:tabs>
          <w:tab w:leader="none" w:pos="460" w:val="left"/>
        </w:tabs>
        <w:numPr>
          <w:ilvl w:val="0"/>
          <w:numId w:val="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Total cost of each class of senior securities outstanding at the end of the period presented in thousands (000s).</w:t>
      </w:r>
    </w:p>
    <w:p>
      <w:pPr>
        <w:spacing w:after="0" w:line="2" w:lineRule="exact"/>
        <w:rPr>
          <w:rFonts w:ascii="Times New Roman" w:cs="Times New Roman" w:eastAsia="Times New Roman" w:hAnsi="Times New Roman"/>
          <w:sz w:val="22"/>
          <w:szCs w:val="22"/>
          <w:b w:val="1"/>
          <w:bCs w:val="1"/>
          <w:color w:val="auto"/>
          <w:vertAlign w:val="superscript"/>
        </w:rPr>
      </w:pPr>
    </w:p>
    <w:p>
      <w:pPr>
        <w:ind w:left="460" w:right="40" w:hanging="455"/>
        <w:spacing w:after="0" w:line="226" w:lineRule="auto"/>
        <w:tabs>
          <w:tab w:leader="none" w:pos="460" w:val="left"/>
        </w:tabs>
        <w:numPr>
          <w:ilvl w:val="0"/>
          <w:numId w:val="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Times New Roman" w:cs="Times New Roman" w:eastAsia="Times New Roman" w:hAnsi="Times New Roman"/>
          <w:sz w:val="22"/>
          <w:szCs w:val="22"/>
          <w:b w:val="1"/>
          <w:bCs w:val="1"/>
          <w:color w:val="auto"/>
          <w:vertAlign w:val="superscript"/>
        </w:rPr>
      </w:pPr>
    </w:p>
    <w:p>
      <w:pPr>
        <w:ind w:left="460" w:hanging="455"/>
        <w:spacing w:after="0" w:line="199" w:lineRule="auto"/>
        <w:tabs>
          <w:tab w:leader="none" w:pos="460" w:val="left"/>
        </w:tabs>
        <w:numPr>
          <w:ilvl w:val="0"/>
          <w:numId w:val="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Not applicable, as senior securities are not registered for public trading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-675005</wp:posOffset>
            </wp:positionV>
            <wp:extent cx="785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290"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PRICE RANGE OF COMMON STOCK</w:t>
      </w:r>
    </w:p>
    <w:p>
      <w:pPr>
        <w:spacing w:after="0" w:line="216"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On April 14, 2022, listing and trading of the Company’s common stock commenced on the New York Stock Exchange after the Company voluntarily withdrew the principal listing of its common stock from the Nasdaq Global Stock Market effective at market close on April 13, 2022. Our common stock trades on the New York Stock Exchange under the symbol “PFLT.” The following table lists the high and low closing sale prices for our common stock, the closing sale prices as a premium or (discount) to our NAV per share and distributions per share for each full quarterly period within the fiscal years ended September 30, 2023 and 2022, and each full fiscal quarter since the beginning of the fiscal year ended September 30,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jc w:val="center"/>
              <w:ind w:right="5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1600" w:type="dxa"/>
            <w:vAlign w:val="bottom"/>
          </w:tcPr>
          <w:p>
            <w:pPr>
              <w:jc w:val="center"/>
              <w:ind w:right="13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80" w:type="dxa"/>
            <w:vAlign w:val="bottom"/>
            <w:vMerge w:val="restart"/>
          </w:tcPr>
          <w:p>
            <w:pPr>
              <w:jc w:val="right"/>
              <w:ind w:right="196"/>
              <w:spacing w:after="0"/>
              <w:rPr>
                <w:sz w:val="20"/>
                <w:szCs w:val="20"/>
                <w:color w:val="auto"/>
              </w:rPr>
            </w:pPr>
            <w:r>
              <w:rPr>
                <w:rFonts w:ascii="Times New Roman" w:cs="Times New Roman" w:eastAsia="Times New Roman" w:hAnsi="Times New Roman"/>
                <w:sz w:val="28"/>
                <w:szCs w:val="28"/>
                <w:b w:val="1"/>
                <w:bCs w:val="1"/>
                <w:color w:val="auto"/>
                <w:vertAlign w:val="subscript"/>
              </w:rPr>
              <w:t>NAV</w:t>
            </w:r>
            <w:r>
              <w:rPr>
                <w:rFonts w:ascii="Times New Roman" w:cs="Times New Roman" w:eastAsia="Times New Roman" w:hAnsi="Times New Roman"/>
                <w:sz w:val="9"/>
                <w:szCs w:val="9"/>
                <w:b w:val="1"/>
                <w:bCs w:val="1"/>
                <w:color w:val="auto"/>
              </w:rPr>
              <w:t xml:space="preserve"> (1)</w:t>
            </w:r>
          </w:p>
        </w:tc>
        <w:tc>
          <w:tcPr>
            <w:tcW w:w="2000" w:type="dxa"/>
            <w:vAlign w:val="bottom"/>
            <w:gridSpan w:val="3"/>
          </w:tcPr>
          <w:p>
            <w:pPr>
              <w:jc w:val="right"/>
              <w:ind w:right="354"/>
              <w:spacing w:after="0" w:line="158" w:lineRule="exact"/>
              <w:rPr>
                <w:sz w:val="20"/>
                <w:szCs w:val="20"/>
                <w:color w:val="auto"/>
              </w:rPr>
            </w:pPr>
            <w:r>
              <w:rPr>
                <w:rFonts w:ascii="Times New Roman" w:cs="Times New Roman" w:eastAsia="Times New Roman" w:hAnsi="Times New Roman"/>
                <w:sz w:val="14"/>
                <w:szCs w:val="14"/>
                <w:b w:val="1"/>
                <w:bCs w:val="1"/>
                <w:color w:val="auto"/>
              </w:rPr>
              <w:t>Closing Sale Prices</w:t>
            </w:r>
          </w:p>
        </w:tc>
        <w:tc>
          <w:tcPr>
            <w:tcW w:w="156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w w:val="98"/>
              </w:rPr>
              <w:t>of High Sale</w:t>
            </w:r>
          </w:p>
        </w:tc>
        <w:tc>
          <w:tcPr>
            <w:tcW w:w="1600" w:type="dxa"/>
            <w:vAlign w:val="bottom"/>
          </w:tcPr>
          <w:p>
            <w:pPr>
              <w:jc w:val="center"/>
              <w:ind w:right="137"/>
              <w:spacing w:after="0" w:line="158" w:lineRule="exact"/>
              <w:rPr>
                <w:sz w:val="20"/>
                <w:szCs w:val="20"/>
                <w:color w:val="auto"/>
              </w:rPr>
            </w:pPr>
            <w:r>
              <w:rPr>
                <w:rFonts w:ascii="Times New Roman" w:cs="Times New Roman" w:eastAsia="Times New Roman" w:hAnsi="Times New Roman"/>
                <w:sz w:val="14"/>
                <w:szCs w:val="14"/>
                <w:b w:val="1"/>
                <w:bCs w:val="1"/>
                <w:color w:val="auto"/>
                <w:w w:val="99"/>
              </w:rPr>
              <w:t>of Low Sale</w:t>
            </w:r>
          </w:p>
        </w:tc>
        <w:tc>
          <w:tcPr>
            <w:tcW w:w="108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169"/>
        </w:trPr>
        <w:tc>
          <w:tcPr>
            <w:tcW w:w="33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4"/>
                <w:szCs w:val="14"/>
                <w:color w:val="auto"/>
              </w:rPr>
            </w:pPr>
          </w:p>
        </w:tc>
        <w:tc>
          <w:tcPr>
            <w:tcW w:w="6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8"/>
                <w:szCs w:val="8"/>
                <w:b w:val="1"/>
                <w:bCs w:val="1"/>
                <w:color w:val="auto"/>
                <w:w w:val="98"/>
              </w:rPr>
              <w:t>(2)</w:t>
            </w: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8"/>
                <w:szCs w:val="8"/>
                <w:b w:val="1"/>
                <w:bCs w:val="1"/>
                <w:color w:val="auto"/>
                <w:w w:val="98"/>
              </w:rPr>
              <w:t>(2)</w:t>
            </w:r>
          </w:p>
        </w:tc>
        <w:tc>
          <w:tcPr>
            <w:tcW w:w="34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2024</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$11.40</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$12.61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3"/>
              </w:rPr>
              <w:t>11.09</w:t>
            </w: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11.20</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12.24</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9.71</w:t>
            </w:r>
          </w:p>
        </w:tc>
        <w:tc>
          <w:tcPr>
            <w:tcW w:w="1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2023</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$11.13</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$11.39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3"/>
              </w:rPr>
              <w:t>10.32</w:t>
            </w:r>
          </w:p>
        </w:tc>
        <w:tc>
          <w:tcPr>
            <w:tcW w:w="1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10.96</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3"/>
              </w:rPr>
              <w:t>10.37</w:t>
            </w:r>
          </w:p>
        </w:tc>
        <w:tc>
          <w:tcPr>
            <w:tcW w:w="15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0.303</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11.15</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12.20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9.98</w:t>
            </w:r>
          </w:p>
        </w:tc>
        <w:tc>
          <w:tcPr>
            <w:tcW w:w="1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11.30</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11.56</w:t>
            </w: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9.77</w:t>
            </w:r>
          </w:p>
        </w:tc>
        <w:tc>
          <w:tcPr>
            <w:tcW w:w="15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2022</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$11.62</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$13.19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9.60</w:t>
            </w: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14%</w:t>
            </w:r>
          </w:p>
        </w:tc>
        <w:tc>
          <w:tcPr>
            <w:tcW w:w="1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12.21</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14.20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3"/>
              </w:rPr>
              <w:t>10.45</w:t>
            </w:r>
          </w:p>
        </w:tc>
        <w:tc>
          <w:tcPr>
            <w:tcW w:w="1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12.62</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13.56</w:t>
            </w:r>
          </w:p>
        </w:tc>
        <w:tc>
          <w:tcPr>
            <w:tcW w:w="36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3"/>
              </w:rPr>
              <w:t>12.23</w:t>
            </w:r>
          </w:p>
        </w:tc>
        <w:tc>
          <w:tcPr>
            <w:tcW w:w="15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12.70</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13.80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93"/>
              </w:rPr>
              <w:t>12.23</w:t>
            </w:r>
          </w:p>
        </w:tc>
        <w:tc>
          <w:tcPr>
            <w:tcW w:w="15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300" w:hanging="455"/>
        <w:spacing w:after="0" w:line="228" w:lineRule="auto"/>
        <w:tabs>
          <w:tab w:leader="none" w:pos="460" w:val="left"/>
        </w:tabs>
        <w:numPr>
          <w:ilvl w:val="0"/>
          <w:numId w:val="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Times New Roman" w:cs="Times New Roman" w:eastAsia="Times New Roman" w:hAnsi="Times New Roman"/>
          <w:sz w:val="22"/>
          <w:szCs w:val="22"/>
          <w:b w:val="1"/>
          <w:bCs w:val="1"/>
          <w:color w:val="auto"/>
          <w:vertAlign w:val="superscript"/>
        </w:rPr>
      </w:pPr>
    </w:p>
    <w:p>
      <w:pPr>
        <w:ind w:left="460" w:hanging="455"/>
        <w:spacing w:after="0" w:line="199" w:lineRule="auto"/>
        <w:tabs>
          <w:tab w:leader="none" w:pos="460" w:val="left"/>
        </w:tabs>
        <w:numPr>
          <w:ilvl w:val="0"/>
          <w:numId w:val="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8"/>
          <w:szCs w:val="18"/>
          <w:color w:val="auto"/>
        </w:rPr>
        <w:t>Calculated as the respective high or low closing sales price less NAV per share, divided by the quarter-end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-407670</wp:posOffset>
            </wp:positionV>
            <wp:extent cx="7854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74" w:lineRule="exact"/>
        <w:rPr>
          <w:sz w:val="20"/>
          <w:szCs w:val="20"/>
          <w:color w:val="auto"/>
        </w:rPr>
      </w:pPr>
    </w:p>
    <w:p>
      <w:pPr>
        <w:jc w:val="both"/>
        <w:ind w:right="80" w:firstLine="450"/>
        <w:spacing w:after="0" w:line="250"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Our shares have traded above and below our NAV. Our shares closed on the New York Stock Exchange at $11.38 and $10.61 on March 31, 2024 and 2023, respectively. Our NAV per share was $11.40 and $11.15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engage in any sales of unregistered securities during the quarter ended March 31,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repurchase any of our common stock under our share repurchase plan during the quarter ended March 31, 2024.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29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SALES OF COMMON STOCK BELOW NET ASSET VALUE</w:t>
      </w:r>
    </w:p>
    <w:p>
      <w:pPr>
        <w:spacing w:after="0" w:line="216" w:lineRule="exact"/>
        <w:rPr>
          <w:sz w:val="20"/>
          <w:szCs w:val="20"/>
          <w:color w:val="auto"/>
        </w:rPr>
      </w:pPr>
    </w:p>
    <w:p>
      <w:pPr>
        <w:ind w:right="240" w:firstLine="450"/>
        <w:spacing w:after="0" w:line="303" w:lineRule="auto"/>
        <w:rPr>
          <w:sz w:val="20"/>
          <w:szCs w:val="20"/>
          <w:color w:val="auto"/>
        </w:rPr>
      </w:pPr>
      <w:r>
        <w:rPr>
          <w:rFonts w:ascii="Times New Roman" w:cs="Times New Roman" w:eastAsia="Times New Roman" w:hAnsi="Times New Roman"/>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3" w:lineRule="exact"/>
        <w:rPr>
          <w:sz w:val="20"/>
          <w:szCs w:val="20"/>
          <w:color w:val="auto"/>
        </w:rPr>
      </w:pPr>
    </w:p>
    <w:p>
      <w:pPr>
        <w:ind w:left="1000" w:right="38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NAV per share would have on our stockholders, including the potential dilution they would experience as a result of the offering;</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NAV per share;</w:t>
      </w:r>
    </w:p>
    <w:p>
      <w:pPr>
        <w:spacing w:after="0" w:line="77"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NAV per share and the potential impact of the offering on the market price per share of our common stock;</w:t>
      </w:r>
    </w:p>
    <w:p>
      <w:pPr>
        <w:spacing w:after="0" w:line="77" w:lineRule="exact"/>
        <w:rPr>
          <w:rFonts w:ascii="Times New Roman" w:cs="Times New Roman" w:eastAsia="Times New Roman" w:hAnsi="Times New Roman"/>
          <w:sz w:val="18"/>
          <w:szCs w:val="18"/>
          <w:color w:val="auto"/>
        </w:rPr>
      </w:pPr>
    </w:p>
    <w:p>
      <w:pPr>
        <w:ind w:left="1000" w:right="16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 less distributing commissions or discounts, and would not be below current market price;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in the current financial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 both before and after the offering and other borrowing terms;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investment opportunities available relative to the potential dilutive effect of additional capital at the time of the offering.</w:t>
      </w:r>
    </w:p>
    <w:p>
      <w:pPr>
        <w:spacing w:after="0" w:line="214"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80"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80" w:lineRule="exact"/>
        <w:rPr>
          <w:sz w:val="20"/>
          <w:szCs w:val="20"/>
          <w:color w:val="auto"/>
        </w:rPr>
      </w:pPr>
    </w:p>
    <w:p>
      <w:pPr>
        <w:ind w:firstLine="450"/>
        <w:spacing w:after="0" w:line="278" w:lineRule="auto"/>
        <w:rPr>
          <w:sz w:val="20"/>
          <w:szCs w:val="20"/>
          <w:color w:val="auto"/>
        </w:rPr>
      </w:pPr>
      <w:r>
        <w:rPr>
          <w:rFonts w:ascii="Times New Roman" w:cs="Times New Roman" w:eastAsia="Times New Roman" w:hAnsi="Times New Roman"/>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w:t>
      </w:r>
    </w:p>
    <w:p>
      <w:pPr>
        <w:spacing w:after="0" w:line="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290" w:right="339" w:bottom="1440" w:gutter="0" w:footer="0" w:header="0"/>
        </w:sectPr>
      </w:pPr>
    </w:p>
    <w:bookmarkStart w:id="20" w:name="page21"/>
    <w:bookmarkEnd w:id="20"/>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7" w:lineRule="exact"/>
        <w:rPr>
          <w:sz w:val="20"/>
          <w:szCs w:val="20"/>
          <w:color w:val="auto"/>
        </w:rPr>
      </w:pPr>
    </w:p>
    <w:p>
      <w:pPr>
        <w:ind w:left="1000" w:hanging="44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stockholders who purchase a relatively small amount of shares in the offering or a relatively large amount of shares in the offering; and</w:t>
      </w:r>
    </w:p>
    <w:p>
      <w:pPr>
        <w:spacing w:after="0" w:line="144"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292" w:right="379" w:bottom="1440" w:gutter="0" w:footer="0" w:header="0"/>
        </w:sectPr>
      </w:pPr>
    </w:p>
    <w:bookmarkStart w:id="21" w:name="page22"/>
    <w:bookmarkEnd w:id="21"/>
    <w:p>
      <w:pPr>
        <w:ind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Example 3</w:t>
            </w:r>
          </w:p>
        </w:tc>
        <w:tc>
          <w:tcPr>
            <w:tcW w:w="0" w:type="dxa"/>
            <w:vAlign w:val="bottom"/>
          </w:tcPr>
          <w:p>
            <w:pPr>
              <w:spacing w:after="0"/>
              <w:rPr>
                <w:sz w:val="1"/>
                <w:szCs w:val="1"/>
                <w:color w:val="auto"/>
              </w:rPr>
            </w:pPr>
          </w:p>
        </w:tc>
      </w:tr>
      <w:tr>
        <w:trPr>
          <w:trHeight w:val="145"/>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jc w:val="center"/>
              <w:ind w:right="30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20" w:type="dxa"/>
            <w:vAlign w:val="bottom"/>
            <w:gridSpan w:val="2"/>
          </w:tcPr>
          <w:p>
            <w:pPr>
              <w:jc w:val="center"/>
              <w:ind w:right="342"/>
              <w:spacing w:after="0" w:line="145"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220" w:type="dxa"/>
            <w:vAlign w:val="bottom"/>
          </w:tcPr>
          <w:p>
            <w:pPr>
              <w:spacing w:after="0"/>
              <w:rPr>
                <w:sz w:val="12"/>
                <w:szCs w:val="12"/>
                <w:color w:val="auto"/>
              </w:rPr>
            </w:pPr>
          </w:p>
        </w:tc>
        <w:tc>
          <w:tcPr>
            <w:tcW w:w="192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w w:val="98"/>
              </w:rPr>
              <w:t>25% Offering</w:t>
            </w: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20" w:type="dxa"/>
            <w:vAlign w:val="bottom"/>
            <w:gridSpan w:val="2"/>
          </w:tcPr>
          <w:p>
            <w:pPr>
              <w:jc w:val="center"/>
              <w:ind w:right="32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w w:val="98"/>
              </w:rPr>
              <w:t>at 25% Discount</w:t>
            </w: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0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2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9.47</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7.89</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7.50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1,000,000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1,050,000</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3"/>
              </w:rPr>
              <w:t>1,100,000</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1,250,000</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240" w:type="dxa"/>
            <w:vAlign w:val="bottom"/>
          </w:tcPr>
          <w:p>
            <w:pPr>
              <w:spacing w:after="0"/>
              <w:rPr>
                <w:sz w:val="17"/>
                <w:szCs w:val="17"/>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0.95%</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0.91%</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99,800</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99,100</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$10.00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 to stockholder A (total NAV less total</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(200)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(5,000)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(assumed to be $10.00 per share on shares held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prior to sale)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per share held by stockholder A (NAV per</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less investment per share)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(0.09)</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Percentage dilution to stockholder A (dilution per</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Participate in the Offering</w:t>
      </w:r>
    </w:p>
    <w:p>
      <w:pPr>
        <w:spacing w:after="0" w:line="113" w:lineRule="exact"/>
        <w:rPr>
          <w:sz w:val="20"/>
          <w:szCs w:val="20"/>
          <w:color w:val="auto"/>
        </w:rPr>
      </w:pPr>
    </w:p>
    <w:p>
      <w:pPr>
        <w:ind w:right="20" w:firstLine="450"/>
        <w:spacing w:after="0" w:line="280" w:lineRule="auto"/>
        <w:rPr>
          <w:sz w:val="20"/>
          <w:szCs w:val="20"/>
          <w:color w:val="auto"/>
        </w:rPr>
      </w:pPr>
      <w:r>
        <w:rPr>
          <w:rFonts w:ascii="Times New Roman" w:cs="Times New Roman" w:eastAsia="Times New Roman" w:hAnsi="Times New Roman"/>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292" w:right="339" w:bottom="1440" w:gutter="0" w:footer="0" w:header="0"/>
        </w:sectPr>
      </w:pPr>
    </w:p>
    <w:bookmarkStart w:id="22" w:name="page23"/>
    <w:bookmarkEnd w:id="22"/>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80" w:type="dxa"/>
            <w:vAlign w:val="bottom"/>
          </w:tcPr>
          <w:p>
            <w:pPr>
              <w:spacing w:after="0"/>
              <w:rPr>
                <w:sz w:val="13"/>
                <w:szCs w:val="13"/>
                <w:color w:val="auto"/>
              </w:rPr>
            </w:pPr>
          </w:p>
        </w:tc>
        <w:tc>
          <w:tcPr>
            <w:tcW w:w="2180" w:type="dxa"/>
            <w:vAlign w:val="bottom"/>
            <w:gridSpan w:val="2"/>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80" w:type="dxa"/>
            <w:vAlign w:val="bottom"/>
          </w:tcPr>
          <w:p>
            <w:pPr>
              <w:spacing w:after="0"/>
              <w:rPr>
                <w:sz w:val="13"/>
                <w:szCs w:val="13"/>
                <w:color w:val="auto"/>
              </w:rPr>
            </w:pPr>
          </w:p>
        </w:tc>
        <w:tc>
          <w:tcPr>
            <w:tcW w:w="2020" w:type="dxa"/>
            <w:vAlign w:val="bottom"/>
            <w:gridSpan w:val="2"/>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2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2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per share to issuer</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Shares and Decrease to NAV</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1,000,000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(Dilution)/Accretion to Participating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340" w:type="dxa"/>
            <w:vAlign w:val="bottom"/>
          </w:tcPr>
          <w:p>
            <w:pPr>
              <w:spacing w:after="0"/>
              <w:rPr>
                <w:sz w:val="17"/>
                <w:szCs w:val="17"/>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11,250</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13,750</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0.90%</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106,875</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130,625</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 share on shares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109,863</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129,588</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(dilution)/accretion to stockholder A (total NAV less total investment)</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(2,988)</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1,037</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 $10.00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on shares 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9.77</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9.42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86"/>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 stockholder A (NAV per share less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(0.27)</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0.08</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 A (dilution)/accretion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13"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120" w:firstLine="450"/>
        <w:spacing w:after="0" w:line="247" w:lineRule="auto"/>
        <w:rPr>
          <w:sz w:val="20"/>
          <w:szCs w:val="20"/>
          <w:color w:val="auto"/>
        </w:rPr>
      </w:pPr>
      <w:r>
        <w:rPr>
          <w:rFonts w:ascii="Times New Roman" w:cs="Times New Roman" w:eastAsia="Times New Roman" w:hAnsi="Times New Roman"/>
          <w:sz w:val="18"/>
          <w:szCs w:val="18"/>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292" w:right="339" w:bottom="1440" w:gutter="0" w:footer="0" w:header="0"/>
        </w:sectPr>
      </w:pPr>
    </w:p>
    <w:bookmarkStart w:id="23" w:name="page24"/>
    <w:bookmarkEnd w:id="23"/>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0" w:lineRule="exact"/>
        <w:rPr>
          <w:sz w:val="20"/>
          <w:szCs w:val="20"/>
          <w:color w:val="auto"/>
        </w:rPr>
      </w:pPr>
    </w:p>
    <w:p>
      <w:pPr>
        <w:ind w:right="80" w:firstLine="450"/>
        <w:spacing w:after="0" w:line="247"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32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60" w:type="dxa"/>
            <w:vAlign w:val="bottom"/>
            <w:gridSpan w:val="2"/>
          </w:tcPr>
          <w:p>
            <w:pPr>
              <w:jc w:val="center"/>
              <w:ind w:right="362"/>
              <w:spacing w:after="0" w:line="145" w:lineRule="exact"/>
              <w:rPr>
                <w:sz w:val="20"/>
                <w:szCs w:val="20"/>
                <w:color w:val="auto"/>
              </w:rPr>
            </w:pPr>
            <w:r>
              <w:rPr>
                <w:rFonts w:ascii="Times New Roman" w:cs="Times New Roman" w:eastAsia="Times New Roman" w:hAnsi="Times New Roman"/>
                <w:sz w:val="14"/>
                <w:szCs w:val="14"/>
                <w:b w:val="1"/>
                <w:bCs w:val="1"/>
                <w:color w:val="auto"/>
                <w:w w:val="98"/>
              </w:rPr>
              <w:t>10% Offering</w:t>
            </w:r>
          </w:p>
        </w:tc>
        <w:tc>
          <w:tcPr>
            <w:tcW w:w="240" w:type="dxa"/>
            <w:vAlign w:val="bottom"/>
          </w:tcPr>
          <w:p>
            <w:pPr>
              <w:spacing w:after="0"/>
              <w:rPr>
                <w:sz w:val="12"/>
                <w:szCs w:val="12"/>
                <w:color w:val="auto"/>
              </w:rPr>
            </w:pPr>
          </w:p>
        </w:tc>
        <w:tc>
          <w:tcPr>
            <w:tcW w:w="194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8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9.00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6"/>
              </w:rPr>
              <w:t>1,050,000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1,100,000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1,250,000</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2,500</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0.05%</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0.09%</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0.20%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4,990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23,750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19,725</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(dilution)/accretion to stockholder A</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NAV less total investment)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440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4,025</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 A (NAV per share less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0.44</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1.61</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 (dilution)/ accretion per share divided by</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4.65%</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292"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DISTRIBUTIONS</w:t>
      </w:r>
    </w:p>
    <w:p>
      <w:pPr>
        <w:spacing w:after="0" w:line="21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3" w:lineRule="exact"/>
        <w:rPr>
          <w:sz w:val="20"/>
          <w:szCs w:val="20"/>
          <w:color w:val="auto"/>
        </w:rPr>
      </w:pPr>
    </w:p>
    <w:p>
      <w:pPr>
        <w:ind w:right="40" w:firstLine="450"/>
        <w:spacing w:after="0" w:line="268" w:lineRule="auto"/>
        <w:rPr>
          <w:sz w:val="20"/>
          <w:szCs w:val="20"/>
          <w:color w:val="auto"/>
        </w:rPr>
      </w:pPr>
      <w:r>
        <w:rPr>
          <w:rFonts w:ascii="Times New Roman" w:cs="Times New Roman" w:eastAsia="Times New Roman" w:hAnsi="Times New Roman"/>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tax characteristics of distributions declared, in accordance with Section 19(a) of the 1940 Act, for our fiscal and taxable years ended September 30, 2023 and 2022 from ordinary income (including short-term gains), if any, totaled $60.5 million, or $1.19 per share, and $46.7 million, or $1.14 per share, respectively, based on the weighted average shares outstanding for the respective periods. Additionally, for both years ended September 30, 2023 and 2022, we did not pay any distributions from long-term capital gains.</w:t>
      </w:r>
    </w:p>
    <w:p>
      <w:pPr>
        <w:spacing w:after="0" w:line="183"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290"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PORTFOLIO COMPANIES</w:t>
      </w:r>
    </w:p>
    <w:p>
      <w:pPr>
        <w:spacing w:after="0" w:line="216" w:lineRule="exact"/>
        <w:rPr>
          <w:sz w:val="20"/>
          <w:szCs w:val="20"/>
          <w:color w:val="auto"/>
        </w:rPr>
      </w:pPr>
    </w:p>
    <w:p>
      <w:pPr>
        <w:ind w:right="100" w:firstLine="45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 listing of each portfolio company or its affiliate, together referred to as portfolio companies, in which we had an investment as of March 31, 2024.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Quarterly Report on </w:t>
      </w:r>
      <w:hyperlink r:id="rId3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2024.</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and 2036 Asset-Backed Debt as disclosed in our Consolidated Schedule of Investments. Unless otherwise noted, we held no voting board membership on any of our portfolio companies.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80" w:type="dxa"/>
            <w:vAlign w:val="bottom"/>
            <w:gridSpan w:val="2"/>
          </w:tcPr>
          <w:p>
            <w:pPr>
              <w:jc w:val="center"/>
              <w:ind w:right="5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700" w:type="dxa"/>
            <w:vAlign w:val="bottom"/>
          </w:tcPr>
          <w:p>
            <w:pPr>
              <w:jc w:val="right"/>
              <w:ind w:right="51"/>
              <w:spacing w:after="0" w:line="126"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980" w:type="dxa"/>
            <w:vAlign w:val="bottom"/>
          </w:tcPr>
          <w:p>
            <w:pPr>
              <w:spacing w:after="0"/>
              <w:rPr>
                <w:sz w:val="14"/>
                <w:szCs w:val="14"/>
                <w:color w:val="auto"/>
              </w:rPr>
            </w:pPr>
          </w:p>
        </w:tc>
        <w:tc>
          <w:tcPr>
            <w:tcW w:w="1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5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95"/>
        </w:trPr>
        <w:tc>
          <w:tcPr>
            <w:tcW w:w="162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Companies Less than 5%</w:t>
            </w:r>
          </w:p>
        </w:tc>
        <w:tc>
          <w:tcPr>
            <w:tcW w:w="298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Owned</w:t>
            </w:r>
          </w:p>
        </w:tc>
        <w:tc>
          <w:tcPr>
            <w:tcW w:w="25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Merger Sub, LLC</w:t>
            </w:r>
          </w:p>
        </w:tc>
        <w:tc>
          <w:tcPr>
            <w:tcW w:w="252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Equity, LLC)</w:t>
            </w:r>
            <w:r>
              <w:rPr>
                <w:rFonts w:ascii="Times New Roman" w:cs="Times New Roman" w:eastAsia="Times New Roman" w:hAnsi="Times New Roman"/>
                <w:sz w:val="8"/>
                <w:szCs w:val="8"/>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S+660, 12/22/2028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3254 E Broadway Rd.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85040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Avenu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IT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13,669</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5860 Trinity Pkwy</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S+625, 10/02/2029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Centerville, VA 20120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Falcon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2141 Rosecrans Ave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 , 08/01/2029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Segundo, CA 90245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Ad.net Acquisition,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Media</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(Ad.net Holdings, Inc.)</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S+626, 05/07/2026</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 Suite 1200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Aeronix, Inc.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34,996</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(SV Aero Holdings, LLC)</w:t>
            </w:r>
            <w:r>
              <w:rPr>
                <w:rFonts w:ascii="Times New Roman" w:cs="Times New Roman" w:eastAsia="Times New Roman" w:hAnsi="Times New Roman"/>
                <w:sz w:val="8"/>
                <w:szCs w:val="8"/>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S+550, 12/18/2028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1775 West Hibiscus Boulevard, Suite 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Melbourne, FL 32901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AFC Dell Holding Corp.</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Distributors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13,465</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(AFC Acquisitions, Inc.)</w:t>
            </w:r>
            <w:r>
              <w:rPr>
                <w:rFonts w:ascii="Times New Roman" w:cs="Times New Roman" w:eastAsia="Times New Roman" w:hAnsi="Times New Roman"/>
                <w:sz w:val="8"/>
                <w:szCs w:val="8"/>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S+640, 04/09/2027</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9030 Port Union Road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Chester Township, OH 45011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Affinion Group Holdings, Inc.</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Consumer Goods: Durable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7"/>
              </w:rPr>
              <w:t>Warrants</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 High Ridge Park</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Stamford, CT 06905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 Investco LP</w:t>
            </w:r>
            <w:r>
              <w:rPr>
                <w:rFonts w:ascii="Times New Roman" w:cs="Times New Roman" w:eastAsia="Times New Roman" w:hAnsi="Times New Roman"/>
                <w:sz w:val="8"/>
                <w:szCs w:val="8"/>
                <w:color w:val="auto"/>
              </w:rPr>
              <w:t>(5)</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Software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251 Little Falls Drive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19808</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29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5"/>
        </w:trPr>
        <w:tc>
          <w:tcPr>
            <w:tcW w:w="1620" w:type="dxa"/>
            <w:vAlign w:val="bottom"/>
            <w:tcBorders>
              <w:top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auto"/>
              </w:rPr>
              <w:t>Altamira Technologies, LLC</w:t>
            </w:r>
          </w:p>
        </w:tc>
        <w:tc>
          <w:tcPr>
            <w:tcW w:w="2880" w:type="dxa"/>
            <w:vAlign w:val="bottom"/>
          </w:tcPr>
          <w:p>
            <w:pPr>
              <w:spacing w:after="0"/>
              <w:rPr>
                <w:sz w:val="9"/>
                <w:szCs w:val="9"/>
                <w:color w:val="auto"/>
              </w:rPr>
            </w:pPr>
          </w:p>
        </w:tc>
        <w:tc>
          <w:tcPr>
            <w:tcW w:w="214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IT Services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Common Equity</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1.0</w:t>
            </w:r>
          </w:p>
        </w:tc>
        <w:tc>
          <w:tcPr>
            <w:tcW w:w="500" w:type="dxa"/>
            <w:vAlign w:val="bottom"/>
          </w:tcPr>
          <w:p>
            <w:pPr>
              <w:jc w:val="right"/>
              <w:ind w:right="320"/>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1,679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(Altamira Intermediate Company II, Inc.)</w:t>
            </w:r>
          </w:p>
        </w:tc>
        <w:tc>
          <w:tcPr>
            <w:tcW w:w="2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8201 Greensboro Drive, Suite 800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Amsive Holding Corporation (f/k/a Vision Purchaser Corporation)</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13,712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605 Territorial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S+640, 06/10/2025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A, B &amp; 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Bolingbrook, IL 60440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Anteriad, LLC (f/k/a MeritDirect,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18,751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(Anterida Holdings, LP (5))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06/30/2026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 International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Rye Brook, NY 10573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Hour Services</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Energy Equipment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7,085</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(KL Stockton Co-Invest LP) </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07/21/2027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1374 130 S</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Orem, UT 84058</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Applied Technical Services,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13,853</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(Ironclad Holdco, LLC) </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S+590, 12/29/2026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1049 Triad Ct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Arcfield Acquisition Corp.</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14295 Park Meadow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08/03/2029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Chantilly, VA 20151</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Athletico Holdings, LLC</w:t>
            </w:r>
            <w:r>
              <w:rPr>
                <w:rFonts w:ascii="Times New Roman" w:cs="Times New Roman" w:eastAsia="Times New Roman" w:hAnsi="Times New Roman"/>
                <w:sz w:val="8"/>
                <w:szCs w:val="8"/>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2122 York Road, Ste. 300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 Brook, IL 60523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Beta Plus Technologies,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11,580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 World Trade Center, 47th Floor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07/01/2029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10007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Big Top Holdings,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48,636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(ACP Big Top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02/28/2030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3255 U.S. Hwy 19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FL 32347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BioDerm,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(BioDerm holdings, LP)</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S+650, 01/31/2028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12320 73rd Court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Largo, FL 33773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Blackhawk Industrial Distribution,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1501 SW Expressway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S+565, 09/17/2026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Broken Arrow, OK 74012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BlueHalo Financing Holdings,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6,397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410 Jan Davis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S+475, 10/31/2025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Broder Bros., Co.</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Textiles, Apparel and Luxury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3,262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Six Neshaminy Interplex, 6 Floor</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8"/>
              </w:rPr>
              <w:t>Goods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S+626, 12/04/2025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Trevose, PA 19053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Burgess Point Holdings, LP</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29627 Renaissance Blvd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Daphne, AL 26526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284"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880" w:type="dxa"/>
            <w:vAlign w:val="bottom"/>
          </w:tcPr>
          <w:p>
            <w:pPr>
              <w:spacing w:after="0"/>
              <w:rPr>
                <w:sz w:val="14"/>
                <w:szCs w:val="14"/>
                <w:color w:val="auto"/>
              </w:rPr>
            </w:pP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45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By Light Professional IT Services, LLC</w:t>
            </w:r>
          </w:p>
        </w:tc>
        <w:tc>
          <w:tcPr>
            <w:tcW w:w="21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High Tech Industries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2.9</w:t>
            </w:r>
          </w:p>
        </w:tc>
        <w:tc>
          <w:tcPr>
            <w:tcW w:w="500" w:type="dxa"/>
            <w:vAlign w:val="bottom"/>
          </w:tcPr>
          <w:p>
            <w:pPr>
              <w:jc w:val="right"/>
              <w:ind w:right="32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40,004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(By Light Investco, LP)</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S+688, 05/16/2025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8484 Westpark Drive Suite 600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Carisk Buyer,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5,600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(Carisk Parent,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12/01/2029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10685 North Kendall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Carnegie Dartlet,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48,279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(Carnegie HoldCo, LLC)</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S+550, 02/07/2030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210 Littleton Road, Suite 100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Westford, MA 01886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Cartessa Aesthetics, LLC</w:t>
            </w:r>
            <w:r>
              <w:rPr>
                <w:rFonts w:ascii="Times New Roman" w:cs="Times New Roman" w:eastAsia="Times New Roman" w:hAnsi="Times New Roman"/>
                <w:sz w:val="8"/>
                <w:szCs w:val="8"/>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15,787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175 Broadhollow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06/14/2028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Melville, NY 11747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CF512,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5,991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(StellPen Holdings,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S+619, 08/20/2026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960B Harvest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 Bell, PA 19422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Challenger Performance Optimization, Inc. 1201 Wilson Blvd</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Arlington, VA 22209</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S+775 (PIK 2.00%),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08/31/2024</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Compex Legal Services,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9,160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S+555, 02/09/2026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1200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Confluent Health,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75 S English Station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S+500, 11/30/2028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Louisville, KY 40245</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Connatix Buyer,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(Connatix Parent,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S+576, 07/13/2027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666 Broadway, Floor 10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Crane 1 Services,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(Crane 1 Acquisition Parent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S+501, 08/16/2027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1027 Byers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Miamisburg, OH 45342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Squatch,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Personal Products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2355 Westwood Blvd. #1834</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08/31/2027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90064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DRS Holdings III,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15,810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225 State Street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S+640, 11/03/2025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02109</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Duraco Specialty Tapes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Containers and Packaging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3,417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7400 Industrial Dr.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S+650, 06/30/2024</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Forest Park, IL 60130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ECL Entertainment,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(Kentucky Racing Holco, LLC)</w:t>
            </w:r>
            <w:r>
              <w:rPr>
                <w:rFonts w:ascii="Times New Roman" w:cs="Times New Roman" w:eastAsia="Times New Roman" w:hAnsi="Times New Roman"/>
                <w:sz w:val="8"/>
                <w:szCs w:val="8"/>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S+475, 08/31/2030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5629 Nashville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7"/>
              </w:rPr>
              <w:t>Warrants</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KY 42134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284" w:right="379" w:bottom="1440" w:gutter="0" w:footer="0" w:header="0"/>
        </w:sectPr>
      </w:pPr>
    </w:p>
    <w:bookmarkStart w:id="28" w:name="page29"/>
    <w:bookmarkEnd w:id="28"/>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Address of Portfolio Company</w:t>
      </w:r>
    </w:p>
    <w:p>
      <w:pPr>
        <w:spacing w:after="0" w:line="222" w:lineRule="auto"/>
        <w:rPr>
          <w:sz w:val="20"/>
          <w:szCs w:val="20"/>
          <w:color w:val="auto"/>
        </w:rPr>
      </w:pPr>
      <w:r>
        <w:rPr>
          <w:rFonts w:ascii="Times New Roman" w:cs="Times New Roman" w:eastAsia="Times New Roman" w:hAnsi="Times New Roman"/>
          <w:sz w:val="14"/>
          <w:szCs w:val="14"/>
          <w:color w:val="auto"/>
        </w:rPr>
        <w:t>eCommission Holding Corporation</w:t>
      </w:r>
      <w:r>
        <w:rPr>
          <w:rFonts w:ascii="Times New Roman" w:cs="Times New Roman" w:eastAsia="Times New Roman" w:hAnsi="Times New Roman"/>
          <w:sz w:val="8"/>
          <w:szCs w:val="8"/>
          <w:color w:val="auto"/>
        </w:rPr>
        <w:t>(6)</w:t>
      </w:r>
    </w:p>
    <w:p>
      <w:pPr>
        <w:spacing w:after="0" w:line="232" w:lineRule="auto"/>
        <w:rPr>
          <w:sz w:val="20"/>
          <w:szCs w:val="20"/>
          <w:color w:val="auto"/>
        </w:rPr>
      </w:pPr>
      <w:r>
        <w:rPr>
          <w:rFonts w:ascii="Times New Roman" w:cs="Times New Roman" w:eastAsia="Times New Roman" w:hAnsi="Times New Roman"/>
          <w:sz w:val="13"/>
          <w:szCs w:val="13"/>
          <w:color w:val="auto"/>
        </w:rPr>
        <w:t>11612 Bee Caves Road, Building II, Suite 200 Austin, TX,</w:t>
      </w:r>
    </w:p>
    <w:p>
      <w:pPr>
        <w:spacing w:after="0"/>
        <w:rPr>
          <w:sz w:val="20"/>
          <w:szCs w:val="20"/>
          <w:color w:val="auto"/>
        </w:rPr>
      </w:pPr>
      <w:r>
        <w:rPr>
          <w:rFonts w:ascii="Times New Roman" w:cs="Times New Roman" w:eastAsia="Times New Roman" w:hAnsi="Times New Roman"/>
          <w:sz w:val="14"/>
          <w:szCs w:val="14"/>
          <w:color w:val="auto"/>
        </w:rPr>
        <w:t>78738</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EDS Buyer, LLC</w:t>
      </w:r>
    </w:p>
    <w:p>
      <w:pPr>
        <w:spacing w:after="0" w:line="215" w:lineRule="auto"/>
        <w:rPr>
          <w:sz w:val="20"/>
          <w:szCs w:val="20"/>
          <w:color w:val="auto"/>
        </w:rPr>
      </w:pPr>
      <w:r>
        <w:rPr>
          <w:rFonts w:ascii="Times New Roman" w:cs="Times New Roman" w:eastAsia="Times New Roman" w:hAnsi="Times New Roman"/>
          <w:sz w:val="14"/>
          <w:szCs w:val="14"/>
          <w:color w:val="auto"/>
        </w:rPr>
        <w:t>(EDS Topco, LP)</w:t>
      </w:r>
    </w:p>
    <w:p>
      <w:pPr>
        <w:spacing w:after="0" w:line="216" w:lineRule="auto"/>
        <w:rPr>
          <w:sz w:val="20"/>
          <w:szCs w:val="20"/>
          <w:color w:val="auto"/>
        </w:rPr>
      </w:pPr>
      <w:r>
        <w:rPr>
          <w:rFonts w:ascii="Times New Roman" w:cs="Times New Roman" w:eastAsia="Times New Roman" w:hAnsi="Times New Roman"/>
          <w:sz w:val="14"/>
          <w:szCs w:val="14"/>
          <w:color w:val="auto"/>
        </w:rPr>
        <w:t>810 7th Ave 12th floor</w:t>
      </w:r>
    </w:p>
    <w:p>
      <w:pPr>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2"/>
          </w:tcPr>
          <w:p>
            <w:pPr>
              <w:jc w:val="center"/>
              <w:ind w:right="87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40" w:type="dxa"/>
            <w:vAlign w:val="bottom"/>
            <w:gridSpan w:val="2"/>
          </w:tcPr>
          <w:p>
            <w:pPr>
              <w:jc w:val="center"/>
              <w:ind w:right="780"/>
              <w:spacing w:after="0" w:line="132"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720" w:type="dxa"/>
            <w:vAlign w:val="bottom"/>
            <w:gridSpan w:val="2"/>
          </w:tcPr>
          <w:p>
            <w:pPr>
              <w:jc w:val="center"/>
              <w:ind w:right="870"/>
              <w:spacing w:after="0" w:line="132"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1"/>
                <w:szCs w:val="11"/>
                <w:color w:val="auto"/>
              </w:rPr>
            </w:pPr>
          </w:p>
        </w:tc>
        <w:tc>
          <w:tcPr>
            <w:tcW w:w="660" w:type="dxa"/>
            <w:vAlign w:val="bottom"/>
          </w:tcPr>
          <w:p>
            <w:pPr>
              <w:jc w:val="right"/>
              <w:ind w:right="34"/>
              <w:spacing w:after="0" w:line="132"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29"/>
        </w:trPr>
        <w:tc>
          <w:tcPr>
            <w:tcW w:w="2580" w:type="dxa"/>
            <w:vAlign w:val="bottom"/>
            <w:gridSpan w:val="2"/>
          </w:tcPr>
          <w:p>
            <w:pPr>
              <w:jc w:val="center"/>
              <w:ind w:right="800"/>
              <w:spacing w:after="0" w:line="129" w:lineRule="exact"/>
              <w:rPr>
                <w:sz w:val="20"/>
                <w:szCs w:val="20"/>
                <w:color w:val="auto"/>
              </w:rPr>
            </w:pPr>
            <w:r>
              <w:rPr>
                <w:rFonts w:ascii="Times New Roman" w:cs="Times New Roman" w:eastAsia="Times New Roman" w:hAnsi="Times New Roman"/>
                <w:sz w:val="12"/>
                <w:szCs w:val="12"/>
                <w:b w:val="1"/>
                <w:bCs w:val="1"/>
                <w:color w:val="auto"/>
              </w:rPr>
              <w:t>Nature of Business</w:t>
            </w:r>
          </w:p>
        </w:tc>
        <w:tc>
          <w:tcPr>
            <w:tcW w:w="2340" w:type="dxa"/>
            <w:vAlign w:val="bottom"/>
            <w:gridSpan w:val="2"/>
          </w:tcPr>
          <w:p>
            <w:pPr>
              <w:jc w:val="center"/>
              <w:ind w:right="780"/>
              <w:spacing w:after="0" w:line="129" w:lineRule="exact"/>
              <w:rPr>
                <w:sz w:val="20"/>
                <w:szCs w:val="20"/>
                <w:color w:val="auto"/>
              </w:rPr>
            </w:pPr>
            <w:r>
              <w:rPr>
                <w:rFonts w:ascii="Times New Roman" w:cs="Times New Roman" w:eastAsia="Times New Roman" w:hAnsi="Times New Roman"/>
                <w:sz w:val="12"/>
                <w:szCs w:val="12"/>
                <w:b w:val="1"/>
                <w:bCs w:val="1"/>
                <w:color w:val="auto"/>
              </w:rPr>
              <w:t>Interest (1), Maturity</w:t>
            </w:r>
          </w:p>
        </w:tc>
        <w:tc>
          <w:tcPr>
            <w:tcW w:w="1720" w:type="dxa"/>
            <w:vAlign w:val="bottom"/>
            <w:gridSpan w:val="2"/>
          </w:tcPr>
          <w:p>
            <w:pPr>
              <w:jc w:val="center"/>
              <w:ind w:right="890"/>
              <w:spacing w:after="0" w:line="129" w:lineRule="exact"/>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vMerge w:val="restart"/>
          </w:tcPr>
          <w:p>
            <w:pPr>
              <w:jc w:val="right"/>
              <w:ind w:right="770"/>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8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Banking, Finance, Insurance &amp;</w:t>
            </w:r>
          </w:p>
        </w:tc>
        <w:tc>
          <w:tcPr>
            <w:tcW w:w="780" w:type="dxa"/>
            <w:vAlign w:val="bottom"/>
            <w:vMerge w:val="continue"/>
          </w:tcPr>
          <w:p>
            <w:pPr>
              <w:spacing w:after="0"/>
              <w:rPr>
                <w:sz w:val="10"/>
                <w:szCs w:val="10"/>
                <w:color w:val="auto"/>
              </w:rPr>
            </w:pPr>
          </w:p>
        </w:tc>
        <w:tc>
          <w:tcPr>
            <w:tcW w:w="15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Common Equity</w:t>
            </w:r>
          </w:p>
        </w:tc>
        <w:tc>
          <w:tcPr>
            <w:tcW w:w="780" w:type="dxa"/>
            <w:vAlign w:val="bottom"/>
            <w:vMerge w:val="continue"/>
          </w:tcPr>
          <w:p>
            <w:pPr>
              <w:spacing w:after="0"/>
              <w:rPr>
                <w:sz w:val="10"/>
                <w:szCs w:val="10"/>
                <w:color w:val="auto"/>
              </w:rPr>
            </w:pP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1.4</w:t>
            </w:r>
          </w:p>
        </w:tc>
        <w:tc>
          <w:tcPr>
            <w:tcW w:w="960" w:type="dxa"/>
            <w:vAlign w:val="bottom"/>
            <w:vMerge w:val="continue"/>
          </w:tcPr>
          <w:p>
            <w:pPr>
              <w:spacing w:after="0"/>
              <w:rPr>
                <w:sz w:val="10"/>
                <w:szCs w:val="10"/>
                <w:color w:val="auto"/>
              </w:rPr>
            </w:pPr>
          </w:p>
        </w:tc>
        <w:tc>
          <w:tcPr>
            <w:tcW w:w="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596</w:t>
            </w:r>
          </w:p>
        </w:tc>
        <w:tc>
          <w:tcPr>
            <w:tcW w:w="0" w:type="dxa"/>
            <w:vAlign w:val="bottom"/>
          </w:tcPr>
          <w:p>
            <w:pPr>
              <w:spacing w:after="0"/>
              <w:rPr>
                <w:sz w:val="1"/>
                <w:szCs w:val="1"/>
                <w:color w:val="auto"/>
              </w:rPr>
            </w:pPr>
          </w:p>
        </w:tc>
      </w:tr>
      <w:tr>
        <w:trPr>
          <w:trHeight w:val="183"/>
        </w:trPr>
        <w:tc>
          <w:tcPr>
            <w:tcW w:w="25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Real Estate</w:t>
            </w: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3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20" w:type="dxa"/>
            <w:vAlign w:val="bottom"/>
            <w:gridSpan w:val="2"/>
          </w:tcPr>
          <w:p>
            <w:pPr>
              <w:jc w:val="right"/>
              <w:ind w:right="77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0" w:type="dxa"/>
            <w:vAlign w:val="bottom"/>
          </w:tcPr>
          <w:p>
            <w:pPr>
              <w:spacing w:after="0"/>
              <w:rPr>
                <w:sz w:val="1"/>
                <w:szCs w:val="1"/>
                <w:color w:val="auto"/>
              </w:rPr>
            </w:pPr>
          </w:p>
        </w:tc>
      </w:tr>
      <w:tr>
        <w:trPr>
          <w:trHeight w:val="145"/>
        </w:trPr>
        <w:tc>
          <w:tcPr>
            <w:tcW w:w="258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34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3M S+575, 01/10/2029</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-995045</wp:posOffset>
            </wp:positionV>
            <wp:extent cx="7178040" cy="54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3300" w:space="520"/>
            <w:col w:w="7380"/>
          </w:cols>
          <w:pgMar w:left="320" w:top="284" w:right="379" w:bottom="1440" w:gutter="0" w:footer="0" w:header="0"/>
        </w:sect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Efficient Collaborative Retail Marketing Company,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Media: Diversified and</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27070 Miles Road</w:t>
            </w:r>
          </w:p>
        </w:tc>
        <w:tc>
          <w:tcPr>
            <w:tcW w:w="250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color w:val="auto"/>
              </w:rPr>
              <w:t>Production</w:t>
            </w: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S+900 (PIK 1.50%),</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06/15/2024</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Eisner Advisory Group,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733 Third Avenue</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S+400, 02/23/2031</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New York, NY 10017</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ETE Intermediate II,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(Gauge ETE Blocker,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—(4), 05/25/2029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1604 South West Avenue</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rPr>
              <w:t>12.56% Fixed, 05/19/2029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Waukesha, WI 53186</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Exigo Intermediate II,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8"/>
              </w:rPr>
              <w:t>Software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(Exigo,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9"/>
              </w:rPr>
              <w:t>— , 03/15/2027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Fairbanks Morse Defense</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655 3rd St Suite 301</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S+501, 06/23/2028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Beloit, WI 53511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FedHC InvestCo LP</w:t>
            </w:r>
            <w:r>
              <w:rPr>
                <w:rFonts w:ascii="Times New Roman" w:cs="Times New Roman" w:eastAsia="Times New Roman" w:hAnsi="Times New Roman"/>
                <w:sz w:val="8"/>
                <w:szCs w:val="8"/>
                <w:color w:val="auto"/>
              </w:rPr>
              <w:t>(5)</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Common Equity(4)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3100 Clarendon Blvd</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Arlington, VA 22201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Five Star Buyer, Inc.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(Five Star Parent Holdings,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S+710, 02/23/2028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3388 Green Mountain Dr</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Branson, MO 65616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GCOM InvestCo LP</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IT Services</w:t>
            </w: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9175 Guilford Road, Suite 101</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Columbia, MD 21046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Global Holdings InterCo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4343 South 118th East Ave Suite 220</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S+610, 03/16/2026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Tulsa, OK 74146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Graffiti Buyer,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Trading Companies &amp;</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25195 Brest Road</w:t>
            </w:r>
          </w:p>
        </w:tc>
        <w:tc>
          <w:tcPr>
            <w:tcW w:w="2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08/10/2027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Taylor, MI 48180</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Hancock Roofing and Construction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Insurance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(Hancock Claims Consultants Investors, LLC)</w:t>
            </w:r>
            <w:r>
              <w:rPr>
                <w:rFonts w:ascii="Times New Roman" w:cs="Times New Roman" w:eastAsia="Times New Roman" w:hAnsi="Times New Roman"/>
                <w:sz w:val="8"/>
                <w:szCs w:val="8"/>
                <w:color w:val="auto"/>
              </w:rPr>
              <w:t>(5)</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12/31/2026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6875 Shiloh Rd. East</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Alpharetta, GA 30005</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Hills Distribution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2.7%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(GMP Hills, L.P.)</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S+600, 11/07/2029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 Brainard Road</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Hartford, CT 06114</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284" w:right="37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38"/>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96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6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60" w:type="dxa"/>
            <w:vAlign w:val="bottom"/>
          </w:tcPr>
          <w:p>
            <w:pPr>
              <w:jc w:val="right"/>
              <w:ind w:right="31"/>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tcPr>
          <w:p>
            <w:pPr>
              <w:spacing w:after="0"/>
              <w:rPr>
                <w:sz w:val="14"/>
                <w:szCs w:val="14"/>
                <w:color w:val="auto"/>
              </w:rPr>
            </w:pP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9"/>
              </w:rPr>
              <w:t>Nature of Business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39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HV Watterson Holdings, LLC</w:t>
            </w:r>
          </w:p>
        </w:tc>
        <w:tc>
          <w:tcPr>
            <w:tcW w:w="19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0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Common Equity</w:t>
            </w:r>
          </w:p>
        </w:tc>
        <w:tc>
          <w:tcPr>
            <w:tcW w:w="70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0.1</w:t>
            </w:r>
          </w:p>
        </w:tc>
        <w:tc>
          <w:tcPr>
            <w:tcW w:w="860" w:type="dxa"/>
            <w:vAlign w:val="bottom"/>
          </w:tcPr>
          <w:p>
            <w:pPr>
              <w:jc w:val="right"/>
              <w:ind w:right="68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1821 Walden Office Square Unit 111</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Schaumburg, IL 60173</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HW Holdco,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Thomas Circle, NW Suite 600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1M S+640, 05/10/2026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Icon Partners V C, L.P.</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315 Capitol St Suite 100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Infusion Co-Invest, LP</w:t>
            </w:r>
            <w:r>
              <w:rPr>
                <w:rFonts w:ascii="Times New Roman" w:cs="Times New Roman" w:eastAsia="Times New Roman" w:hAnsi="Times New Roman"/>
                <w:sz w:val="8"/>
                <w:szCs w:val="8"/>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3609 Park East Drive</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Beachwood, OH 44122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IG Investments Holdings,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1224 Hammond Drive, Suite 1500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S+610, 09/22/2028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30346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Imagine Acquisitionco,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Software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(Imagine Topco,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 , 11/15/2027</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8757 Red Oak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Inception Fertility Ventures,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4828 Loop Central Drive, Suite 900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S+725, 12/31/2024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77081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Infinity Home Services Holdco,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(IHS Parent Holdings,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S+685, 12/28/2028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16600 W Cleveland Ave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Berlin, WI 53151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Infolinks Media Buyco,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(Tower Arch Infolinks Media, LP)</w:t>
            </w:r>
            <w:r>
              <w:rPr>
                <w:rFonts w:ascii="Times New Roman" w:cs="Times New Roman" w:eastAsia="Times New Roman" w:hAnsi="Times New Roman"/>
                <w:sz w:val="8"/>
                <w:szCs w:val="8"/>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S+585, 11/01/2026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45 North Broad Street</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Ridgewood, NJ 07450</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Integrative Nutrition,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Consumer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(IIN Group Holdings, LLC)</w:t>
            </w:r>
            <w:r>
              <w:rPr>
                <w:rFonts w:ascii="Times New Roman" w:cs="Times New Roman" w:eastAsia="Times New Roman" w:hAnsi="Times New Roman"/>
                <w:sz w:val="8"/>
                <w:szCs w:val="8"/>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S+715 (PIK 2.25%),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245 5th Avenue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01/31/2025</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Integrity Marketing Acquisition,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Insurance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1445 Ross Avenue, 22nd Floor</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S+615, 08/27/2026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Rumba, LLC</w:t>
            </w:r>
            <w:r>
              <w:rPr>
                <w:rFonts w:ascii="Times New Roman" w:cs="Times New Roman" w:eastAsia="Times New Roman" w:hAnsi="Times New Roman"/>
                <w:sz w:val="8"/>
                <w:szCs w:val="8"/>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Healthcare and Pharmaceuticals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9725 NW 117th Ave #200,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33178</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Inventus Power,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Electronic Equipment,</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1200 Internationale Parkway</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S+761, 06/30/2025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Woodridge, IL 60517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ITI Holdings,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IT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2980 E. Coliseum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S+560, 03/03/2028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Wayne, IN 46805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Keel Platform,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Metals and Mining</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Building 1 9801, 9801 US-78</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S+525, 01/19/2031</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Ladson, SC 29456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284" w:right="3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3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4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Kinetic Purchaser, LLC</w:t>
            </w:r>
          </w:p>
        </w:tc>
        <w:tc>
          <w:tcPr>
            <w:tcW w:w="3320" w:type="dxa"/>
            <w:vAlign w:val="bottom"/>
          </w:tcPr>
          <w:p>
            <w:pPr>
              <w:spacing w:after="0"/>
              <w:rPr>
                <w:sz w:val="9"/>
                <w:szCs w:val="9"/>
                <w:color w:val="auto"/>
              </w:rPr>
            </w:pPr>
          </w:p>
        </w:tc>
        <w:tc>
          <w:tcPr>
            <w:tcW w:w="19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Personal Products</w:t>
            </w:r>
          </w:p>
        </w:tc>
        <w:tc>
          <w:tcPr>
            <w:tcW w:w="24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220" w:type="dxa"/>
            <w:vAlign w:val="bottom"/>
          </w:tcPr>
          <w:p>
            <w:pPr>
              <w:spacing w:after="0"/>
              <w:rPr>
                <w:sz w:val="9"/>
                <w:szCs w:val="9"/>
                <w:color w:val="auto"/>
              </w:rPr>
            </w:pPr>
          </w:p>
        </w:tc>
        <w:tc>
          <w:tcPr>
            <w:tcW w:w="8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2.3</w:t>
            </w:r>
          </w:p>
        </w:tc>
        <w:tc>
          <w:tcPr>
            <w:tcW w:w="380" w:type="dxa"/>
            <w:vAlign w:val="bottom"/>
          </w:tcPr>
          <w:p>
            <w:pPr>
              <w:jc w:val="right"/>
              <w:ind w:right="20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19,735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12552 S. 125 West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S+615, 11/10/2027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Draper, UT 84020</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Lash OpCo,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21,041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Lash Coinvest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S+810 (PIK 5.10%),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02/18/2027</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LAV Gear Holdings,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Capital Equipment</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14,594</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3165 W Sunset Rd,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1M S+640, 10/31/25</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89118</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Ledge Lounger,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(SP L2 Holdings,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S+665, 11/09/2026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616 Cane Island Pkwy Suite 200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Katy, TX 77494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Lightspeed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(Lightspeed Investment Holdco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S+535, 02/03/2026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1457 East 40th Street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OH 44103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LJ Avalon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3,001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(LJ Avalon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S+640, 02/01/2030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4921 Memorial Hwy, Suite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Tampa, FL 33634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Loving Tan Intermediate II,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22,121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Loving Tan,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S+700, 05/31/2028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857 Post Rd, Suite 348</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Fairfield, CT 06824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LSF9 Atlantis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Specialty Retail</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5,581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8510 Colonnade Center Dr.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S+650, 06/30/2029</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Unit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Raleigh, MN 27615</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Lucky Bucks,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5820 Live Oak Parkway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S+765, 10/02/2028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Norcross, GA 30093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 DS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2730 Fair Lakes Circle</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S+550, 04/01/2027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Fairfax VA, 22033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Magnolia Topco LP</w:t>
            </w:r>
            <w:r>
              <w:rPr>
                <w:rFonts w:ascii="Times New Roman" w:cs="Times New Roman" w:eastAsia="Times New Roman" w:hAnsi="Times New Roman"/>
                <w:sz w:val="8"/>
                <w:szCs w:val="8"/>
                <w:color w:val="auto"/>
              </w:rPr>
              <w:t>(5)</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Automobiles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 Equity</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5821 Fairview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28209</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Mars Acquisition Holdings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Media</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10,213</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(Mars Intermediate Holdings II, Inc.)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S+565, 05/14/2026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25200 Telegraph Rd., 5th Floor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Southfield, MI 48033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MBS Holdings,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880 Montclair Road Suite 400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w w:val="99"/>
              </w:rPr>
              <w:t>— , 04/16/2027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Birmingham, AL 35213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MDI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Commodity Chemicals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(MDI Aggregator,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S+550, 07/25/2028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 W Knox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 AZ 85284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284"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38"/>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480" w:type="dxa"/>
            <w:vAlign w:val="bottom"/>
            <w:gridSpan w:val="2"/>
            <w:vMerge w:val="continue"/>
          </w:tcPr>
          <w:p>
            <w:pPr>
              <w:spacing w:after="0"/>
              <w:rPr>
                <w:sz w:val="10"/>
                <w:szCs w:val="10"/>
                <w:color w:val="auto"/>
              </w:rPr>
            </w:pPr>
          </w:p>
        </w:tc>
        <w:tc>
          <w:tcPr>
            <w:tcW w:w="1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40" w:type="dxa"/>
            <w:vAlign w:val="bottom"/>
            <w:gridSpan w:val="2"/>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0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Meadowlark Acquirer, LLC</w:t>
            </w:r>
          </w:p>
        </w:tc>
        <w:tc>
          <w:tcPr>
            <w:tcW w:w="2860" w:type="dxa"/>
            <w:vAlign w:val="bottom"/>
          </w:tcPr>
          <w:p>
            <w:pPr>
              <w:spacing w:after="0"/>
              <w:rPr>
                <w:sz w:val="9"/>
                <w:szCs w:val="9"/>
                <w:color w:val="auto"/>
              </w:rPr>
            </w:pPr>
          </w:p>
        </w:tc>
        <w:tc>
          <w:tcPr>
            <w:tcW w:w="17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58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58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1.1</w:t>
            </w:r>
          </w:p>
        </w:tc>
        <w:tc>
          <w:tcPr>
            <w:tcW w:w="740" w:type="dxa"/>
            <w:vAlign w:val="bottom"/>
          </w:tcPr>
          <w:p>
            <w:pPr>
              <w:jc w:val="right"/>
              <w:ind w:right="56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1,895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(Meadowlark Title, LLC)</w:t>
            </w:r>
            <w:r>
              <w:rPr>
                <w:rFonts w:ascii="Times New Roman" w:cs="Times New Roman" w:eastAsia="Times New Roman" w:hAnsi="Times New Roman"/>
                <w:sz w:val="8"/>
                <w:szCs w:val="8"/>
                <w:color w:val="auto"/>
              </w:rPr>
              <w:t>(5)</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S+565, 12/10/2027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888 Boylston, Ste. 1600,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02199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Medina Health,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Medina Health, LLC)</w:t>
            </w:r>
            <w:r>
              <w:rPr>
                <w:rFonts w:ascii="Times New Roman" w:cs="Times New Roman" w:eastAsia="Times New Roman" w:hAnsi="Times New Roman"/>
                <w:sz w:val="8"/>
                <w:szCs w:val="8"/>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10/20/2028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Parkview Plaza,</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Oakbrook Terrace, IL 60181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Megawatt Acquisitionco, Inc.</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23,449</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(Megawatt Acquisition Partners, LLC)</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03/01/2030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6060 Phyllis Dr</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Cypress, CA 90630</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Mission Critical Electronics,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Capital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3,202</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15272 Newsboy Circle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03/31/2025</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Huntington, CA 92649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MOREGroup Holdings,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31,614</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801 Cherry Street Suite 500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S+590, 01/16/2030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Worth, TX 76102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 Emergency Services,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4,095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 Turnberry Ln</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S+515, 10/01/2027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Sandy Hook, CT 06482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NBH Group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3035 S Maryland Pkwy #110</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08/19/2026</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89109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Neptune Flood Incorporated</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Insurance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400 6th St S</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05/09/2029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Petersburg, FL 33701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NORA Acquisition,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22,741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(NORA Parent Holdings, LLC)</w:t>
            </w:r>
            <w:r>
              <w:rPr>
                <w:rFonts w:ascii="Times New Roman" w:cs="Times New Roman" w:eastAsia="Times New Roman" w:hAnsi="Times New Roman"/>
                <w:sz w:val="8"/>
                <w:szCs w:val="8"/>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S+635, 08/31/2029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3805 E Main St.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Charlees, IL 60174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OHCP V BC COI, L.P.</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525 West Monroe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Chicago, IL 60661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Omnia Exterior Solutions,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10,790</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6650 Walnut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S+550, 12/29/2029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Albany, OH 43054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Stop Mailing,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Air Freight and Logistics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601 Regency Drive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S+636, 05/07/2027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Glendale Heights, IL 60139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ORL Acquisition,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Consumer Finance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3,523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(ORL Holdco, Inc.)</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S+940 (PIK 2.00%),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5555 N Beach St #4100,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09/03/2027</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Fort Worth, TX 76137</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OSP Embedded Purchaser,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14,486</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(OSP Embedded Aggregator, LP)</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S+585, 12/15/2029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Grand Island Blvd, Suite 2</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Island, NY 14072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Output Services Group,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2,253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775 Washington Ave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S+843, 11/30/2028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Carlstadt, NJ 07072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284" w:right="3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38"/>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4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6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60" w:type="dxa"/>
            <w:vAlign w:val="bottom"/>
            <w:gridSpan w:val="2"/>
          </w:tcPr>
          <w:p>
            <w:pPr>
              <w:jc w:val="center"/>
              <w:ind w:right="7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Type of Investment,</w:t>
            </w:r>
          </w:p>
        </w:tc>
        <w:tc>
          <w:tcPr>
            <w:tcW w:w="1740" w:type="dxa"/>
            <w:vAlign w:val="bottom"/>
            <w:gridSpan w:val="2"/>
          </w:tcPr>
          <w:p>
            <w:pPr>
              <w:jc w:val="center"/>
              <w:ind w:right="10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60" w:type="dxa"/>
            <w:vAlign w:val="bottom"/>
            <w:gridSpan w:val="2"/>
          </w:tcPr>
          <w:p>
            <w:pPr>
              <w:jc w:val="center"/>
              <w:ind w:right="7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740" w:type="dxa"/>
            <w:vAlign w:val="bottom"/>
            <w:gridSpan w:val="2"/>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Owl Acquisition, LLC</w:t>
            </w:r>
          </w:p>
        </w:tc>
        <w:tc>
          <w:tcPr>
            <w:tcW w:w="2440" w:type="dxa"/>
            <w:vAlign w:val="bottom"/>
          </w:tcPr>
          <w:p>
            <w:pPr>
              <w:spacing w:after="0"/>
              <w:rPr>
                <w:sz w:val="9"/>
                <w:szCs w:val="9"/>
                <w:color w:val="auto"/>
              </w:rPr>
            </w:pPr>
          </w:p>
        </w:tc>
        <w:tc>
          <w:tcPr>
            <w:tcW w:w="1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20" w:type="dxa"/>
            <w:vAlign w:val="bottom"/>
          </w:tcPr>
          <w:p>
            <w:pPr>
              <w:spacing w:after="0"/>
              <w:rPr>
                <w:sz w:val="9"/>
                <w:szCs w:val="9"/>
                <w:color w:val="auto"/>
              </w:rPr>
            </w:pPr>
          </w:p>
        </w:tc>
        <w:tc>
          <w:tcPr>
            <w:tcW w:w="15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720" w:type="dxa"/>
            <w:vAlign w:val="bottom"/>
          </w:tcPr>
          <w:p>
            <w:pPr>
              <w:spacing w:after="0"/>
              <w:rPr>
                <w:sz w:val="9"/>
                <w:szCs w:val="9"/>
                <w:color w:val="auto"/>
              </w:rPr>
            </w:pPr>
          </w:p>
        </w:tc>
        <w:tc>
          <w:tcPr>
            <w:tcW w:w="760" w:type="dxa"/>
            <w:vAlign w:val="bottom"/>
            <w:tcBorders>
              <w:top w:val="single" w:sz="8" w:color="auto"/>
            </w:tcBorders>
          </w:tcPr>
          <w:p>
            <w:pPr>
              <w:ind w:left="54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98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3,834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47 Old Webster Road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S+550, 02/04/2028</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Oxford, MA 01540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 Two,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Construction and Building</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22,736</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22260 Haggerty Road #365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S+651, 05/18/2026</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Northville, MI 48167</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Pacific Purchaser,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6,016</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(Consello Pacific Aggregator, LLC)</w:t>
            </w:r>
            <w:r>
              <w:rPr>
                <w:rFonts w:ascii="Times New Roman" w:cs="Times New Roman" w:eastAsia="Times New Roman" w:hAnsi="Times New Roman"/>
                <w:sz w:val="8"/>
                <w:szCs w:val="8"/>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S+625, 09/30/2028</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3250 Wilshire Blvd # 900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90010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PCS Midco,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11,706</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(PCS Parent, LP)</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03/01/2030</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9450 SW Gemini Dr</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Beaverton, OR 97008</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PennantPark-TSO Senior Loan Fund, LP</w:t>
            </w:r>
            <w:r>
              <w:rPr>
                <w:rFonts w:ascii="Times New Roman" w:cs="Times New Roman" w:eastAsia="Times New Roman" w:hAnsi="Times New Roman"/>
                <w:sz w:val="8"/>
                <w:szCs w:val="8"/>
                <w:color w:val="auto"/>
              </w:rPr>
              <w:t>(6)</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Financial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Common Equity</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4.99%</w:t>
            </w:r>
            <w:r>
              <w:rPr>
                <w:rFonts w:ascii="Times New Roman" w:cs="Times New Roman" w:eastAsia="Times New Roman" w:hAnsi="Times New Roman"/>
                <w:sz w:val="8"/>
                <w:szCs w:val="8"/>
                <w:color w:val="auto"/>
              </w:rPr>
              <w:t>(3)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9,705</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 Acquisitionco,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8"/>
              </w:rPr>
              <w:t>Textiles, Apparel and Luxury</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(Pink Lily Holdco, LLC)</w:t>
            </w:r>
            <w:r>
              <w:rPr>
                <w:rFonts w:ascii="Times New Roman" w:cs="Times New Roman" w:eastAsia="Times New Roman" w:hAnsi="Times New Roman"/>
                <w:sz w:val="8"/>
                <w:szCs w:val="8"/>
                <w:color w:val="auto"/>
              </w:rPr>
              <w:t>(5)</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8"/>
              </w:rPr>
              <w:t>Goods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S+710 (PIK 3.50%),</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323 Mitch McConnell Way</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7"/>
              </w:rPr>
              <w:t>11/09/2027</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Bowling Green KY 42101</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PlayPower,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13310 James E. Casey Ave.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S+565, 05/08/2026</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Englewood, CO 80112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Pragmatic Institute,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8910 East Raintree Drive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07/06/2028</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Scottsdale, AZ 85620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Quad (U.S.) Co-Invest, L.P.</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Common Equity</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330 Old Country Rd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300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Mineola, NY 11501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Quantic Electronics,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Electronic Equipment,</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6,467</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Four Embarcadero Center, Suite 3460</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S+635, 11/19/2026</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Francisco, CA 94111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QuantiTech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LP)</w:t>
            </w:r>
            <w:r>
              <w:rPr>
                <w:rFonts w:ascii="Times New Roman" w:cs="Times New Roman" w:eastAsia="Times New Roman" w:hAnsi="Times New Roman"/>
                <w:sz w:val="8"/>
                <w:szCs w:val="8"/>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3M S+1010, 02/04/2027</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II LP)</w:t>
            </w:r>
            <w:r>
              <w:rPr>
                <w:rFonts w:ascii="Times New Roman" w:cs="Times New Roman" w:eastAsia="Times New Roman" w:hAnsi="Times New Roman"/>
                <w:sz w:val="8"/>
                <w:szCs w:val="8"/>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360A-360D Quality Circle, Suite 100/430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Questex,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 Diversified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6,731</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275 Grove Street, Suite 2-130</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7"/>
              </w:rPr>
              <w:t>Production</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09/09/2024</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Newton, MA 02466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Rancho Health MSO,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(RFMG Parent, LP)</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12/18/2025</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31720 Temecula Pkwy Suite 100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Temecula, CA 92592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Recteq,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1,758</w:t>
            </w: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(NEPRT Parent Holdings, LLC )</w:t>
            </w:r>
            <w:r>
              <w:rPr>
                <w:rFonts w:ascii="Times New Roman" w:cs="Times New Roman" w:eastAsia="Times New Roman" w:hAnsi="Times New Roman"/>
                <w:sz w:val="8"/>
                <w:szCs w:val="8"/>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S+715, 01/29/2026</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1061 Triad Ct., Ste. 3</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284"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38"/>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2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4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Research Now Group, LLC</w:t>
            </w:r>
          </w:p>
        </w:tc>
        <w:tc>
          <w:tcPr>
            <w:tcW w:w="254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and Dynata, LLC</w:t>
            </w:r>
          </w:p>
        </w:tc>
        <w:tc>
          <w:tcPr>
            <w:tcW w:w="1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Business Services</w:t>
            </w:r>
          </w:p>
        </w:tc>
        <w:tc>
          <w:tcPr>
            <w:tcW w:w="680" w:type="dxa"/>
            <w:vAlign w:val="bottom"/>
          </w:tcPr>
          <w:p>
            <w:pPr>
              <w:spacing w:after="0"/>
              <w:rPr>
                <w:sz w:val="9"/>
                <w:szCs w:val="9"/>
                <w:color w:val="auto"/>
              </w:rPr>
            </w:pPr>
          </w:p>
        </w:tc>
        <w:tc>
          <w:tcPr>
            <w:tcW w:w="15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680" w:type="dxa"/>
            <w:vAlign w:val="bottom"/>
          </w:tcPr>
          <w:p>
            <w:pPr>
              <w:spacing w:after="0"/>
              <w:rPr>
                <w:sz w:val="9"/>
                <w:szCs w:val="9"/>
                <w:color w:val="auto"/>
              </w:rPr>
            </w:pPr>
          </w:p>
        </w:tc>
        <w:tc>
          <w:tcPr>
            <w:tcW w:w="78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14,341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5800 Tennyson Parkway, Suite 600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S+576, 12/20/2024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Riverpoint Medical,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10,122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825 NE 25th Avenue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S+515, 06/20/2025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OR 97232</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Rural Sourcing Holdings,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(HPA SPQ Aggregator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S+625, 06/15/2029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817 West Peachtree St. Suite M100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30308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S101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12,377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1450 Centrepark Blvd.</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12/29/2026</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210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Palm Beach, FL 33401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Benchmark Index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3,117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(SBI Holdings Investments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S+620, 01/03/2025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2021 McKinney Avenue Suite 550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Sargent &amp; Greenleaf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4,112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Security Drive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S+760 (PIK 1.00%),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Nicholasville, KY 40356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12/20/2024</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Schlesinger Global,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16,420</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Schlesinger Coinvest,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S+825 (PIK 5.60%),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101 Wood Avenue South, Suite 501</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07/14/2025</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Iselin, NJ 08830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Subordinate Debt</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S+700, 07/26/2024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Seaway Buyer,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(Seaway Topco,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06/13/2029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6006 Siesta Lane</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 Richey, FL 34668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Sigma Defense Systems,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IT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23,587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(Delta InvestCo LP)</w:t>
            </w:r>
            <w:r>
              <w:rPr>
                <w:rFonts w:ascii="Times New Roman" w:cs="Times New Roman" w:eastAsia="Times New Roman" w:hAnsi="Times New Roman"/>
                <w:sz w:val="8"/>
                <w:szCs w:val="8"/>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S+715, 12/18/2027</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1812 Macon Rd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GA 31069</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Simplicity Financial Marketing Group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3"/>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86 Summit Avenue Suite 303</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3M S+640, 12/02/2026</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NJ 07901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Skopima Consilio Parent,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Business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1828 L Street NW Suite 1070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05/17/2028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20036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Smartronix,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Aerospace and Defense</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(OceanSound Discovery Equity, LP)</w:t>
            </w:r>
            <w:r>
              <w:rPr>
                <w:rFonts w:ascii="Times New Roman" w:cs="Times New Roman" w:eastAsia="Times New Roman" w:hAnsi="Times New Roman"/>
                <w:sz w:val="8"/>
                <w:szCs w:val="8"/>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S+635, 11/23/2028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310 The Bridge Street, Suite 350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Smile Brands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100 Spectrum Center Drive, Suite 100</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Pharmaceuticals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10/14/2025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Irvine, CA 92618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284" w:right="3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3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0" w:type="dxa"/>
            <w:vAlign w:val="bottom"/>
            <w:gridSpan w:val="2"/>
          </w:tcPr>
          <w:p>
            <w:pPr>
              <w:jc w:val="center"/>
              <w:ind w:right="44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80" w:type="dxa"/>
            <w:vAlign w:val="bottom"/>
            <w:gridSpan w:val="2"/>
          </w:tcPr>
          <w:p>
            <w:pPr>
              <w:jc w:val="center"/>
              <w:ind w:right="6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Solutionreach, Inc.</w:t>
            </w:r>
          </w:p>
        </w:tc>
        <w:tc>
          <w:tcPr>
            <w:tcW w:w="3080" w:type="dxa"/>
            <w:vAlign w:val="bottom"/>
          </w:tcPr>
          <w:p>
            <w:pPr>
              <w:spacing w:after="0"/>
              <w:rPr>
                <w:sz w:val="9"/>
                <w:szCs w:val="9"/>
                <w:color w:val="auto"/>
              </w:rPr>
            </w:pPr>
          </w:p>
        </w:tc>
        <w:tc>
          <w:tcPr>
            <w:tcW w:w="19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Healthcare Technology</w:t>
            </w:r>
          </w:p>
        </w:tc>
        <w:tc>
          <w:tcPr>
            <w:tcW w:w="44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440" w:type="dxa"/>
            <w:vAlign w:val="bottom"/>
          </w:tcPr>
          <w:p>
            <w:pPr>
              <w:spacing w:after="0"/>
              <w:rPr>
                <w:sz w:val="9"/>
                <w:szCs w:val="9"/>
                <w:color w:val="auto"/>
              </w:rPr>
            </w:pPr>
          </w:p>
        </w:tc>
        <w:tc>
          <w:tcPr>
            <w:tcW w:w="76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w w:val="99"/>
              </w:rPr>
              <w:t>— </w:t>
            </w:r>
          </w:p>
        </w:tc>
        <w:tc>
          <w:tcPr>
            <w:tcW w:w="62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4,652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2600 N. Ashton Blvd.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S+700, 07/17/2025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Lehi, UT 84043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Spendmend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(North Haven Saints Equity Holdings, LP)</w:t>
            </w:r>
            <w:r>
              <w:rPr>
                <w:rFonts w:ascii="Times New Roman" w:cs="Times New Roman" w:eastAsia="Times New Roman" w:hAnsi="Times New Roman"/>
                <w:sz w:val="8"/>
                <w:szCs w:val="8"/>
                <w:color w:val="auto"/>
              </w:rPr>
              <w:t>(5)</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rPr>
              <w:t>3M S+565, 03/01/2028,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Horizon Dr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Rapids, MI 49546</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SSC Dominion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Capital Equipment</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(US Dominion,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215 Spadina Avenue, Suite 200</w:t>
            </w:r>
          </w:p>
        </w:tc>
        <w:tc>
          <w:tcPr>
            <w:tcW w:w="1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Toronto, ON MST 2C7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Behavioral Healthcare,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501 Corporate Centre Dr. #600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1M S+501, 11/24/2028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TN 37067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System Planning and Analysis, Inc. (f/k/a Management Consulting &amp;</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20,622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Research,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S+590, 08/16/2027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1220 12th Street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TAC LifePort Purchaser, LLC</w:t>
            </w:r>
            <w:r>
              <w:rPr>
                <w:rFonts w:ascii="Times New Roman" w:cs="Times New Roman" w:eastAsia="Times New Roman" w:hAnsi="Times New Roman"/>
                <w:sz w:val="8"/>
                <w:szCs w:val="8"/>
                <w:color w:val="auto"/>
              </w:rPr>
              <w:t>(5)</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1610 Heritage St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Woodland, WA 98674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TCG 3.0 Jogger Acquisitionco, Inc.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4"/>
              </w:rPr>
              <w:t>Media</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27,893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(TCG 3.0 Jogger Co-Invest,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S+650, 01/26/2029</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3344 Walnut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Denver, CO 80205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Team Services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131 Camino Del Rio N, Suite 650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S+543, 12/20/2027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Diego, CA 92108</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Bluebird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Professional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 South Ninth Street, Suite 420,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S+665, 07/28/2026</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Minneapolis, MN, 55402</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Vertex Companies,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3,856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(TWD Parent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S+610, 08/30/2027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398 Libbey Industrial Pkwy,</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Weymouth, MA 02189</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TPC US Parent,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Food Products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12,853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(TPC Holding Company,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3M S+565, 11/24/2025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151 Struthers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Warren, PA 16365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TransGo,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15,569</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(Aftermarket Drivetrain Products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S+600, 12/29/2028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2621 Merced Avenue</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Monte, CA, 91733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TWS Acquisition Corporation</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Diversified Consumer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3,657</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 N. 44th Street #230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S+640, 06/16/2025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85034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Tyto Athene,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IT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12,692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(NXOF Holdings,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S+565, 04/01/2028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510 Spring Street, Suite 200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20170</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284" w:right="3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38"/>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30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20" w:type="dxa"/>
            <w:vAlign w:val="bottom"/>
            <w:gridSpan w:val="2"/>
          </w:tcPr>
          <w:p>
            <w:pPr>
              <w:jc w:val="center"/>
              <w:ind w:right="5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40" w:type="dxa"/>
            <w:vAlign w:val="bottom"/>
            <w:gridSpan w:val="2"/>
          </w:tcPr>
          <w:p>
            <w:pPr>
              <w:jc w:val="center"/>
              <w:ind w:right="76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50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2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4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UniTek Global Services Inc.</w:t>
            </w:r>
          </w:p>
        </w:tc>
        <w:tc>
          <w:tcPr>
            <w:tcW w:w="2680" w:type="dxa"/>
            <w:vAlign w:val="bottom"/>
          </w:tcPr>
          <w:p>
            <w:pPr>
              <w:spacing w:after="0"/>
              <w:rPr>
                <w:sz w:val="9"/>
                <w:szCs w:val="9"/>
                <w:color w:val="auto"/>
              </w:rPr>
            </w:pPr>
          </w:p>
        </w:tc>
        <w:tc>
          <w:tcPr>
            <w:tcW w:w="20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Telecommunications</w:t>
            </w:r>
          </w:p>
        </w:tc>
        <w:tc>
          <w:tcPr>
            <w:tcW w:w="500" w:type="dxa"/>
            <w:vAlign w:val="bottom"/>
          </w:tcPr>
          <w:p>
            <w:pPr>
              <w:spacing w:after="0"/>
              <w:rPr>
                <w:sz w:val="9"/>
                <w:szCs w:val="9"/>
                <w:color w:val="auto"/>
              </w:rPr>
            </w:pPr>
          </w:p>
        </w:tc>
        <w:tc>
          <w:tcPr>
            <w:tcW w:w="15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Preferred Equity</w:t>
            </w:r>
          </w:p>
        </w:tc>
        <w:tc>
          <w:tcPr>
            <w:tcW w:w="540" w:type="dxa"/>
            <w:vAlign w:val="bottom"/>
          </w:tcPr>
          <w:p>
            <w:pPr>
              <w:spacing w:after="0"/>
              <w:rPr>
                <w:sz w:val="9"/>
                <w:szCs w:val="9"/>
                <w:color w:val="auto"/>
              </w:rPr>
            </w:pPr>
          </w:p>
        </w:tc>
        <w:tc>
          <w:tcPr>
            <w:tcW w:w="78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7"/>
              </w:rPr>
              <w:t>Warrants</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UniVista Insurance</w:t>
            </w:r>
            <w:r>
              <w:rPr>
                <w:rFonts w:ascii="Times New Roman" w:cs="Times New Roman" w:eastAsia="Times New Roman" w:hAnsi="Times New Roman"/>
                <w:sz w:val="8"/>
                <w:szCs w:val="8"/>
                <w:color w:val="auto"/>
              </w:rPr>
              <w:t>(5)</w:t>
            </w:r>
          </w:p>
        </w:tc>
        <w:tc>
          <w:tcPr>
            <w:tcW w:w="25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Insurance</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Urology Partners Co., LP</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500 East Broward Blvd, Suite 2150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Lauderdale, FL 33394</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Walker Edison Furniture Company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Wholesale</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(Walker Edison Holdco LLC)</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 03/01/2029</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1553 W 9000 S</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Jordan, UT 84088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Watchtower Intermediate,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11,530</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(Watchtower Holdings, LLC)</w:t>
            </w:r>
            <w:r>
              <w:rPr>
                <w:rFonts w:ascii="Times New Roman" w:cs="Times New Roman" w:eastAsia="Times New Roman" w:hAnsi="Times New Roman"/>
                <w:sz w:val="8"/>
                <w:szCs w:val="8"/>
                <w:color w:val="auto"/>
              </w:rPr>
              <w:t>(5)</w:t>
            </w:r>
          </w:p>
        </w:tc>
        <w:tc>
          <w:tcPr>
            <w:tcW w:w="250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w w:val="99"/>
              </w:rPr>
              <w:t>and Components</w:t>
            </w: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S+600 , 12/01/2029</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127 Weldon Parkway</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Maryland Heights, MO 63043</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WCP IvyRehab QP CF Feeder, LP</w:t>
            </w:r>
            <w:r>
              <w:rPr>
                <w:rFonts w:ascii="Times New Roman" w:cs="Times New Roman" w:eastAsia="Times New Roman" w:hAnsi="Times New Roman"/>
                <w:sz w:val="8"/>
                <w:szCs w:val="8"/>
                <w:color w:val="auto"/>
              </w:rPr>
              <w:t>(5)</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4,173</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(WCP IvyRehab Coinvestment, LP) </w:t>
            </w:r>
            <w:r>
              <w:rPr>
                <w:rFonts w:ascii="Times New Roman" w:cs="Times New Roman" w:eastAsia="Times New Roman" w:hAnsi="Times New Roman"/>
                <w:sz w:val="8"/>
                <w:szCs w:val="8"/>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1311 Mamaroneck Avenue, Suite 140</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White Plains, NY 10605</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Wildcat Buyerco, Inc.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13,378</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(Wildcat Parent, LP)</w:t>
            </w:r>
          </w:p>
        </w:tc>
        <w:tc>
          <w:tcPr>
            <w:tcW w:w="250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w w:val="99"/>
              </w:rPr>
              <w:t>and Components</w:t>
            </w: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S+575, 02/26/2027</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9730 Northcross Center Court</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Huntersville, NC 28078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Wrench Group, LLC</w:t>
            </w:r>
          </w:p>
        </w:tc>
        <w:tc>
          <w:tcPr>
            <w:tcW w:w="25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3,509</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1819 Main Street Suite 1300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S+426, 10/30/2028</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Sarasota, FL 34236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Zips Car Wash,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Automobiles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12,960</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1809 East Parker Road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S+735 (PIK 1.50%),</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Jonesboro, AR 72404</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12/31/2024</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Companies 25% or More Owned</w:t>
            </w:r>
          </w:p>
        </w:tc>
        <w:tc>
          <w:tcPr>
            <w:tcW w:w="2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Marketplace Events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32.6%</w:t>
            </w:r>
            <w:r>
              <w:rPr>
                <w:rFonts w:ascii="Times New Roman" w:cs="Times New Roman" w:eastAsia="Times New Roman" w:hAnsi="Times New Roman"/>
                <w:sz w:val="8"/>
                <w:szCs w:val="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38,004</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MPE Holdings, LLC)</w:t>
            </w:r>
            <w:r>
              <w:rPr>
                <w:rFonts w:ascii="Times New Roman" w:cs="Times New Roman" w:eastAsia="Times New Roman" w:hAnsi="Times New Roman"/>
                <w:sz w:val="8"/>
                <w:szCs w:val="8"/>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S+550, 09/30/2026</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31105 Bainbridge Road, Suite 3</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 Senior Secured Loan Fund I LLC</w:t>
            </w:r>
            <w:r>
              <w:rPr>
                <w:rFonts w:ascii="Times New Roman" w:cs="Times New Roman" w:eastAsia="Times New Roman" w:hAnsi="Times New Roman"/>
                <w:sz w:val="8"/>
                <w:szCs w:val="8"/>
                <w:color w:val="auto"/>
              </w:rPr>
              <w:t>(6)</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Financial Services</w:t>
            </w: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8"/>
                <w:szCs w:val="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263,199</w:t>
            </w:r>
          </w:p>
        </w:tc>
        <w:tc>
          <w:tcPr>
            <w:tcW w:w="0" w:type="dxa"/>
            <w:vAlign w:val="bottom"/>
          </w:tcPr>
          <w:p>
            <w:pPr>
              <w:spacing w:after="0"/>
              <w:rPr>
                <w:sz w:val="1"/>
                <w:szCs w:val="1"/>
                <w:color w:val="auto"/>
              </w:rPr>
            </w:pPr>
          </w:p>
        </w:tc>
      </w:tr>
      <w:tr>
        <w:trPr>
          <w:trHeight w:val="145"/>
        </w:trPr>
        <w:tc>
          <w:tcPr>
            <w:tcW w:w="43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3M S+800, 05/06/2024</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30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Total Investments</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1,477,883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ind w:left="460" w:hanging="455"/>
        <w:spacing w:after="0" w:line="249"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floating rate instruments that accrue interest at a predetermined spread relative to an index, typically the applicable Secured Overnight Financing Rate, or “S”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84" w:right="339" w:bottom="1440" w:gutter="0" w:footer="0" w:header="0"/>
        </w:sectPr>
      </w:pPr>
    </w:p>
    <w:bookmarkStart w:id="36" w:name="page37"/>
    <w:bookmarkEnd w:id="36"/>
    <w:p>
      <w:pPr>
        <w:ind w:left="460" w:hanging="45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Voting ownership percentage refers only to common equity, preferred equity and warrants held, if any, were we to have voting rights.</w:t>
      </w:r>
    </w:p>
    <w:p>
      <w:pPr>
        <w:spacing w:after="0" w:line="2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one or more voting seats on the portfolio company’s board of directors/managers.</w:t>
      </w:r>
    </w:p>
    <w:p>
      <w:pPr>
        <w:spacing w:after="0" w:line="3" w:lineRule="exact"/>
        <w:rPr>
          <w:rFonts w:ascii="Times New Roman" w:cs="Times New Roman" w:eastAsia="Times New Roman" w:hAnsi="Times New Roman"/>
          <w:sz w:val="18"/>
          <w:szCs w:val="18"/>
          <w:color w:val="auto"/>
        </w:rPr>
      </w:pPr>
    </w:p>
    <w:p>
      <w:pPr>
        <w:ind w:left="460" w:right="260" w:hanging="455"/>
        <w:spacing w:after="0" w:line="244"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purchase of a security with delayed settlement or a revolving line of credit that is currently an unfunded investment, that does not earn a basis point spread above an index while it is unfunded.</w:t>
      </w:r>
    </w:p>
    <w:p>
      <w:pPr>
        <w:ind w:left="460" w:hanging="455"/>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held through our Taxable Subsidiary.</w:t>
      </w:r>
    </w:p>
    <w:p>
      <w:pPr>
        <w:spacing w:after="0" w:line="3" w:lineRule="exact"/>
        <w:rPr>
          <w:rFonts w:ascii="Times New Roman" w:cs="Times New Roman" w:eastAsia="Times New Roman" w:hAnsi="Times New Roman"/>
          <w:sz w:val="18"/>
          <w:szCs w:val="18"/>
          <w:color w:val="auto"/>
        </w:rPr>
      </w:pPr>
    </w:p>
    <w:p>
      <w:pPr>
        <w:ind w:left="460" w:right="240" w:hanging="455"/>
        <w:spacing w:after="0" w:line="24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83% of our total assets and non-qualifying assets represent 17% of our total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brief description of each portfolio company in which we have made an investment that represents greater than 5% of our total assets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PennantPark Senior Secured Loan Fund I LLC (Financial Services)</w:t>
      </w:r>
    </w:p>
    <w:p>
      <w:pPr>
        <w:spacing w:after="0" w:line="1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PennantPark Senior Secured Loan Fund I LLC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169" w:lineRule="exact"/>
        <w:rPr>
          <w:sz w:val="20"/>
          <w:szCs w:val="20"/>
          <w:color w:val="auto"/>
        </w:rPr>
      </w:pPr>
    </w:p>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69"/>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0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34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Professional Services</w:t>
            </w:r>
          </w:p>
        </w:tc>
        <w:tc>
          <w:tcPr>
            <w:tcW w:w="1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00"/>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7"/>
                <w:szCs w:val="17"/>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Providers and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r>
      <w:tr>
        <w:trPr>
          <w:trHeight w:val="192"/>
        </w:trPr>
        <w:tc>
          <w:tcPr>
            <w:tcW w:w="34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Electronic Equipment, Instruments, and</w:t>
            </w: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9"/>
        </w:trPr>
        <w:tc>
          <w:tcPr>
            <w:tcW w:w="3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Components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&amp; Engineering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Diversified and Production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Technology</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Services &amp; Supplies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Freight and Logistics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Components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Diversified Consumer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Equipment and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355"/>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292" w:right="4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tbl>
      <w:tblPr>
        <w:tblLayout w:type="fixed"/>
        <w:tblInd w:w="1360" w:type="dxa"/>
        <w:tblCellMar>
          <w:top w:w="0" w:type="dxa"/>
          <w:left w:w="0" w:type="dxa"/>
          <w:bottom w:w="0" w:type="dxa"/>
          <w:right w:w="0" w:type="dxa"/>
        </w:tblCellMar>
      </w:tblPr>
      <w:tr>
        <w:trPr>
          <w:trHeight w:val="169"/>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8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352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Healthcare Equipment and Supplies</w:t>
            </w:r>
          </w:p>
        </w:tc>
        <w:tc>
          <w:tcPr>
            <w:tcW w:w="9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7"/>
                <w:szCs w:val="17"/>
                <w:color w:val="auto"/>
              </w:rPr>
            </w:pPr>
          </w:p>
        </w:tc>
      </w:tr>
      <w:tr>
        <w:trPr>
          <w:trHeight w:val="211"/>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Hotels, Restaurants and Leisure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r>
      <w:tr>
        <w:trPr>
          <w:trHeight w:val="211"/>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Software and Services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1"/>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Leisure Products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Textiles, Apparel and Luxury Goods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9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7"/>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854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93"/>
              </w:rPr>
              <w:t>(1)</w:t>
            </w:r>
          </w:p>
        </w:tc>
        <w:tc>
          <w:tcPr>
            <w:tcW w:w="5420" w:type="dxa"/>
            <w:vAlign w:val="bottom"/>
            <w:vMerge w:val="restart"/>
          </w:tcPr>
          <w:p>
            <w:pPr>
              <w:jc w:val="right"/>
              <w:ind w:right="2992"/>
              <w:spacing w:after="0"/>
              <w:rPr>
                <w:sz w:val="20"/>
                <w:szCs w:val="20"/>
                <w:color w:val="auto"/>
              </w:rPr>
            </w:pPr>
            <w:r>
              <w:rPr>
                <w:rFonts w:ascii="Times New Roman" w:cs="Times New Roman" w:eastAsia="Times New Roman" w:hAnsi="Times New Roman"/>
                <w:sz w:val="18"/>
                <w:szCs w:val="18"/>
                <w:color w:val="auto"/>
              </w:rPr>
              <w:t>Excludes investments in PSSL.</w:t>
            </w:r>
          </w:p>
        </w:tc>
        <w:tc>
          <w:tcPr>
            <w:tcW w:w="0" w:type="dxa"/>
            <w:vAlign w:val="bottom"/>
          </w:tcPr>
          <w:p>
            <w:pPr>
              <w:spacing w:after="0"/>
              <w:rPr>
                <w:sz w:val="1"/>
                <w:szCs w:val="1"/>
                <w:color w:val="auto"/>
              </w:rPr>
            </w:pPr>
          </w:p>
        </w:tc>
      </w:tr>
      <w:tr>
        <w:trPr>
          <w:trHeight w:val="86"/>
        </w:trPr>
        <w:tc>
          <w:tcPr>
            <w:tcW w:w="300" w:type="dxa"/>
            <w:vAlign w:val="bottom"/>
          </w:tcPr>
          <w:p>
            <w:pPr>
              <w:spacing w:after="0"/>
              <w:rPr>
                <w:sz w:val="7"/>
                <w:szCs w:val="7"/>
                <w:color w:val="auto"/>
              </w:rPr>
            </w:pPr>
          </w:p>
        </w:tc>
        <w:tc>
          <w:tcPr>
            <w:tcW w:w="5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300" w:type="dxa"/>
            <w:vAlign w:val="bottom"/>
          </w:tcPr>
          <w:p>
            <w:pPr>
              <w:spacing w:after="0"/>
              <w:rPr>
                <w:sz w:val="24"/>
                <w:szCs w:val="24"/>
                <w:color w:val="auto"/>
              </w:rPr>
            </w:pPr>
          </w:p>
        </w:tc>
        <w:tc>
          <w:tcPr>
            <w:tcW w:w="5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0139"/>
          </w:cols>
          <w:pgMar w:left="320" w:top="286" w:right="1440" w:bottom="1440" w:gutter="0" w:footer="0" w:header="0"/>
        </w:sectPr>
      </w:pPr>
    </w:p>
    <w:bookmarkStart w:id="38" w:name="page39"/>
    <w:bookmarkEnd w:id="38"/>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MANAGEMENT OF THE COMPANY</w:t>
      </w:r>
    </w:p>
    <w:p>
      <w:pPr>
        <w:spacing w:after="0" w:line="216" w:lineRule="exact"/>
        <w:rPr>
          <w:sz w:val="20"/>
          <w:szCs w:val="20"/>
          <w:color w:val="auto"/>
        </w:rPr>
      </w:pPr>
    </w:p>
    <w:p>
      <w:pPr>
        <w:ind w:firstLine="45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sections entitled “Security Ownership of Certain Beneficial Owners and Management,” “Information About the Nominees and Directors,” “Corporate Governance,” and “Board’s Oversight Role in Management” in our most recent Definitive Proxy Statement on </w:t>
      </w:r>
      <w:hyperlink r:id="rId7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herein by reference.</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320" w:top="290" w:right="619" w:bottom="1440" w:gutter="0" w:footer="0" w:header="0"/>
        </w:sectPr>
      </w:pPr>
    </w:p>
    <w:bookmarkStart w:id="39" w:name="page40"/>
    <w:bookmarkEnd w:id="3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INVESTMENT MANAGEMENT AND ADMINISTRATION AGREEMENT</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in the section entitled “Business—Investment Management Agreement,” “Business—Investment Advisory Fees,” “Business— Organization of the Investment Adviser,” “Business—Administration Agreements” in Part I, Item 1 of our most recent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in the notes to our consolidated financial statements under the caption “Note 3. Agreements and Related Party Transactions” in our most recent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 reference.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290" w:right="37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PORTFOLIO MANAGEMENT</w:t>
      </w:r>
    </w:p>
    <w:p>
      <w:pPr>
        <w:spacing w:after="0" w:line="216"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Our Investment Adviser, which manages our day-to-day investment activities under the supervision of our board of directors, has nine experienced portfolio managers.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portfolio managers receive no compensation from us. The compensation of these individuals is paid by our Investment Adviser and compensation includes a base salary and a bonus contingent upon past and future performance.</w:t>
      </w:r>
    </w:p>
    <w:p>
      <w:pPr>
        <w:spacing w:after="0" w:line="191" w:lineRule="exact"/>
        <w:rPr>
          <w:sz w:val="20"/>
          <w:szCs w:val="20"/>
          <w:color w:val="auto"/>
        </w:rPr>
      </w:pPr>
    </w:p>
    <w:p>
      <w:pPr>
        <w:ind w:right="40" w:firstLine="450"/>
        <w:spacing w:after="0" w:line="246" w:lineRule="auto"/>
        <w:rPr>
          <w:sz w:val="20"/>
          <w:szCs w:val="20"/>
          <w:color w:val="auto"/>
        </w:rPr>
      </w:pPr>
      <w:r>
        <w:rPr>
          <w:rFonts w:ascii="Times New Roman" w:cs="Times New Roman" w:eastAsia="Times New Roman" w:hAnsi="Times New Roman"/>
          <w:sz w:val="18"/>
          <w:szCs w:val="18"/>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94"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5" w:lineRule="exact"/>
        <w:rPr>
          <w:sz w:val="20"/>
          <w:szCs w:val="20"/>
          <w:color w:val="auto"/>
        </w:rPr>
      </w:pPr>
    </w:p>
    <w:p>
      <w:pPr>
        <w:ind w:right="220" w:firstLine="450"/>
        <w:spacing w:after="0" w:line="250" w:lineRule="auto"/>
        <w:rPr>
          <w:sz w:val="20"/>
          <w:szCs w:val="20"/>
          <w:color w:val="auto"/>
        </w:rPr>
      </w:pPr>
      <w:r>
        <w:rPr>
          <w:rFonts w:ascii="Times New Roman" w:cs="Times New Roman" w:eastAsia="Times New Roman" w:hAnsi="Times New Roman"/>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5" w:lineRule="exact"/>
        <w:rPr>
          <w:sz w:val="20"/>
          <w:szCs w:val="20"/>
          <w:color w:val="auto"/>
        </w:rPr>
      </w:pPr>
    </w:p>
    <w:p>
      <w:pPr>
        <w:ind w:right="380" w:firstLine="450"/>
        <w:spacing w:after="0" w:line="332" w:lineRule="auto"/>
        <w:rPr>
          <w:sz w:val="20"/>
          <w:szCs w:val="20"/>
          <w:color w:val="auto"/>
        </w:rPr>
      </w:pPr>
      <w:r>
        <w:rPr>
          <w:rFonts w:ascii="Times New Roman" w:cs="Times New Roman" w:eastAsia="Times New Roman" w:hAnsi="Times New Roman"/>
          <w:sz w:val="16"/>
          <w:szCs w:val="16"/>
          <w:color w:val="auto"/>
        </w:rPr>
        <w:t>Michael Appelbaum joined PennantPark Investment Advisers in August 2011. Previously, Mr. Appelbaum was an Analyst in the Leveraged Finance Group at Bank of America Merrill Lynch from 2010 to 2011 and an Analyst in Aerospace and Defense Finance at CIT Group from 2007 to 2010.</w:t>
      </w:r>
    </w:p>
    <w:p>
      <w:pPr>
        <w:spacing w:after="0" w:line="123"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Terence Clerkin joined PennantPark Investment Advisers in September 2012. Previously, Mr. Clerkin was an Associate in the Mezzanine Group at Crescent Capital from 2010 to 2012. Before that, he was an Analyst at Moelis &amp; Company from 2008 to 2010 and an Analyst at Bear, Stearns &amp; Co. from 2007 to 2008.</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290" w:right="339" w:bottom="1440" w:gutter="0" w:footer="0" w:header="0"/>
        </w:sectPr>
      </w:pPr>
    </w:p>
    <w:bookmarkStart w:id="41" w:name="page42"/>
    <w:bookmarkEnd w:id="41"/>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Ryan Raskopf joined PennantPark Investment Advisers in August 2007. Previously, Mr. Raskopf was an Analyst in the Financial Institutions Group at Credit Suisse Securities (USA) LLC from 2005 to 2007.</w:t>
      </w:r>
    </w:p>
    <w:p>
      <w:pPr>
        <w:spacing w:after="0" w:line="169" w:lineRule="exact"/>
        <w:rPr>
          <w:sz w:val="20"/>
          <w:szCs w:val="20"/>
          <w:color w:val="auto"/>
        </w:rPr>
      </w:pPr>
    </w:p>
    <w:p>
      <w:pPr>
        <w:ind w:right="240" w:firstLine="450"/>
        <w:spacing w:after="0" w:line="293" w:lineRule="auto"/>
        <w:rPr>
          <w:sz w:val="20"/>
          <w:szCs w:val="20"/>
          <w:color w:val="auto"/>
        </w:rPr>
      </w:pPr>
      <w:r>
        <w:rPr>
          <w:rFonts w:ascii="Times New Roman" w:cs="Times New Roman" w:eastAsia="Times New Roman" w:hAnsi="Times New Roman"/>
          <w:sz w:val="16"/>
          <w:szCs w:val="16"/>
          <w:color w:val="auto"/>
        </w:rPr>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54"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6"/>
          <w:szCs w:val="16"/>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managing our investments, as of March 31, 2024, our portfolio managers also managed investments on behalf of the following entities: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68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Investment Focus</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Investment Corporation</w:t>
            </w:r>
          </w:p>
        </w:tc>
        <w:tc>
          <w:tcPr>
            <w:tcW w:w="280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Business development company</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 U.S. middle market companies in</w:t>
            </w:r>
          </w:p>
        </w:tc>
        <w:tc>
          <w:tcPr>
            <w:tcW w:w="480" w:type="dxa"/>
            <w:vAlign w:val="bottom"/>
            <w:shd w:val="clear" w:color="auto" w:fill="CCEEFF"/>
          </w:tcPr>
          <w:p>
            <w:pPr>
              <w:ind w:left="22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form of first lien secured loans, second lien</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 debt, subordinated debt and equity</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Senior Secured Loan Fund I LLC</w:t>
            </w:r>
          </w:p>
        </w:tc>
        <w:tc>
          <w:tcPr>
            <w:tcW w:w="2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Primarily floating rate loans, with an emphasis</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senior secured loans, in middle-market</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leveraged companies.</w:t>
            </w: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Senior Loan Fund, LLC</w:t>
            </w:r>
          </w:p>
        </w:tc>
        <w:tc>
          <w:tcPr>
            <w:tcW w:w="280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invests in middle-market and other</w:t>
            </w:r>
          </w:p>
        </w:tc>
        <w:tc>
          <w:tcPr>
            <w:tcW w:w="480" w:type="dxa"/>
            <w:vAlign w:val="bottom"/>
            <w:shd w:val="clear" w:color="auto" w:fill="CCEEFF"/>
          </w:tcPr>
          <w:p>
            <w:pPr>
              <w:ind w:left="22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debt consistent with PennantPark</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Corporation’s strategy.</w:t>
            </w: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Managed Funds or Accounts (15)</w:t>
            </w:r>
          </w:p>
        </w:tc>
        <w:tc>
          <w:tcPr>
            <w:tcW w:w="2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 Lending Funds</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credit opportunities</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39</w:t>
            </w: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2" w:right="339" w:bottom="1440" w:gutter="0" w:footer="0" w:header="0"/>
        </w:sectPr>
      </w:pPr>
    </w:p>
    <w:bookmarkStart w:id="42" w:name="page43"/>
    <w:bookmarkEnd w:id="42"/>
    <w:p>
      <w:pPr>
        <w:ind w:firstLine="450"/>
        <w:spacing w:after="0" w:line="2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 xml:space="preserve">Because 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we are subject to inherent conflicts of interest. See “Risk Factors—Risks Relating to our Business and Structure—There are significant potential conflicts of interest which could impact our investment returns” in our most recent Annual Report on </w:t>
      </w:r>
      <w:hyperlink r:id="rId30">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more information of potential conflicts of interests.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the dollar range of our common stock beneficially owned by each of our senior investment professionals as of March 31,</w:t>
      </w:r>
    </w:p>
    <w:p>
      <w:pPr>
        <w:spacing w:after="0" w:line="44" w:lineRule="exact"/>
        <w:rPr>
          <w:sz w:val="20"/>
          <w:szCs w:val="20"/>
          <w:color w:val="auto"/>
        </w:rPr>
      </w:pPr>
    </w:p>
    <w:p>
      <w:pPr>
        <w:ind w:right="740"/>
        <w:spacing w:after="0" w:line="248" w:lineRule="auto"/>
        <w:rPr>
          <w:sz w:val="20"/>
          <w:szCs w:val="20"/>
          <w:color w:val="auto"/>
        </w:rPr>
      </w:pPr>
      <w:r>
        <w:rPr>
          <w:rFonts w:ascii="Times New Roman" w:cs="Times New Roman" w:eastAsia="Times New Roman" w:hAnsi="Times New Roman"/>
          <w:sz w:val="18"/>
          <w:szCs w:val="18"/>
          <w:color w:val="auto"/>
        </w:rPr>
        <w:t>2024.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4040" w:type="dxa"/>
            <w:vAlign w:val="bottom"/>
            <w:gridSpan w:val="2"/>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w w:val="99"/>
              </w:rPr>
              <w:t>Dollar Range of the</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 of</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PennantPark Floating Rate</w:t>
            </w:r>
          </w:p>
        </w:tc>
      </w:tr>
      <w:tr>
        <w:trPr>
          <w:trHeight w:val="182"/>
        </w:trPr>
        <w:tc>
          <w:tcPr>
            <w:tcW w:w="3600" w:type="dxa"/>
            <w:vAlign w:val="bottom"/>
          </w:tcPr>
          <w:p>
            <w:pPr>
              <w:spacing w:after="0"/>
              <w:rPr>
                <w:sz w:val="15"/>
                <w:szCs w:val="15"/>
                <w:color w:val="auto"/>
              </w:rPr>
            </w:pPr>
          </w:p>
        </w:tc>
        <w:tc>
          <w:tcPr>
            <w:tcW w:w="4040" w:type="dxa"/>
            <w:vAlign w:val="bottom"/>
            <w:gridSpan w:val="2"/>
          </w:tcPr>
          <w:p>
            <w:pPr>
              <w:jc w:val="center"/>
              <w:ind w:left="1498"/>
              <w:spacing w:after="0"/>
              <w:rPr>
                <w:sz w:val="20"/>
                <w:szCs w:val="20"/>
                <w:color w:val="auto"/>
              </w:rPr>
            </w:pPr>
            <w:r>
              <w:rPr>
                <w:rFonts w:ascii="Times New Roman" w:cs="Times New Roman" w:eastAsia="Times New Roman" w:hAnsi="Times New Roman"/>
                <w:sz w:val="14"/>
                <w:szCs w:val="14"/>
                <w:b w:val="1"/>
                <w:bCs w:val="1"/>
                <w:color w:val="auto"/>
              </w:rPr>
              <w:t xml:space="preserve">Capital Ltd. </w:t>
            </w:r>
            <w:r>
              <w:rPr>
                <w:rFonts w:ascii="Times New Roman" w:cs="Times New Roman" w:eastAsia="Times New Roman" w:hAnsi="Times New Roman"/>
                <w:sz w:val="8"/>
                <w:szCs w:val="8"/>
                <w:b w:val="1"/>
                <w:bCs w:val="1"/>
                <w:color w:val="auto"/>
              </w:rPr>
              <w:t>(1)</w:t>
            </w:r>
          </w:p>
        </w:tc>
      </w:tr>
      <w:tr>
        <w:trPr>
          <w:trHeight w:val="211"/>
        </w:trPr>
        <w:tc>
          <w:tcPr>
            <w:tcW w:w="36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1"/>
                <w:szCs w:val="21"/>
                <w:color w:val="auto"/>
                <w:vertAlign w:val="superscript"/>
              </w:rPr>
              <w:t>(2)</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José A. Briones</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Salvatore Giannetti III</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Michael Appelbaum</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Clerkin</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Dan Horn</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Raskopf</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James Stone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Winograd</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$500,001 - $1,000,000</w:t>
            </w:r>
          </w:p>
        </w:tc>
      </w:tr>
    </w:tbl>
    <w:p>
      <w:pPr>
        <w:spacing w:after="0" w:line="140" w:lineRule="exact"/>
        <w:rPr>
          <w:sz w:val="20"/>
          <w:szCs w:val="20"/>
          <w:color w:val="auto"/>
        </w:rPr>
      </w:pPr>
    </w:p>
    <w:p>
      <w:pPr>
        <w:ind w:left="460" w:right="220" w:hanging="455"/>
        <w:spacing w:after="0" w:line="254"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 Beneficial ownership has been determined in accordance with Rule 16a-1(a)(2) promulgated under the Exchange Act.</w:t>
      </w:r>
    </w:p>
    <w:p>
      <w:pPr>
        <w:ind w:left="460" w:hanging="455"/>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854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292" w:right="3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DETERMINATION OF NET ASSET VALUE</w:t>
      </w:r>
    </w:p>
    <w:p>
      <w:pPr>
        <w:spacing w:after="0" w:line="21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The NAV per share of our outstanding shares of common stock is determined quarterly by dividing the value of total assets minus liabilities by the total number of shares outstanding.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BDC, we generally invest in illiquid securities including debt and equity investments of middle-market companies.</w:t>
      </w:r>
    </w:p>
    <w:p>
      <w:pPr>
        <w:spacing w:after="0" w:line="214"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1" w:lineRule="exact"/>
        <w:rPr>
          <w:sz w:val="20"/>
          <w:szCs w:val="20"/>
          <w:color w:val="auto"/>
        </w:rPr>
      </w:pPr>
    </w:p>
    <w:p>
      <w:pPr>
        <w:ind w:left="1000" w:right="180" w:hanging="547"/>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21" w:lineRule="exact"/>
        <w:rPr>
          <w:rFonts w:ascii="Times New Roman" w:cs="Times New Roman" w:eastAsia="Times New Roman" w:hAnsi="Times New Roman"/>
          <w:sz w:val="18"/>
          <w:szCs w:val="18"/>
          <w:color w:val="auto"/>
        </w:rPr>
      </w:pPr>
    </w:p>
    <w:p>
      <w:pPr>
        <w:ind w:left="1000" w:right="600" w:hanging="547"/>
        <w:spacing w:after="0" w:line="25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91" w:lineRule="exact"/>
        <w:rPr>
          <w:rFonts w:ascii="Times New Roman" w:cs="Times New Roman" w:eastAsia="Times New Roman" w:hAnsi="Times New Roman"/>
          <w:sz w:val="18"/>
          <w:szCs w:val="18"/>
          <w:color w:val="auto"/>
        </w:rPr>
      </w:pPr>
    </w:p>
    <w:p>
      <w:pPr>
        <w:ind w:left="1000" w:right="240" w:hanging="547"/>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rFonts w:ascii="Times New Roman" w:cs="Times New Roman" w:eastAsia="Times New Roman" w:hAnsi="Times New Roman"/>
          <w:sz w:val="18"/>
          <w:szCs w:val="18"/>
          <w:color w:val="auto"/>
        </w:rPr>
      </w:pPr>
    </w:p>
    <w:p>
      <w:pPr>
        <w:ind w:left="1000" w:right="340" w:hanging="547"/>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9"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290" w:right="339" w:bottom="1440" w:gutter="0" w:footer="0" w:header="0"/>
        </w:sectPr>
      </w:pPr>
    </w:p>
    <w:bookmarkStart w:id="44" w:name="page45"/>
    <w:bookmarkEnd w:id="44"/>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ASC 820 classifies the inputs used to measure these fair values into the following hierarchies:</w:t>
      </w:r>
    </w:p>
    <w:p>
      <w:pPr>
        <w:sectPr>
          <w:pgSz w:w="11900" w:h="16838" w:orient="portrait"/>
          <w:cols w:equalWidth="0" w:num="1">
            <w:col w:w="11220"/>
          </w:cols>
          <w:pgMar w:left="320" w:top="292" w:right="359" w:bottom="1440" w:gutter="0" w:footer="0" w:header="0"/>
        </w:sectPr>
      </w:pP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Level 1:</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Inputs that are quoted prices (unadjusted) in active markets for identical assets or liabilities, accessible by us at the measurement date.</w:t>
      </w:r>
    </w:p>
    <w:p>
      <w:pPr>
        <w:spacing w:after="0" w:line="145"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2:</w:t>
      </w:r>
    </w:p>
    <w:p>
      <w:pPr>
        <w:spacing w:after="0" w:line="20" w:lineRule="exact"/>
        <w:rPr>
          <w:sz w:val="20"/>
          <w:szCs w:val="20"/>
          <w:color w:val="auto"/>
        </w:rPr>
      </w:pPr>
      <w:r>
        <w:rPr>
          <w:sz w:val="20"/>
          <w:szCs w:val="20"/>
          <w:color w:val="auto"/>
        </w:rPr>
        <w:br w:type="column"/>
      </w:r>
    </w:p>
    <w:p>
      <w:pPr>
        <w:ind w:right="260"/>
        <w:spacing w:after="0" w:line="256" w:lineRule="auto"/>
        <w:rPr>
          <w:sz w:val="20"/>
          <w:szCs w:val="20"/>
          <w:color w:val="auto"/>
        </w:rPr>
      </w:pP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8"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3:</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Times New Roman" w:cs="Times New Roman" w:eastAsia="Times New Roman" w:hAnsi="Times New Roman"/>
          <w:sz w:val="18"/>
          <w:szCs w:val="18"/>
          <w:color w:val="auto"/>
        </w:rPr>
        <w:t>Inputs that are unobservable for an asset or liability because they are based on our own assumptions about how market participants would price the asset or liability.</w:t>
      </w:r>
    </w:p>
    <w:p>
      <w:pPr>
        <w:spacing w:after="0" w:line="169"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Generally, most of our investments, our 2031 Asset-Backed Debt, 2036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5" w:lineRule="exact"/>
        <w:rPr>
          <w:sz w:val="20"/>
          <w:szCs w:val="20"/>
          <w:color w:val="auto"/>
        </w:rPr>
      </w:pPr>
    </w:p>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11"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5540" w:right="3060" w:hanging="4982"/>
        <w:spacing w:after="0" w:line="436" w:lineRule="auto"/>
        <w:tabs>
          <w:tab w:leader="none" w:pos="9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 42</w:t>
      </w:r>
    </w:p>
    <w:p>
      <w:pPr>
        <w:sectPr>
          <w:pgSz w:w="11900" w:h="16838" w:orient="portrait"/>
          <w:cols w:equalWidth="0" w:num="1">
            <w:col w:w="11220"/>
          </w:cols>
          <w:pgMar w:left="320" w:top="292" w:right="359" w:bottom="1440" w:gutter="0" w:footer="0" w:header="0"/>
          <w:type w:val="continuous"/>
        </w:sectPr>
      </w:pPr>
    </w:p>
    <w:bookmarkStart w:id="45" w:name="page46"/>
    <w:bookmarkEnd w:id="45"/>
    <w:p>
      <w:pPr>
        <w:ind w:left="1000" w:right="140" w:hanging="442"/>
        <w:spacing w:after="0" w:line="25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7" w:lineRule="exact"/>
        <w:rPr>
          <w:rFonts w:ascii="Times New Roman" w:cs="Times New Roman" w:eastAsia="Times New Roman" w:hAnsi="Times New Roman"/>
          <w:sz w:val="18"/>
          <w:szCs w:val="18"/>
          <w:color w:val="auto"/>
        </w:rPr>
      </w:pPr>
    </w:p>
    <w:p>
      <w:pPr>
        <w:ind w:left="1000" w:right="560" w:hanging="442"/>
        <w:spacing w:after="0" w:line="26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will only sell shares of our common stock at a price below NAV per share if the following conditions are met:</w:t>
      </w:r>
    </w:p>
    <w:p>
      <w:pPr>
        <w:spacing w:after="0" w:line="122" w:lineRule="exact"/>
        <w:rPr>
          <w:sz w:val="20"/>
          <w:szCs w:val="20"/>
          <w:color w:val="auto"/>
        </w:rPr>
      </w:pPr>
    </w:p>
    <w:p>
      <w:pPr>
        <w:ind w:left="1000" w:hanging="442"/>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independent directors who have no financial interest in the sale must have approved the sale;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5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8" w:lineRule="exact"/>
        <w:rPr>
          <w:sz w:val="20"/>
          <w:szCs w:val="20"/>
          <w:color w:val="auto"/>
        </w:rPr>
      </w:pPr>
    </w:p>
    <w:p>
      <w:pPr>
        <w:ind w:right="20" w:firstLine="450"/>
        <w:spacing w:after="0" w:line="332" w:lineRule="auto"/>
        <w:rPr>
          <w:sz w:val="20"/>
          <w:szCs w:val="20"/>
          <w:color w:val="auto"/>
        </w:rPr>
      </w:pPr>
      <w:r>
        <w:rPr>
          <w:rFonts w:ascii="Times New Roman" w:cs="Times New Roman" w:eastAsia="Times New Roman" w:hAnsi="Times New Roman"/>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292" w:right="37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CAPITAL STOCK</w:t>
      </w:r>
    </w:p>
    <w:p>
      <w:pPr>
        <w:spacing w:after="0" w:line="216" w:lineRule="exact"/>
        <w:rPr>
          <w:sz w:val="20"/>
          <w:szCs w:val="20"/>
          <w:color w:val="auto"/>
        </w:rPr>
      </w:pPr>
    </w:p>
    <w:p>
      <w:pPr>
        <w:jc w:val="both"/>
        <w:ind w:right="80" w:firstLine="450"/>
        <w:spacing w:after="0" w:line="25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11"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As of March 31, 2024, our authorized capital stock consisted of 100,000,000 shares of stock, par value $0.001 per share, all of which is classified as common stock. Our common stock is quoted on The New York Stock Exchange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May 23, 2024 was $11.26 per share. As of March 31, 2024, we had 32 stockholders of record.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March 31, 2024:</w:t>
      </w:r>
    </w:p>
    <w:p>
      <w:pPr>
        <w:spacing w:after="0" w:line="21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Held by</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Us or</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45"/>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480" w:type="dxa"/>
            <w:vAlign w:val="bottom"/>
            <w:gridSpan w:val="2"/>
            <w:vMerge w:val="continue"/>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Our</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40" w:type="dxa"/>
            <w:vAlign w:val="bottom"/>
            <w:gridSpan w:val="3"/>
            <w:vMerge w:val="continue"/>
          </w:tcPr>
          <w:p>
            <w:pPr>
              <w:spacing w:after="0"/>
              <w:rPr>
                <w:sz w:val="13"/>
                <w:szCs w:val="13"/>
                <w:color w:val="auto"/>
              </w:rPr>
            </w:pPr>
          </w:p>
        </w:tc>
        <w:tc>
          <w:tcPr>
            <w:tcW w:w="14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80" w:type="dxa"/>
            <w:vAlign w:val="bottom"/>
            <w:gridSpan w:val="2"/>
          </w:tcPr>
          <w:p>
            <w:pPr>
              <w:jc w:val="center"/>
              <w:ind w:right="440"/>
              <w:spacing w:after="0" w:line="156"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04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10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w w:val="95"/>
              </w:rPr>
              <w:t>100,000,000</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63,228,138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11"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290" w:right="379" w:bottom="1440" w:gutter="0" w:footer="0" w:header="0"/>
        </w:sectPr>
      </w:pPr>
    </w:p>
    <w:bookmarkStart w:id="47" w:name="page48"/>
    <w:bookmarkEnd w:id="47"/>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Nothing in our charter modifying, restricting or eliminating the duties or liabilities of directors will apply to, or in any way limit, the duties (including state law fiduciary duties of loyalty and care) or liabilities of such persons with respect to matters arising under the federal securities laws.</w:t>
      </w:r>
    </w:p>
    <w:p>
      <w:pPr>
        <w:spacing w:after="0" w:line="185"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ind w:right="420" w:firstLine="450"/>
        <w:spacing w:after="0" w:line="268" w:lineRule="auto"/>
        <w:rPr>
          <w:sz w:val="20"/>
          <w:szCs w:val="20"/>
          <w:color w:val="auto"/>
        </w:rPr>
      </w:pPr>
      <w:r>
        <w:rPr>
          <w:rFonts w:ascii="Times New Roman" w:cs="Times New Roman" w:eastAsia="Times New Roman" w:hAnsi="Times New Roman"/>
          <w:sz w:val="18"/>
          <w:szCs w:val="18"/>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69"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2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Provisions of the Maryland General Corporation Law and our Charter and Bylaws</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at the annual meeting of stockholders held in 2027, 2025 and 2026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13"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13"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1"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13" w:lineRule="exact"/>
        <w:rPr>
          <w:sz w:val="20"/>
          <w:szCs w:val="20"/>
          <w:color w:val="auto"/>
        </w:rPr>
      </w:pPr>
    </w:p>
    <w:p>
      <w:pPr>
        <w:ind w:right="300" w:firstLine="450"/>
        <w:spacing w:after="0" w:line="256"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290"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Advance notice provisions for stockholder nominations and stockholder proposals</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20" w:firstLine="5"/>
        <w:spacing w:after="0" w:line="244" w:lineRule="auto"/>
        <w:tabs>
          <w:tab w:leader="none" w:pos="2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9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13" w:lineRule="exact"/>
        <w:rPr>
          <w:sz w:val="20"/>
          <w:szCs w:val="20"/>
          <w:color w:val="auto"/>
        </w:rPr>
      </w:pPr>
    </w:p>
    <w:p>
      <w:pPr>
        <w:jc w:val="both"/>
        <w:ind w:right="200" w:firstLine="450"/>
        <w:spacing w:after="0" w:line="252"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13"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288" w:right="359" w:bottom="1440" w:gutter="0" w:footer="0" w:header="0"/>
        </w:sectPr>
      </w:pPr>
    </w:p>
    <w:bookmarkStart w:id="50" w:name="page51"/>
    <w:bookmarkEnd w:id="50"/>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charter and bylaws provide that the board of directors will have the exclusive power to adopt, alter or repeal any provision of our bylaws and to make new bylaws.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13" w:lineRule="exact"/>
        <w:rPr>
          <w:sz w:val="20"/>
          <w:szCs w:val="20"/>
          <w:color w:val="auto"/>
        </w:rPr>
      </w:pPr>
    </w:p>
    <w:p>
      <w:pPr>
        <w:ind w:right="440" w:firstLine="450"/>
        <w:spacing w:after="0" w:line="268"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13"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169" w:lineRule="exact"/>
        <w:rPr>
          <w:sz w:val="20"/>
          <w:szCs w:val="20"/>
          <w:color w:val="auto"/>
        </w:rPr>
      </w:pPr>
    </w:p>
    <w:p>
      <w:pPr>
        <w:ind w:firstLine="450"/>
        <w:spacing w:after="0" w:line="289" w:lineRule="auto"/>
        <w:rPr>
          <w:sz w:val="20"/>
          <w:szCs w:val="20"/>
          <w:color w:val="auto"/>
        </w:rPr>
      </w:pPr>
      <w:r>
        <w:rPr>
          <w:rFonts w:ascii="Times New Roman" w:cs="Times New Roman" w:eastAsia="Times New Roman" w:hAnsi="Times New Roman"/>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1000" w:hanging="442"/>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14"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80"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3" w:lineRule="exact"/>
        <w:rPr>
          <w:sz w:val="20"/>
          <w:szCs w:val="20"/>
          <w:color w:val="auto"/>
        </w:rPr>
      </w:pPr>
    </w:p>
    <w:p>
      <w:pPr>
        <w:ind w:firstLine="450"/>
        <w:spacing w:after="0" w:line="284" w:lineRule="auto"/>
        <w:rPr>
          <w:sz w:val="20"/>
          <w:szCs w:val="20"/>
          <w:color w:val="auto"/>
        </w:rPr>
      </w:pPr>
      <w:r>
        <w:rPr>
          <w:rFonts w:ascii="Times New Roman" w:cs="Times New Roman" w:eastAsia="Times New Roman" w:hAnsi="Times New Roman"/>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60" w:lineRule="exact"/>
        <w:rPr>
          <w:sz w:val="20"/>
          <w:szCs w:val="20"/>
          <w:color w:val="auto"/>
        </w:rPr>
      </w:pPr>
    </w:p>
    <w:p>
      <w:pPr>
        <w:ind w:right="140" w:firstLine="450"/>
        <w:spacing w:after="0" w:line="268" w:lineRule="auto"/>
        <w:rPr>
          <w:sz w:val="20"/>
          <w:szCs w:val="20"/>
          <w:color w:val="auto"/>
        </w:rPr>
      </w:pPr>
      <w:r>
        <w:rPr>
          <w:rFonts w:ascii="Times New Roman" w:cs="Times New Roman" w:eastAsia="Times New Roman" w:hAnsi="Times New Roman"/>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292"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Business combinations</w:t>
      </w:r>
    </w:p>
    <w:p>
      <w:pPr>
        <w:spacing w:after="0" w:line="113"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1" w:lineRule="exact"/>
        <w:rPr>
          <w:sz w:val="20"/>
          <w:szCs w:val="20"/>
          <w:color w:val="auto"/>
        </w:rPr>
      </w:pPr>
    </w:p>
    <w:p>
      <w:pPr>
        <w:ind w:left="1000" w:hanging="44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shares; or</w:t>
      </w:r>
    </w:p>
    <w:p>
      <w:pPr>
        <w:spacing w:after="0" w:line="121" w:lineRule="exact"/>
        <w:rPr>
          <w:rFonts w:ascii="Times New Roman" w:cs="Times New Roman" w:eastAsia="Times New Roman" w:hAnsi="Times New Roman"/>
          <w:sz w:val="18"/>
          <w:szCs w:val="18"/>
          <w:color w:val="auto"/>
        </w:rPr>
      </w:pPr>
    </w:p>
    <w:p>
      <w:pPr>
        <w:ind w:left="1000" w:right="360" w:hanging="442"/>
        <w:spacing w:after="0" w:line="26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69"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0" w:lineRule="exact"/>
        <w:rPr>
          <w:sz w:val="20"/>
          <w:szCs w:val="20"/>
          <w:color w:val="auto"/>
        </w:rPr>
      </w:pPr>
    </w:p>
    <w:p>
      <w:pPr>
        <w:ind w:right="120" w:firstLine="450"/>
        <w:spacing w:after="0" w:line="268"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7" w:lineRule="exact"/>
        <w:rPr>
          <w:sz w:val="20"/>
          <w:szCs w:val="20"/>
          <w:color w:val="auto"/>
        </w:rPr>
      </w:pPr>
    </w:p>
    <w:p>
      <w:pPr>
        <w:ind w:left="1000" w:hanging="442"/>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21" w:lineRule="exact"/>
        <w:rPr>
          <w:rFonts w:ascii="Times New Roman" w:cs="Times New Roman" w:eastAsia="Times New Roman" w:hAnsi="Times New Roman"/>
          <w:sz w:val="18"/>
          <w:szCs w:val="18"/>
          <w:color w:val="auto"/>
        </w:rPr>
      </w:pPr>
    </w:p>
    <w:p>
      <w:pPr>
        <w:ind w:left="1000" w:right="220" w:hanging="442"/>
        <w:spacing w:after="0" w:line="332" w:lineRule="auto"/>
        <w:tabs>
          <w:tab w:leader="none" w:pos="10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3"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69"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13"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2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Exclusive Forum</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w:t>
      </w:r>
    </w:p>
    <w:p>
      <w:pPr>
        <w:ind w:left="240" w:hanging="235"/>
        <w:spacing w:after="0"/>
        <w:tabs>
          <w:tab w:leader="none" w:pos="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Internal Corporate Claim, as such term is defined in Section 1-101(q) of the Maryland General Corporation Law, or any successor provision thereof,</w:t>
      </w:r>
    </w:p>
    <w:p>
      <w:pPr>
        <w:spacing w:after="0" w:line="26" w:lineRule="exact"/>
        <w:rPr>
          <w:rFonts w:ascii="Times New Roman" w:cs="Times New Roman" w:eastAsia="Times New Roman" w:hAnsi="Times New Roman"/>
          <w:sz w:val="16"/>
          <w:szCs w:val="16"/>
          <w:color w:val="auto"/>
        </w:rPr>
      </w:pPr>
    </w:p>
    <w:p>
      <w:pPr>
        <w:ind w:firstLine="5"/>
        <w:spacing w:after="0" w:line="244" w:lineRule="auto"/>
        <w:tabs>
          <w:tab w:leader="none" w:pos="2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 other than actions arising under federal securities laws, (c) 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288" w:right="4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PREFERRED STOCK</w:t>
      </w:r>
    </w:p>
    <w:p>
      <w:pPr>
        <w:spacing w:after="0" w:line="216"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58"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7" w:lineRule="exact"/>
        <w:rPr>
          <w:sz w:val="20"/>
          <w:szCs w:val="20"/>
          <w:color w:val="auto"/>
        </w:rPr>
      </w:pPr>
    </w:p>
    <w:p>
      <w:pPr>
        <w:ind w:right="460" w:firstLine="450"/>
        <w:spacing w:after="0" w:line="268"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77" w:lineRule="exact"/>
        <w:rPr>
          <w:sz w:val="20"/>
          <w:szCs w:val="20"/>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21" w:lineRule="exact"/>
        <w:rPr>
          <w:rFonts w:ascii="Times New Roman" w:cs="Times New Roman" w:eastAsia="Times New Roman" w:hAnsi="Times New Roman"/>
          <w:sz w:val="18"/>
          <w:szCs w:val="18"/>
          <w:color w:val="auto"/>
        </w:rPr>
      </w:pPr>
    </w:p>
    <w:p>
      <w:pPr>
        <w:ind w:left="1000" w:right="380" w:hanging="442"/>
        <w:spacing w:after="0" w:line="268"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69"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290"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WARRANTS</w:t>
      </w:r>
    </w:p>
    <w:p>
      <w:pPr>
        <w:spacing w:after="0" w:line="216" w:lineRule="exact"/>
        <w:rPr>
          <w:sz w:val="20"/>
          <w:szCs w:val="20"/>
          <w:color w:val="auto"/>
        </w:rPr>
      </w:pPr>
    </w:p>
    <w:p>
      <w:pPr>
        <w:ind w:right="360" w:firstLine="450"/>
        <w:spacing w:after="0" w:line="268"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22" w:lineRule="exact"/>
        <w:rPr>
          <w:sz w:val="20"/>
          <w:szCs w:val="20"/>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7" w:lineRule="exact"/>
        <w:rPr>
          <w:rFonts w:ascii="Times New Roman" w:cs="Times New Roman" w:eastAsia="Times New Roman" w:hAnsi="Times New Roman"/>
          <w:sz w:val="18"/>
          <w:szCs w:val="18"/>
          <w:color w:val="auto"/>
        </w:rPr>
      </w:pPr>
    </w:p>
    <w:p>
      <w:pPr>
        <w:jc w:val="both"/>
        <w:ind w:left="1000" w:hanging="442"/>
        <w:spacing w:after="0" w:line="25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14"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290" w:right="359" w:bottom="1440" w:gutter="0" w:footer="0" w:header="0"/>
        </w:sectPr>
      </w:pPr>
    </w:p>
    <w:bookmarkStart w:id="55" w:name="page56"/>
    <w:bookmarkEnd w:id="55"/>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292" w:right="39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SUBSCRIPTION RIGHTS</w:t>
      </w:r>
    </w:p>
    <w:p>
      <w:pPr>
        <w:spacing w:after="0" w:line="216"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applicable prospectus supplement would describe the following terms of subscription rights in respect of which this prospectus is being delivered:</w:t>
      </w:r>
    </w:p>
    <w:p>
      <w:pPr>
        <w:spacing w:after="0" w:line="145" w:lineRule="exact"/>
        <w:rPr>
          <w:sz w:val="20"/>
          <w:szCs w:val="20"/>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a discussion of the material U.S. federal income tax considerations applicable to the issuance or exercise of such subscription rights;</w:t>
      </w:r>
    </w:p>
    <w:p>
      <w:pPr>
        <w:spacing w:after="0" w:line="144" w:lineRule="exact"/>
        <w:rPr>
          <w:rFonts w:ascii="Times New Roman" w:cs="Times New Roman" w:eastAsia="Times New Roman" w:hAnsi="Times New Roman"/>
          <w:sz w:val="16"/>
          <w:szCs w:val="16"/>
          <w:color w:val="auto"/>
        </w:rPr>
      </w:pPr>
    </w:p>
    <w:p>
      <w:pPr>
        <w:ind w:left="1000" w:right="240" w:hanging="442"/>
        <w:spacing w:after="0" w:line="26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will expire (subject to any extension);</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77"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5" w:lineRule="exact"/>
        <w:rPr>
          <w:sz w:val="20"/>
          <w:szCs w:val="20"/>
          <w:color w:val="auto"/>
        </w:rPr>
      </w:pPr>
    </w:p>
    <w:p>
      <w:pPr>
        <w:ind w:right="180" w:firstLine="450"/>
        <w:spacing w:after="0" w:line="249"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290" w:right="35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DEBT SECURITIES</w:t>
      </w:r>
    </w:p>
    <w:p>
      <w:pPr>
        <w:spacing w:after="0" w:line="216"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Equiniti Trust Company, LLC (f/k/a American Stock Transfer &amp; Trust Company, LLC), or Equiniti, as trustee, as supplemented by the First Supplemental Indenture, dated March 23, 2021, between the Company and Equiniti. The 2026 Notes are due on April 1, 2026 and may be redeemed in whole or in part at the Company’s option.</w:t>
      </w:r>
    </w:p>
    <w:p>
      <w:pPr>
        <w:spacing w:after="0" w:line="18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87" w:lineRule="exact"/>
        <w:rPr>
          <w:sz w:val="20"/>
          <w:szCs w:val="20"/>
          <w:color w:val="auto"/>
        </w:rPr>
      </w:pPr>
    </w:p>
    <w:p>
      <w:pPr>
        <w:ind w:right="100" w:firstLine="450"/>
        <w:spacing w:after="0" w:line="252" w:lineRule="auto"/>
        <w:rPr>
          <w:sz w:val="20"/>
          <w:szCs w:val="20"/>
          <w:color w:val="auto"/>
        </w:rPr>
      </w:pPr>
      <w:r>
        <w:rPr>
          <w:rFonts w:ascii="Times New Roman" w:cs="Times New Roman" w:eastAsia="Times New Roman" w:hAnsi="Times New Roman"/>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3" w:lineRule="exact"/>
        <w:rPr>
          <w:sz w:val="20"/>
          <w:szCs w:val="20"/>
          <w:color w:val="auto"/>
        </w:rPr>
      </w:pPr>
    </w:p>
    <w:p>
      <w:pPr>
        <w:ind w:right="340" w:firstLine="450"/>
        <w:spacing w:after="0" w:line="289" w:lineRule="auto"/>
        <w:rPr>
          <w:sz w:val="20"/>
          <w:szCs w:val="20"/>
          <w:color w:val="auto"/>
        </w:rPr>
      </w:pPr>
      <w:r>
        <w:rPr>
          <w:rFonts w:ascii="Times New Roman" w:cs="Times New Roman" w:eastAsia="Times New Roman" w:hAnsi="Times New Roman"/>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 - Events of Default” For more information. Second, the trustee performs certain administrative duties for us, such as sending interest and principal payments to holders.</w:t>
      </w:r>
    </w:p>
    <w:p>
      <w:pPr>
        <w:spacing w:after="0" w:line="15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54" w:lineRule="exact"/>
        <w:rPr>
          <w:sz w:val="20"/>
          <w:szCs w:val="20"/>
          <w:color w:val="auto"/>
        </w:rPr>
      </w:pPr>
    </w:p>
    <w:p>
      <w:pPr>
        <w:ind w:right="6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which will accompany this prospectus with respect to a particular offering of debt securities, will describe the particular series of debt securities being offered by including:</w:t>
      </w:r>
    </w:p>
    <w:p>
      <w:pPr>
        <w:spacing w:after="0" w:line="77" w:lineRule="exact"/>
        <w:rPr>
          <w:sz w:val="20"/>
          <w:szCs w:val="20"/>
          <w:color w:val="auto"/>
        </w:rPr>
      </w:pPr>
    </w:p>
    <w:p>
      <w:pPr>
        <w:ind w:left="1000" w:hanging="44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290" w:right="359" w:bottom="1440" w:gutter="0" w:footer="0" w:header="0"/>
        </w:sectPr>
      </w:pPr>
    </w:p>
    <w:bookmarkStart w:id="58" w:name="page59"/>
    <w:bookmarkEnd w:id="58"/>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rate or rates (which may be either fixed or variable) and/or the method of determining such rate or rates of interest, if any;</w:t>
      </w:r>
    </w:p>
    <w:p>
      <w:pPr>
        <w:spacing w:after="0" w:line="121" w:lineRule="exact"/>
        <w:rPr>
          <w:rFonts w:ascii="Times New Roman" w:cs="Times New Roman" w:eastAsia="Times New Roman" w:hAnsi="Times New Roman"/>
          <w:sz w:val="18"/>
          <w:szCs w:val="18"/>
          <w:color w:val="auto"/>
        </w:rPr>
      </w:pPr>
    </w:p>
    <w:p>
      <w:pPr>
        <w:ind w:left="1000" w:right="40" w:hanging="442"/>
        <w:spacing w:after="0" w:line="268"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21" w:lineRule="exact"/>
        <w:rPr>
          <w:rFonts w:ascii="Times New Roman" w:cs="Times New Roman" w:eastAsia="Times New Roman" w:hAnsi="Times New Roman"/>
          <w:sz w:val="18"/>
          <w:szCs w:val="18"/>
          <w:color w:val="auto"/>
        </w:rPr>
      </w:pPr>
    </w:p>
    <w:p>
      <w:pPr>
        <w:jc w:val="both"/>
        <w:ind w:left="1000" w:right="240" w:hanging="442"/>
        <w:spacing w:after="0" w:line="25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special federal income tax implications, including, if applicable, federal income tax considerations relating to original issue discount, or OID;</w:t>
      </w:r>
    </w:p>
    <w:p>
      <w:pPr>
        <w:spacing w:after="0" w:line="144" w:lineRule="exact"/>
        <w:rPr>
          <w:rFonts w:ascii="Times New Roman" w:cs="Times New Roman" w:eastAsia="Times New Roman" w:hAnsi="Times New Roman"/>
          <w:sz w:val="16"/>
          <w:szCs w:val="16"/>
          <w:color w:val="auto"/>
        </w:rPr>
      </w:pPr>
    </w:p>
    <w:p>
      <w:pPr>
        <w:ind w:left="1000" w:right="480" w:hanging="442"/>
        <w:spacing w:after="0" w:line="332"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14"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0" w:lineRule="exact"/>
        <w:rPr>
          <w:sz w:val="20"/>
          <w:szCs w:val="20"/>
          <w:color w:val="auto"/>
        </w:rPr>
      </w:pPr>
    </w:p>
    <w:p>
      <w:pPr>
        <w:ind w:right="280" w:firstLine="450"/>
        <w:spacing w:after="0" w:line="268"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292" w:right="359" w:bottom="1440" w:gutter="0" w:footer="0" w:header="0"/>
        </w:sectPr>
      </w:pPr>
    </w:p>
    <w:bookmarkStart w:id="59" w:name="page60"/>
    <w:bookmarkEnd w:id="59"/>
    <w:p>
      <w:pPr>
        <w:ind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indenture does not contain any provisions that give you protection in the event we issue a large amount of debt or we are acquired by another entity.</w:t>
      </w:r>
    </w:p>
    <w:p>
      <w:pPr>
        <w:spacing w:after="0" w:line="237"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9"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0"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11" w:lineRule="exact"/>
        <w:rPr>
          <w:sz w:val="20"/>
          <w:szCs w:val="20"/>
          <w:color w:val="auto"/>
        </w:rPr>
      </w:pPr>
    </w:p>
    <w:p>
      <w:pPr>
        <w:ind w:right="120" w:firstLine="450"/>
        <w:spacing w:after="0" w:line="249"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11"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0"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292" w:right="359" w:bottom="1440" w:gutter="0" w:footer="0" w:header="0"/>
        </w:sectPr>
      </w:pPr>
    </w:p>
    <w:bookmarkStart w:id="60" w:name="page61"/>
    <w:bookmarkEnd w:id="60"/>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11" w:lineRule="exact"/>
        <w:rPr>
          <w:sz w:val="20"/>
          <w:szCs w:val="20"/>
          <w:color w:val="auto"/>
        </w:rPr>
      </w:pPr>
    </w:p>
    <w:p>
      <w:pPr>
        <w:jc w:val="both"/>
        <w:ind w:right="140" w:firstLine="450"/>
        <w:spacing w:after="0" w:line="252"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5"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11" w:lineRule="exact"/>
        <w:rPr>
          <w:sz w:val="20"/>
          <w:szCs w:val="20"/>
          <w:color w:val="auto"/>
        </w:rPr>
      </w:pPr>
    </w:p>
    <w:p>
      <w:pPr>
        <w:ind w:right="180" w:firstLine="450"/>
        <w:spacing w:after="0" w:line="303" w:lineRule="auto"/>
        <w:rPr>
          <w:sz w:val="20"/>
          <w:szCs w:val="20"/>
          <w:color w:val="auto"/>
        </w:rPr>
      </w:pPr>
      <w:r>
        <w:rPr>
          <w:rFonts w:ascii="Times New Roman" w:cs="Times New Roman" w:eastAsia="Times New Roman" w:hAnsi="Times New Roman"/>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11"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3"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292" w:right="359" w:bottom="1440" w:gutter="0" w:footer="0" w:header="0"/>
        </w:sectPr>
      </w:pPr>
    </w:p>
    <w:bookmarkStart w:id="61" w:name="page62"/>
    <w:bookmarkEnd w:id="6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3" w:lineRule="exact"/>
        <w:rPr>
          <w:sz w:val="20"/>
          <w:szCs w:val="20"/>
          <w:color w:val="auto"/>
        </w:rPr>
      </w:pPr>
    </w:p>
    <w:p>
      <w:pPr>
        <w:ind w:right="320" w:firstLine="450"/>
        <w:spacing w:after="0" w:line="332" w:lineRule="auto"/>
        <w:rPr>
          <w:sz w:val="20"/>
          <w:szCs w:val="20"/>
          <w:color w:val="auto"/>
        </w:rPr>
      </w:pPr>
      <w:r>
        <w:rPr>
          <w:rFonts w:ascii="Times New Roman" w:cs="Times New Roman" w:eastAsia="Times New Roman" w:hAnsi="Times New Roman"/>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11"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77" w:lineRule="exact"/>
        <w:rPr>
          <w:sz w:val="20"/>
          <w:szCs w:val="20"/>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21" w:lineRule="exact"/>
        <w:rPr>
          <w:rFonts w:ascii="Times New Roman" w:cs="Times New Roman" w:eastAsia="Times New Roman" w:hAnsi="Times New Roman"/>
          <w:sz w:val="18"/>
          <w:szCs w:val="18"/>
          <w:color w:val="auto"/>
        </w:rPr>
      </w:pPr>
    </w:p>
    <w:p>
      <w:pPr>
        <w:ind w:left="1000" w:right="340" w:hanging="442"/>
        <w:spacing w:after="0" w:line="26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7" w:lineRule="exact"/>
        <w:rPr>
          <w:rFonts w:ascii="Times New Roman" w:cs="Times New Roman" w:eastAsia="Times New Roman" w:hAnsi="Times New Roman"/>
          <w:sz w:val="18"/>
          <w:szCs w:val="18"/>
          <w:color w:val="auto"/>
        </w:rPr>
      </w:pPr>
    </w:p>
    <w:p>
      <w:pPr>
        <w:ind w:left="1000" w:right="200" w:hanging="442"/>
        <w:spacing w:after="0" w:line="26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1" w:lineRule="exact"/>
        <w:rPr>
          <w:sz w:val="20"/>
          <w:szCs w:val="20"/>
          <w:color w:val="auto"/>
        </w:rPr>
      </w:pPr>
    </w:p>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111"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292"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depositary that holds the global security will be considered the holder of the debt securities represented by the global security.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22" w:lineRule="exact"/>
        <w:rPr>
          <w:sz w:val="20"/>
          <w:szCs w:val="20"/>
          <w:color w:val="auto"/>
        </w:rPr>
      </w:pPr>
    </w:p>
    <w:p>
      <w:pPr>
        <w:ind w:left="1000" w:right="260" w:hanging="442"/>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7"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77"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7" w:lineRule="exact"/>
        <w:rPr>
          <w:rFonts w:ascii="Times New Roman" w:cs="Times New Roman" w:eastAsia="Times New Roman" w:hAnsi="Times New Roman"/>
          <w:sz w:val="18"/>
          <w:szCs w:val="18"/>
          <w:color w:val="auto"/>
        </w:rPr>
      </w:pPr>
    </w:p>
    <w:p>
      <w:pPr>
        <w:ind w:left="1000" w:right="220" w:hanging="442"/>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7" w:lineRule="exact"/>
        <w:rPr>
          <w:rFonts w:ascii="Times New Roman" w:cs="Times New Roman" w:eastAsia="Times New Roman" w:hAnsi="Times New Roman"/>
          <w:sz w:val="18"/>
          <w:szCs w:val="18"/>
          <w:color w:val="auto"/>
        </w:rPr>
      </w:pPr>
    </w:p>
    <w:p>
      <w:pPr>
        <w:ind w:left="1000" w:right="500" w:hanging="442"/>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7" w:lineRule="exact"/>
        <w:rPr>
          <w:rFonts w:ascii="Times New Roman" w:cs="Times New Roman" w:eastAsia="Times New Roman" w:hAnsi="Times New Roman"/>
          <w:sz w:val="18"/>
          <w:szCs w:val="18"/>
          <w:color w:val="auto"/>
        </w:rPr>
      </w:pPr>
    </w:p>
    <w:p>
      <w:pPr>
        <w:ind w:left="1000" w:right="40" w:hanging="442"/>
        <w:spacing w:after="0" w:line="332"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30" w:lineRule="exact"/>
        <w:rPr>
          <w:rFonts w:ascii="Times New Roman" w:cs="Times New Roman" w:eastAsia="Times New Roman" w:hAnsi="Times New Roman"/>
          <w:sz w:val="16"/>
          <w:szCs w:val="16"/>
          <w:color w:val="auto"/>
        </w:rPr>
      </w:pPr>
    </w:p>
    <w:p>
      <w:pPr>
        <w:ind w:left="1000" w:right="100" w:hanging="442"/>
        <w:spacing w:after="0" w:line="25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special situations for termination of a global security are as follows:</w:t>
      </w:r>
    </w:p>
    <w:p>
      <w:pPr>
        <w:spacing w:after="0" w:line="122" w:lineRule="exact"/>
        <w:rPr>
          <w:sz w:val="20"/>
          <w:szCs w:val="20"/>
          <w:color w:val="auto"/>
        </w:rPr>
      </w:pPr>
    </w:p>
    <w:p>
      <w:pPr>
        <w:ind w:left="1000" w:hanging="442"/>
        <w:spacing w:after="0" w:line="26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292" w:right="459" w:bottom="1440" w:gutter="0" w:footer="0" w:header="0"/>
        </w:sectPr>
      </w:pPr>
    </w:p>
    <w:bookmarkStart w:id="63" w:name="page64"/>
    <w:bookmarkEnd w:id="63"/>
    <w:p>
      <w:pPr>
        <w:ind w:left="1000" w:right="360" w:hanging="442"/>
        <w:spacing w:after="0" w:line="26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an event of default has occurred with regard to the debt securities represented by that global security and has not been cured or waived; we discuss defaults later under “Description of our Debt Securities—Events of Default.”</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1" w:lineRule="exact"/>
        <w:rPr>
          <w:sz w:val="20"/>
          <w:szCs w:val="20"/>
          <w:color w:val="auto"/>
        </w:rPr>
      </w:pPr>
    </w:p>
    <w:p>
      <w:pPr>
        <w:ind w:right="1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111" w:lineRule="exact"/>
        <w:rPr>
          <w:sz w:val="20"/>
          <w:szCs w:val="20"/>
          <w:color w:val="auto"/>
        </w:rPr>
      </w:pPr>
    </w:p>
    <w:p>
      <w:pPr>
        <w:ind w:right="180" w:firstLine="450"/>
        <w:spacing w:after="0" w:line="252"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292" w:right="339"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Book-entry and other indirect holders should consult their banks or brokers for information on how they will receive payments on their debt securities.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You will have rights if an Event of Default occurs in respect of the debt securities of your series and is not cured, as described later in this subsection.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22" w:lineRule="exact"/>
        <w:rPr>
          <w:sz w:val="20"/>
          <w:szCs w:val="20"/>
          <w:color w:val="auto"/>
        </w:rPr>
      </w:pPr>
    </w:p>
    <w:p>
      <w:pPr>
        <w:ind w:left="1000" w:hanging="442"/>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w:t>
      </w:r>
    </w:p>
    <w:p>
      <w:pPr>
        <w:spacing w:after="0" w:line="121" w:lineRule="exact"/>
        <w:rPr>
          <w:rFonts w:ascii="Times New Roman" w:cs="Times New Roman" w:eastAsia="Times New Roman" w:hAnsi="Times New Roman"/>
          <w:sz w:val="18"/>
          <w:szCs w:val="18"/>
          <w:color w:val="auto"/>
        </w:rPr>
      </w:pPr>
    </w:p>
    <w:p>
      <w:pPr>
        <w:ind w:left="1000" w:right="80" w:hanging="442"/>
        <w:spacing w:after="0" w:line="332" w:lineRule="auto"/>
        <w:tabs>
          <w:tab w:leader="none" w:pos="10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214" w:lineRule="exact"/>
        <w:rPr>
          <w:sz w:val="20"/>
          <w:szCs w:val="20"/>
          <w:color w:val="auto"/>
        </w:rPr>
      </w:pPr>
    </w:p>
    <w:p>
      <w:pPr>
        <w:ind w:right="320" w:firstLine="450"/>
        <w:spacing w:after="0" w:line="25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1"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3" w:lineRule="exact"/>
        <w:rPr>
          <w:sz w:val="20"/>
          <w:szCs w:val="20"/>
          <w:color w:val="auto"/>
        </w:rPr>
      </w:pPr>
    </w:p>
    <w:p>
      <w:pPr>
        <w:ind w:right="120" w:firstLine="450"/>
        <w:spacing w:after="0" w:line="250"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5"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7" w:lineRule="exact"/>
        <w:rPr>
          <w:sz w:val="20"/>
          <w:szCs w:val="20"/>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121" w:lineRule="exact"/>
        <w:rPr>
          <w:rFonts w:ascii="Times New Roman" w:cs="Times New Roman" w:eastAsia="Times New Roman" w:hAnsi="Times New Roman"/>
          <w:sz w:val="18"/>
          <w:szCs w:val="18"/>
          <w:color w:val="auto"/>
        </w:rPr>
      </w:pPr>
    </w:p>
    <w:p>
      <w:pPr>
        <w:ind w:left="1000" w:right="20" w:hanging="442"/>
        <w:spacing w:after="0" w:line="332" w:lineRule="auto"/>
        <w:tabs>
          <w:tab w:leader="none" w:pos="10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292" w:right="359" w:bottom="1440" w:gutter="0" w:footer="0" w:header="0"/>
        </w:sectPr>
      </w:pPr>
    </w:p>
    <w:bookmarkStart w:id="65" w:name="page66"/>
    <w:bookmarkEnd w:id="65"/>
    <w:p>
      <w:pPr>
        <w:ind w:left="1000" w:hanging="44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trustee must not have taken action for 60 days after receipt of the above notice and offer of indemnity;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6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12" w:lineRule="exact"/>
        <w:rPr>
          <w:sz w:val="20"/>
          <w:szCs w:val="20"/>
          <w:color w:val="auto"/>
        </w:rPr>
      </w:pPr>
    </w:p>
    <w:p>
      <w:pPr>
        <w:ind w:right="30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11"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77" w:lineRule="exact"/>
        <w:rPr>
          <w:sz w:val="20"/>
          <w:szCs w:val="20"/>
          <w:color w:val="auto"/>
        </w:rPr>
      </w:pPr>
    </w:p>
    <w:p>
      <w:pPr>
        <w:ind w:left="1000" w:right="300" w:hanging="442"/>
        <w:spacing w:after="0" w:line="26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our assets, the resulting entity must agree to be legally responsible for our obligations under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122" w:lineRule="exact"/>
        <w:rPr>
          <w:sz w:val="20"/>
          <w:szCs w:val="20"/>
          <w:color w:val="auto"/>
        </w:rPr>
      </w:pPr>
    </w:p>
    <w:p>
      <w:pPr>
        <w:ind w:left="1000" w:hanging="44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80"/>
          </w:cols>
          <w:pgMar w:left="320" w:top="292" w:right="399" w:bottom="1440" w:gutter="0" w:footer="0" w:header="0"/>
        </w:sectPr>
      </w:pPr>
    </w:p>
    <w:bookmarkStart w:id="66" w:name="page67"/>
    <w:bookmarkEnd w:id="66"/>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change the place or currency of payment on a debt security (except as otherwise described in the prospectus or prospectus supplement);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7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1"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22" w:lineRule="exact"/>
        <w:rPr>
          <w:sz w:val="20"/>
          <w:szCs w:val="20"/>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121"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14" w:lineRule="exact"/>
        <w:rPr>
          <w:sz w:val="20"/>
          <w:szCs w:val="20"/>
          <w:color w:val="auto"/>
        </w:rPr>
      </w:pPr>
    </w:p>
    <w:p>
      <w:pPr>
        <w:ind w:right="40" w:firstLine="450"/>
        <w:spacing w:after="0" w:line="303" w:lineRule="auto"/>
        <w:rPr>
          <w:sz w:val="20"/>
          <w:szCs w:val="20"/>
          <w:color w:val="auto"/>
        </w:rPr>
      </w:pPr>
      <w:r>
        <w:rPr>
          <w:rFonts w:ascii="Times New Roman" w:cs="Times New Roman" w:eastAsia="Times New Roman" w:hAnsi="Times New Roman"/>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22" w:lineRule="exact"/>
        <w:rPr>
          <w:sz w:val="20"/>
          <w:szCs w:val="20"/>
          <w:color w:val="auto"/>
        </w:rPr>
      </w:pPr>
    </w:p>
    <w:p>
      <w:pPr>
        <w:ind w:left="1000" w:hanging="442"/>
        <w:spacing w:after="0" w:line="26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292" w:right="379" w:bottom="1440" w:gutter="0" w:footer="0" w:header="0"/>
        </w:sectPr>
      </w:pPr>
    </w:p>
    <w:bookmarkStart w:id="67" w:name="page68"/>
    <w:bookmarkEnd w:id="67"/>
    <w:p>
      <w:pPr>
        <w:ind w:firstLine="45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2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11"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1" w:lineRule="exact"/>
        <w:rPr>
          <w:sz w:val="20"/>
          <w:szCs w:val="20"/>
          <w:color w:val="auto"/>
        </w:rPr>
      </w:pPr>
    </w:p>
    <w:p>
      <w:pPr>
        <w:ind w:right="240" w:firstLine="450"/>
        <w:spacing w:after="0" w:line="250"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3" w:lineRule="exact"/>
        <w:rPr>
          <w:sz w:val="20"/>
          <w:szCs w:val="20"/>
          <w:color w:val="auto"/>
        </w:rPr>
      </w:pPr>
    </w:p>
    <w:p>
      <w:pPr>
        <w:ind w:left="1000" w:right="280" w:hanging="442"/>
        <w:spacing w:after="0" w:line="25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7" w:lineRule="exact"/>
        <w:rPr>
          <w:rFonts w:ascii="Times New Roman" w:cs="Times New Roman" w:eastAsia="Times New Roman" w:hAnsi="Times New Roman"/>
          <w:sz w:val="18"/>
          <w:szCs w:val="18"/>
          <w:color w:val="auto"/>
        </w:rPr>
      </w:pPr>
    </w:p>
    <w:p>
      <w:pPr>
        <w:ind w:left="1000" w:right="120" w:hanging="442"/>
        <w:spacing w:after="0" w:line="25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0" w:lineRule="exact"/>
        <w:rPr>
          <w:sz w:val="20"/>
          <w:szCs w:val="20"/>
          <w:color w:val="auto"/>
        </w:rPr>
      </w:pPr>
    </w:p>
    <w:p>
      <w:pPr>
        <w:ind w:right="400" w:firstLine="450"/>
        <w:spacing w:after="0" w:line="268"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69" w:lineRule="exact"/>
        <w:rPr>
          <w:sz w:val="20"/>
          <w:szCs w:val="20"/>
          <w:color w:val="auto"/>
        </w:rPr>
      </w:pPr>
    </w:p>
    <w:p>
      <w:pPr>
        <w:ind w:right="120" w:firstLine="450"/>
        <w:spacing w:after="0" w:line="303" w:lineRule="auto"/>
        <w:rPr>
          <w:sz w:val="20"/>
          <w:szCs w:val="20"/>
          <w:color w:val="auto"/>
        </w:rPr>
      </w:pPr>
      <w:r>
        <w:rPr>
          <w:rFonts w:ascii="Times New Roman" w:cs="Times New Roman" w:eastAsia="Times New Roman" w:hAnsi="Times New Roman"/>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1"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77" w:lineRule="exact"/>
        <w:rPr>
          <w:sz w:val="20"/>
          <w:szCs w:val="20"/>
          <w:color w:val="auto"/>
        </w:rPr>
      </w:pPr>
    </w:p>
    <w:p>
      <w:pPr>
        <w:ind w:left="1000" w:right="280" w:hanging="442"/>
        <w:spacing w:after="0" w:line="26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292" w:right="339" w:bottom="1440" w:gutter="0" w:footer="0" w:header="0"/>
        </w:sectPr>
      </w:pPr>
    </w:p>
    <w:bookmarkStart w:id="68" w:name="page69"/>
    <w:bookmarkEnd w:id="68"/>
    <w:p>
      <w:pPr>
        <w:ind w:left="1000"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 government agency notes or bonds that will generate enough cash to make interest, principal and any other payments on the debt securities on their various due dates;</w:t>
      </w:r>
    </w:p>
    <w:p>
      <w:pPr>
        <w:spacing w:after="0" w:line="77" w:lineRule="exact"/>
        <w:rPr>
          <w:sz w:val="20"/>
          <w:szCs w:val="20"/>
          <w:color w:val="auto"/>
        </w:rPr>
      </w:pPr>
    </w:p>
    <w:p>
      <w:pPr>
        <w:ind w:left="1000" w:right="120" w:hanging="442"/>
        <w:spacing w:after="0" w:line="249"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3"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69"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22" w:lineRule="exact"/>
        <w:rPr>
          <w:sz w:val="20"/>
          <w:szCs w:val="20"/>
          <w:color w:val="auto"/>
        </w:rPr>
      </w:pPr>
    </w:p>
    <w:p>
      <w:pPr>
        <w:ind w:left="1000" w:hanging="44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14" w:lineRule="exact"/>
        <w:rPr>
          <w:sz w:val="20"/>
          <w:szCs w:val="20"/>
          <w:color w:val="auto"/>
        </w:rPr>
      </w:pPr>
    </w:p>
    <w:p>
      <w:pPr>
        <w:ind w:right="780" w:firstLine="450"/>
        <w:spacing w:after="0" w:line="268"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69" w:lineRule="exact"/>
        <w:rPr>
          <w:sz w:val="20"/>
          <w:szCs w:val="20"/>
          <w:color w:val="auto"/>
        </w:rPr>
      </w:pPr>
    </w:p>
    <w:p>
      <w:pPr>
        <w:ind w:firstLine="450"/>
        <w:spacing w:after="0" w:line="332" w:lineRule="auto"/>
        <w:rPr>
          <w:sz w:val="20"/>
          <w:szCs w:val="20"/>
          <w:color w:val="auto"/>
        </w:rPr>
      </w:pPr>
      <w:r>
        <w:rPr>
          <w:rFonts w:ascii="Times New Roman" w:cs="Times New Roman" w:eastAsia="Times New Roman" w:hAnsi="Times New Roman"/>
          <w:sz w:val="16"/>
          <w:szCs w:val="16"/>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23"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0" w:lineRule="exact"/>
        <w:rPr>
          <w:sz w:val="20"/>
          <w:szCs w:val="20"/>
          <w:color w:val="auto"/>
        </w:rPr>
      </w:pPr>
    </w:p>
    <w:p>
      <w:pPr>
        <w:ind w:right="280" w:firstLine="450"/>
        <w:spacing w:after="0" w:line="332" w:lineRule="auto"/>
        <w:rPr>
          <w:sz w:val="20"/>
          <w:szCs w:val="20"/>
          <w:color w:val="auto"/>
        </w:rPr>
      </w:pPr>
      <w:r>
        <w:rPr>
          <w:rFonts w:ascii="Times New Roman" w:cs="Times New Roman" w:eastAsia="Times New Roman" w:hAnsi="Times New Roman"/>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23" w:lineRule="exact"/>
        <w:rPr>
          <w:sz w:val="20"/>
          <w:szCs w:val="20"/>
          <w:color w:val="auto"/>
        </w:rPr>
      </w:pPr>
    </w:p>
    <w:p>
      <w:pPr>
        <w:ind w:right="20" w:firstLine="450"/>
        <w:spacing w:after="0" w:line="293" w:lineRule="auto"/>
        <w:rPr>
          <w:sz w:val="20"/>
          <w:szCs w:val="20"/>
          <w:color w:val="auto"/>
        </w:rPr>
      </w:pPr>
      <w:r>
        <w:rPr>
          <w:rFonts w:ascii="Times New Roman" w:cs="Times New Roman" w:eastAsia="Times New Roman" w:hAnsi="Times New Roman"/>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292" w:right="339" w:bottom="1440" w:gutter="0" w:footer="0" w:header="0"/>
        </w:sectPr>
      </w:pPr>
    </w:p>
    <w:bookmarkStart w:id="69" w:name="page70"/>
    <w:bookmarkEnd w:id="69"/>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a registered debt security is issued in book-entry form, only the depositary will be entitled to transfer and exchange the debt security as described in this subsection, since it will be the sole holder of the debt security.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11"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11" w:lineRule="exact"/>
        <w:rPr>
          <w:sz w:val="20"/>
          <w:szCs w:val="20"/>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58"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58"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22" w:lineRule="exact"/>
        <w:rPr>
          <w:sz w:val="20"/>
          <w:szCs w:val="20"/>
          <w:color w:val="auto"/>
        </w:rPr>
      </w:pPr>
    </w:p>
    <w:p>
      <w:pPr>
        <w:ind w:left="1000" w:right="100" w:hanging="442"/>
        <w:spacing w:after="0" w:line="25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14" w:lineRule="exact"/>
        <w:rPr>
          <w:sz w:val="20"/>
          <w:szCs w:val="20"/>
          <w:color w:val="auto"/>
        </w:rPr>
      </w:pPr>
    </w:p>
    <w:p>
      <w:pPr>
        <w:ind w:right="300" w:firstLine="450"/>
        <w:spacing w:after="0" w:line="268"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Equiniti Trust Company, LLC (f/k/a American Stock Transfer &amp; Trust Company, LLC) is the trustee under the indenture and the 2026 Notes.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292"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Considerations Relating to Foreign Currencies</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60"/>
          </w:cols>
          <w:pgMar w:left="320" w:top="290" w:right="419" w:bottom="1440" w:gutter="0" w:footer="0" w:header="0"/>
        </w:sectPr>
      </w:pPr>
    </w:p>
    <w:bookmarkStart w:id="71" w:name="page72"/>
    <w:bookmarkEnd w:id="7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BROKERAGE ALLOCATIONS AND OTHER PRACTICES</w:t>
      </w:r>
    </w:p>
    <w:p>
      <w:pPr>
        <w:spacing w:after="0" w:line="216"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290" w:right="51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MATERIAL U.S. FEDERAL INCOME TAX CONSIDERATIONS</w:t>
      </w:r>
    </w:p>
    <w:p>
      <w:pPr>
        <w:spacing w:after="0" w:line="216" w:lineRule="exact"/>
        <w:rPr>
          <w:sz w:val="20"/>
          <w:szCs w:val="20"/>
          <w:color w:val="auto"/>
        </w:rPr>
      </w:pPr>
    </w:p>
    <w:p>
      <w:pPr>
        <w:ind w:right="60" w:firstLine="450"/>
        <w:spacing w:after="0" w:line="246"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122" w:lineRule="exact"/>
        <w:rPr>
          <w:sz w:val="20"/>
          <w:szCs w:val="20"/>
          <w:color w:val="auto"/>
        </w:rPr>
      </w:pPr>
    </w:p>
    <w:p>
      <w:pPr>
        <w:ind w:left="1000" w:hanging="44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21"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14"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neither a U.S. stockholder nor a partnership for U.S. federal income tax purposes.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3"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29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Election to be Treated as a RIC</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122" w:lineRule="exact"/>
        <w:rPr>
          <w:sz w:val="20"/>
          <w:szCs w:val="20"/>
          <w:color w:val="auto"/>
        </w:rPr>
      </w:pPr>
    </w:p>
    <w:p>
      <w:pPr>
        <w:ind w:left="1000" w:hanging="442"/>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to be treated as a BDC under the 1940 Act at all times during each taxable year;</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or the Diversification Tests, so that at the end of each quarter of the taxable year:</w:t>
      </w:r>
    </w:p>
    <w:p>
      <w:pPr>
        <w:spacing w:after="0" w:line="121" w:lineRule="exact"/>
        <w:rPr>
          <w:rFonts w:ascii="Times New Roman" w:cs="Times New Roman" w:eastAsia="Times New Roman" w:hAnsi="Times New Roman"/>
          <w:sz w:val="18"/>
          <w:szCs w:val="18"/>
          <w:color w:val="auto"/>
        </w:rPr>
      </w:pPr>
    </w:p>
    <w:p>
      <w:pPr>
        <w:jc w:val="both"/>
        <w:ind w:left="1460" w:right="260" w:hanging="455"/>
        <w:spacing w:after="0" w:line="256"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7" w:lineRule="exact"/>
        <w:rPr>
          <w:rFonts w:ascii="Times New Roman" w:cs="Times New Roman" w:eastAsia="Times New Roman" w:hAnsi="Times New Roman"/>
          <w:sz w:val="18"/>
          <w:szCs w:val="18"/>
          <w:color w:val="auto"/>
        </w:rPr>
      </w:pPr>
    </w:p>
    <w:p>
      <w:pPr>
        <w:jc w:val="both"/>
        <w:ind w:left="1460" w:right="40" w:hanging="455"/>
        <w:spacing w:after="0" w:line="256" w:lineRule="auto"/>
        <w:tabs>
          <w:tab w:leader="none" w:pos="14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80"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88"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290" w:right="359" w:bottom="1440" w:gutter="0" w:footer="0" w:header="0"/>
        </w:sectPr>
      </w:pPr>
    </w:p>
    <w:bookmarkStart w:id="74" w:name="page75"/>
    <w:bookmarkEnd w:id="74"/>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11" w:lineRule="exact"/>
        <w:rPr>
          <w:sz w:val="20"/>
          <w:szCs w:val="20"/>
          <w:color w:val="auto"/>
        </w:rPr>
      </w:pPr>
    </w:p>
    <w:p>
      <w:pPr>
        <w:ind w:right="20" w:firstLine="450"/>
        <w:spacing w:after="0" w:line="289" w:lineRule="auto"/>
        <w:rPr>
          <w:sz w:val="20"/>
          <w:szCs w:val="20"/>
          <w:color w:val="auto"/>
        </w:rPr>
      </w:pPr>
      <w:r>
        <w:rPr>
          <w:rFonts w:ascii="Times New Roman" w:cs="Times New Roman" w:eastAsia="Times New Roman" w:hAnsi="Times New Roman"/>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5"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85"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5"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91"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292" w:right="339" w:bottom="1440" w:gutter="0" w:footer="0" w:header="0"/>
        </w:sectPr>
      </w:pPr>
    </w:p>
    <w:bookmarkStart w:id="75" w:name="page76"/>
    <w:bookmarkEnd w:id="75"/>
    <w:p>
      <w:pPr>
        <w:ind w:right="20" w:firstLine="450"/>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of our investment practices may be subject to special and complex U.S. federal income tax provisions that may, among other things, (a) 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non-qualified dividend income,</w:t>
      </w:r>
    </w:p>
    <w:p>
      <w:pPr>
        <w:spacing w:after="0" w:line="1" w:lineRule="exact"/>
        <w:rPr>
          <w:sz w:val="20"/>
          <w:szCs w:val="20"/>
          <w:color w:val="auto"/>
        </w:rPr>
      </w:pPr>
    </w:p>
    <w:p>
      <w:pPr>
        <w:ind w:right="420" w:firstLine="5"/>
        <w:spacing w:after="0" w:line="245" w:lineRule="auto"/>
        <w:tabs>
          <w:tab w:leader="none" w:pos="2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9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69"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5"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the distributions we receive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292" w:right="339" w:bottom="1440" w:gutter="0" w:footer="0" w:header="0"/>
        </w:sectPr>
      </w:pPr>
    </w:p>
    <w:bookmarkStart w:id="76" w:name="page77"/>
    <w:bookmarkEnd w:id="76"/>
    <w:p>
      <w:pPr>
        <w:ind w:right="100"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88"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91"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indefinitely, and use them to offset future capital gains to the extent permitted by the Code. Further, our deduction of net business interest expense is generally limited to 30% of our “adjusted taxable income” plus “floor plan financing interest expense.”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292"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Failure to Qualify as a RIC</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11"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91"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To the extent distributions paid by us to non-corporate stockholders (including individuals) are attributable to dividends from U.S. corporations and certain qualified foreign corporations and are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290" w:right="339" w:bottom="1440" w:gutter="0" w:footer="0" w:header="0"/>
        </w:sectPr>
      </w:pPr>
    </w:p>
    <w:bookmarkStart w:id="78" w:name="page79"/>
    <w:bookmarkEnd w:id="78"/>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Distributions out of our current and accumulated earnings and profits will not be eligible for the 20% pass through deduction under Section 199A of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196" w:lineRule="exact"/>
        <w:rPr>
          <w:sz w:val="20"/>
          <w:szCs w:val="20"/>
          <w:color w:val="auto"/>
        </w:rPr>
      </w:pPr>
    </w:p>
    <w:p>
      <w:pPr>
        <w:ind w:right="260" w:firstLine="450"/>
        <w:spacing w:after="0" w:line="249" w:lineRule="auto"/>
        <w:rPr>
          <w:sz w:val="20"/>
          <w:szCs w:val="20"/>
          <w:color w:val="auto"/>
        </w:rPr>
      </w:pPr>
      <w:r>
        <w:rPr>
          <w:rFonts w:ascii="Times New Roman" w:cs="Times New Roman" w:eastAsia="Times New Roman" w:hAnsi="Times New Roman"/>
          <w:sz w:val="18"/>
          <w:szCs w:val="18"/>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85"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376" w:lineRule="exact"/>
        <w:rPr>
          <w:sz w:val="20"/>
          <w:szCs w:val="20"/>
          <w:color w:val="auto"/>
        </w:rPr>
      </w:pPr>
    </w:p>
    <w:p>
      <w:pPr>
        <w:ind w:right="80" w:firstLine="450"/>
        <w:spacing w:after="0" w:line="249"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5"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292" w:right="339" w:bottom="1440" w:gutter="0" w:footer="0" w:header="0"/>
        </w:sectPr>
      </w:pPr>
    </w:p>
    <w:bookmarkStart w:id="79" w:name="page80"/>
    <w:bookmarkEnd w:id="79"/>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7"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65" w:lineRule="exact"/>
        <w:rPr>
          <w:sz w:val="20"/>
          <w:szCs w:val="20"/>
          <w:color w:val="auto"/>
        </w:rPr>
      </w:pPr>
    </w:p>
    <w:p>
      <w:pPr>
        <w:ind w:right="120" w:firstLine="450"/>
        <w:spacing w:after="0" w:line="252" w:lineRule="auto"/>
        <w:rPr>
          <w:sz w:val="20"/>
          <w:szCs w:val="20"/>
          <w:color w:val="auto"/>
        </w:rPr>
      </w:pPr>
      <w:r>
        <w:rPr>
          <w:rFonts w:ascii="Times New Roman" w:cs="Times New Roman" w:eastAsia="Times New Roman" w:hAnsi="Times New Roman"/>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87"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292"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preferential rate). Distributions may also be subject to additional state, local and foreign taxes depending on a U.S. stockholder’s particular situation.</w:t>
      </w:r>
    </w:p>
    <w:p>
      <w:pPr>
        <w:spacing w:after="0" w:line="214" w:lineRule="exact"/>
        <w:rPr>
          <w:sz w:val="20"/>
          <w:szCs w:val="20"/>
          <w:color w:val="auto"/>
        </w:rPr>
      </w:pPr>
    </w:p>
    <w:p>
      <w:pPr>
        <w:jc w:val="both"/>
        <w:ind w:right="160" w:firstLine="450"/>
        <w:spacing w:after="0" w:line="25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0" w:lineRule="exact"/>
        <w:rPr>
          <w:sz w:val="20"/>
          <w:szCs w:val="20"/>
          <w:color w:val="auto"/>
        </w:rPr>
      </w:pPr>
    </w:p>
    <w:p>
      <w:pPr>
        <w:ind w:right="460" w:firstLine="450"/>
        <w:spacing w:after="0" w:line="282" w:lineRule="auto"/>
        <w:rPr>
          <w:sz w:val="20"/>
          <w:szCs w:val="20"/>
          <w:color w:val="auto"/>
        </w:rPr>
      </w:pPr>
      <w:r>
        <w:rPr>
          <w:rFonts w:ascii="Times New Roman" w:cs="Times New Roman" w:eastAsia="Times New Roman" w:hAnsi="Times New Roman"/>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spacing w:after="0" w:line="1" w:lineRule="exact"/>
        <w:rPr>
          <w:sz w:val="20"/>
          <w:szCs w:val="20"/>
          <w:color w:val="auto"/>
        </w:rPr>
      </w:pPr>
    </w:p>
    <w:p>
      <w:pPr>
        <w:ind w:right="60" w:firstLine="5"/>
        <w:spacing w:after="0" w:line="245" w:lineRule="auto"/>
        <w:tabs>
          <w:tab w:leader="none" w:pos="2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11"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0"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292" w:right="339" w:bottom="1440" w:gutter="0" w:footer="0" w:header="0"/>
        </w:sectPr>
      </w:pPr>
    </w:p>
    <w:bookmarkStart w:id="81" w:name="page82"/>
    <w:bookmarkEnd w:id="8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80" w:lineRule="exact"/>
        <w:rPr>
          <w:sz w:val="20"/>
          <w:szCs w:val="20"/>
          <w:color w:val="auto"/>
        </w:rPr>
      </w:pPr>
    </w:p>
    <w:p>
      <w:pPr>
        <w:ind w:right="60" w:firstLine="450"/>
        <w:spacing w:after="0" w:line="286" w:lineRule="auto"/>
        <w:rPr>
          <w:sz w:val="20"/>
          <w:szCs w:val="20"/>
          <w:color w:val="auto"/>
        </w:rPr>
      </w:pPr>
      <w:r>
        <w:rPr>
          <w:rFonts w:ascii="Times New Roman" w:cs="Times New Roman" w:eastAsia="Times New Roman" w:hAnsi="Times New Roman"/>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8" w:lineRule="exact"/>
        <w:rPr>
          <w:sz w:val="20"/>
          <w:szCs w:val="20"/>
          <w:color w:val="auto"/>
        </w:rPr>
      </w:pPr>
    </w:p>
    <w:p>
      <w:pPr>
        <w:jc w:val="both"/>
        <w:ind w:firstLine="450"/>
        <w:spacing w:after="0" w:line="249" w:lineRule="auto"/>
        <w:rPr>
          <w:sz w:val="20"/>
          <w:szCs w:val="20"/>
          <w:color w:val="auto"/>
        </w:rPr>
      </w:pPr>
      <w:r>
        <w:rPr>
          <w:rFonts w:ascii="Times New Roman" w:cs="Times New Roman" w:eastAsia="Times New Roman" w:hAnsi="Times New Roman"/>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85"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1"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80"/>
          </w:cols>
          <w:pgMar w:left="320" w:top="292" w:right="399" w:bottom="1440" w:gutter="0" w:footer="0" w:header="0"/>
        </w:sectPr>
      </w:pPr>
    </w:p>
    <w:bookmarkStart w:id="82" w:name="page83"/>
    <w:bookmarkEnd w:id="82"/>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Non-U.S. stockholders may also be subject to U.S. estate tax with respect to their investment in our common shares.</w:t>
      </w:r>
    </w:p>
    <w:p>
      <w:pPr>
        <w:spacing w:after="0" w:line="214"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80"/>
          </w:cols>
          <w:pgMar w:left="320" w:top="292" w:right="3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PLAN OF DISTRIBUTION</w:t>
      </w:r>
    </w:p>
    <w:p>
      <w:pPr>
        <w:spacing w:after="0" w:line="216" w:lineRule="exact"/>
        <w:rPr>
          <w:sz w:val="20"/>
          <w:szCs w:val="20"/>
          <w:color w:val="auto"/>
        </w:rPr>
      </w:pPr>
    </w:p>
    <w:p>
      <w:pPr>
        <w:ind w:right="140" w:firstLine="450"/>
        <w:spacing w:after="0" w:line="303" w:lineRule="auto"/>
        <w:rPr>
          <w:sz w:val="20"/>
          <w:szCs w:val="20"/>
          <w:color w:val="auto"/>
        </w:rPr>
      </w:pPr>
      <w:r>
        <w:rPr>
          <w:rFonts w:ascii="Times New Roman" w:cs="Times New Roman" w:eastAsia="Times New Roman" w:hAnsi="Times New Roman"/>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53" w:lineRule="exact"/>
        <w:rPr>
          <w:sz w:val="20"/>
          <w:szCs w:val="20"/>
          <w:color w:val="auto"/>
        </w:rPr>
      </w:pPr>
    </w:p>
    <w:p>
      <w:pPr>
        <w:ind w:left="1000" w:hanging="44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securities and the proceeds to us and any discounts, commissions or concessions allowed or reallowed or paid to dealers;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214"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0" w:lineRule="exact"/>
        <w:rPr>
          <w:sz w:val="20"/>
          <w:szCs w:val="20"/>
          <w:color w:val="auto"/>
        </w:rPr>
      </w:pPr>
    </w:p>
    <w:p>
      <w:pPr>
        <w:jc w:val="both"/>
        <w:ind w:right="240" w:firstLine="450"/>
        <w:spacing w:after="0" w:line="282" w:lineRule="auto"/>
        <w:rPr>
          <w:sz w:val="20"/>
          <w:szCs w:val="20"/>
          <w:color w:val="auto"/>
        </w:rPr>
      </w:pPr>
      <w:r>
        <w:rPr>
          <w:rFonts w:ascii="Times New Roman" w:cs="Times New Roman" w:eastAsia="Times New Roman" w:hAnsi="Times New Roman"/>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6" w:lineRule="exact"/>
        <w:rPr>
          <w:sz w:val="20"/>
          <w:szCs w:val="20"/>
          <w:color w:val="auto"/>
        </w:rPr>
      </w:pPr>
    </w:p>
    <w:p>
      <w:pPr>
        <w:jc w:val="both"/>
        <w:ind w:right="340" w:firstLine="450"/>
        <w:spacing w:after="0" w:line="256"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0" w:lineRule="exact"/>
        <w:rPr>
          <w:sz w:val="20"/>
          <w:szCs w:val="20"/>
          <w:color w:val="auto"/>
        </w:rPr>
      </w:pPr>
    </w:p>
    <w:p>
      <w:pPr>
        <w:ind w:right="700" w:firstLine="450"/>
        <w:spacing w:after="0" w:line="268"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69" w:lineRule="exact"/>
        <w:rPr>
          <w:sz w:val="20"/>
          <w:szCs w:val="20"/>
          <w:color w:val="auto"/>
        </w:rPr>
      </w:pPr>
    </w:p>
    <w:p>
      <w:pPr>
        <w:ind w:right="140" w:firstLine="450"/>
        <w:spacing w:after="0" w:line="252"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3" w:lineRule="exact"/>
        <w:rPr>
          <w:sz w:val="20"/>
          <w:szCs w:val="20"/>
          <w:color w:val="auto"/>
        </w:rPr>
      </w:pPr>
    </w:p>
    <w:p>
      <w:pPr>
        <w:ind w:right="80" w:firstLine="450"/>
        <w:spacing w:after="0" w:line="279" w:lineRule="auto"/>
        <w:rPr>
          <w:sz w:val="20"/>
          <w:szCs w:val="20"/>
          <w:color w:val="auto"/>
        </w:rPr>
      </w:pPr>
      <w:r>
        <w:rPr>
          <w:rFonts w:ascii="Times New Roman" w:cs="Times New Roman" w:eastAsia="Times New Roman" w:hAnsi="Times New Roman"/>
          <w:sz w:val="16"/>
          <w:szCs w:val="16"/>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290" w:right="339" w:bottom="1440" w:gutter="0" w:footer="0" w:header="0"/>
        </w:sectPr>
      </w:pPr>
    </w:p>
    <w:bookmarkStart w:id="84" w:name="page85"/>
    <w:bookmarkEnd w:id="84"/>
    <w:p>
      <w:pPr>
        <w:ind w:firstLine="45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292" w:right="3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SUB-ADMINISTRATOR, CUSTODIAN, TRANSFER AGENT AND TRUSTEE</w:t>
      </w:r>
    </w:p>
    <w:p>
      <w:pPr>
        <w:spacing w:after="0" w:line="216" w:lineRule="exact"/>
        <w:rPr>
          <w:sz w:val="20"/>
          <w:szCs w:val="20"/>
          <w:color w:val="auto"/>
        </w:rPr>
      </w:pPr>
    </w:p>
    <w:p>
      <w:pPr>
        <w:ind w:right="60" w:firstLine="450"/>
        <w:spacing w:after="0" w:line="274" w:lineRule="auto"/>
        <w:rPr>
          <w:sz w:val="20"/>
          <w:szCs w:val="20"/>
          <w:color w:val="auto"/>
        </w:rPr>
      </w:pPr>
      <w:r>
        <w:rPr>
          <w:rFonts w:ascii="Times New Roman" w:cs="Times New Roman" w:eastAsia="Times New Roman" w:hAnsi="Times New Roman"/>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Equiniti Trust Company, LLC (f/k/a American Stock Transfer &amp; Trust Company, LLC) acts as our transfer agent, distribution paying agent and registrar. Equiniti also serves as trustee under our 2026 Notes. The principal business address of Equiniti is 48 Wall Street, 22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Floor, New York, NY 10005, telephone number: (800) 468-9716.</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16" w:lineRule="exact"/>
        <w:rPr>
          <w:sz w:val="20"/>
          <w:szCs w:val="20"/>
          <w:color w:val="auto"/>
        </w:rPr>
      </w:pPr>
    </w:p>
    <w:p>
      <w:pPr>
        <w:ind w:right="560" w:firstLine="450"/>
        <w:spacing w:after="0" w:line="25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16"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of PennantPark Floating Rate Capital Ltd. and Subsidiaries (the Company) as of September 31, 2023 and 2022 and for each of the years in the three-year period ended September 30, 2023 and the effectiveness of internal control over financial reporting as of September 30, 2023 incorporated in this Prospectus by reference from the PennantPark Floating Rate Capital Ltd. Annual Report on Form 10-K for the year ended September 30, 2023 have been audited by RSM US LLP, an independent registered public accounting firm, as stated in their report thereon (which report expresses an unqualified opinion and includes an emphasis of matter paragraph relating to the reclassification of certain amounts presented therewithin of the 2022 and 2021 financial statements), incorporated herein by reference, and have been incorporated in this Prospectus and Registration Statement in reliance upon such report and upon the authority of such firm as experts in accounting and auditing.</w:t>
      </w:r>
    </w:p>
    <w:p>
      <w:pPr>
        <w:spacing w:after="0" w:line="187" w:lineRule="exact"/>
        <w:rPr>
          <w:sz w:val="20"/>
          <w:szCs w:val="20"/>
          <w:color w:val="auto"/>
        </w:rPr>
      </w:pPr>
    </w:p>
    <w:p>
      <w:pPr>
        <w:ind w:right="340" w:firstLine="450"/>
        <w:spacing w:after="0" w:line="252" w:lineRule="auto"/>
        <w:rPr>
          <w:sz w:val="20"/>
          <w:szCs w:val="20"/>
          <w:color w:val="auto"/>
        </w:rPr>
      </w:pPr>
      <w:r>
        <w:rPr>
          <w:rFonts w:ascii="Times New Roman" w:cs="Times New Roman" w:eastAsia="Times New Roman" w:hAnsi="Times New Roman"/>
          <w:sz w:val="18"/>
          <w:szCs w:val="18"/>
          <w:color w:val="auto"/>
        </w:rPr>
        <w:t xml:space="preserve">The report of RSM US LLP dated December 7, 2023, on the effectiveness of internal control over financial reporting as of September 30, 2023, expressed an opinion that PennantPark Floating Rate Capital Ltd. had not maintained effective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16" w:lineRule="exact"/>
        <w:rPr>
          <w:sz w:val="20"/>
          <w:szCs w:val="20"/>
          <w:color w:val="auto"/>
        </w:rPr>
      </w:pPr>
    </w:p>
    <w:p>
      <w:pPr>
        <w:ind w:right="340" w:firstLine="45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PennantPark Senior Secured Loan Fund I LLC as of September 30, 2023, September 30, 2022 and September 30, 2021 and for the years then ended included as Exhibits 99.3 and 99.4 in our Annual Report on Form 10-K for the fiscal year ended September 30, 2023 have been incorporated herein by reference, and have been incorporated in this Prospectus and Registration Statement in reliance upon such report and upon the authority of such firm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16" w:lineRule="exact"/>
        <w:rPr>
          <w:sz w:val="20"/>
          <w:szCs w:val="20"/>
          <w:color w:val="auto"/>
        </w:rPr>
      </w:pPr>
    </w:p>
    <w:p>
      <w:pPr>
        <w:ind w:firstLine="450"/>
        <w:spacing w:after="0" w:line="303"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290" w:right="339" w:bottom="1440" w:gutter="0" w:footer="0" w:header="0"/>
        </w:sectPr>
      </w:pPr>
    </w:p>
    <w:bookmarkStart w:id="86" w:name="page87"/>
    <w:bookmarkEnd w:id="86"/>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This prospectus and any prospectus supplement incorporates by reference the documents set forth below that have previously been filed with the SEC:</w:t>
      </w:r>
    </w:p>
    <w:p>
      <w:pPr>
        <w:spacing w:after="0" w:line="145" w:lineRule="exact"/>
        <w:rPr>
          <w:sz w:val="20"/>
          <w:szCs w:val="20"/>
          <w:color w:val="auto"/>
        </w:rPr>
      </w:pPr>
    </w:p>
    <w:p>
      <w:pPr>
        <w:ind w:left="1000" w:right="820" w:hanging="442"/>
        <w:spacing w:after="0" w:line="256"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2023, filed on December 8, 2023, including the information specifically incorporated by reference to the Form 10-K from our Definitive Proxy Statement on Schedule 14A filed with the SEC on December 13, 2023;</w:t>
      </w:r>
    </w:p>
    <w:p>
      <w:pPr>
        <w:spacing w:after="0" w:line="87" w:lineRule="exact"/>
        <w:rPr>
          <w:rFonts w:ascii="Times New Roman" w:cs="Times New Roman" w:eastAsia="Times New Roman" w:hAnsi="Times New Roman"/>
          <w:sz w:val="18"/>
          <w:szCs w:val="18"/>
          <w:color w:val="auto"/>
        </w:rPr>
      </w:pPr>
    </w:p>
    <w:p>
      <w:pPr>
        <w:ind w:left="1000" w:right="280" w:hanging="442"/>
        <w:spacing w:after="0" w:line="268" w:lineRule="auto"/>
        <w:tabs>
          <w:tab w:leader="none" w:pos="1000" w:val="left"/>
        </w:tabs>
        <w:numPr>
          <w:ilvl w:val="0"/>
          <w:numId w:val="51"/>
        </w:numPr>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auto"/>
          </w:rPr>
          <w:t xml:space="preserve">Our Quarterly Reports on Form 10-Q for the fiscal quarters ended December 31, 2023 and March 31, 2024, filed with the SEC on </w:t>
        </w:r>
        <w:r>
          <w:rPr>
            <w:rFonts w:ascii="Times New Roman" w:cs="Times New Roman" w:eastAsia="Times New Roman" w:hAnsi="Times New Roman"/>
            <w:sz w:val="18"/>
            <w:szCs w:val="18"/>
            <w:u w:val="single" w:color="auto"/>
            <w:color w:val="0000EE"/>
          </w:rPr>
          <w:t>February 7,</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May 8, 2024</w:t>
        </w:r>
      </w:hyperlink>
      <w:hyperlink r:id="rId120">
        <w:r>
          <w:rPr>
            <w:rFonts w:ascii="Times New Roman" w:cs="Times New Roman" w:eastAsia="Times New Roman" w:hAnsi="Times New Roman"/>
            <w:sz w:val="18"/>
            <w:szCs w:val="18"/>
            <w:color w:val="000000"/>
          </w:rPr>
          <w:t>, respectively;</w:t>
        </w:r>
      </w:hyperlink>
    </w:p>
    <w:p>
      <w:pPr>
        <w:spacing w:after="0" w:line="77" w:lineRule="exact"/>
        <w:rPr>
          <w:rFonts w:ascii="Times New Roman" w:cs="Times New Roman" w:eastAsia="Times New Roman" w:hAnsi="Times New Roman"/>
          <w:sz w:val="18"/>
          <w:szCs w:val="18"/>
          <w:color w:val="0000EE"/>
        </w:rPr>
      </w:pPr>
    </w:p>
    <w:p>
      <w:pPr>
        <w:ind w:left="1000" w:right="360" w:hanging="442"/>
        <w:spacing w:after="0" w:line="268" w:lineRule="auto"/>
        <w:tabs>
          <w:tab w:leader="none" w:pos="1000" w:val="left"/>
        </w:tabs>
        <w:numPr>
          <w:ilvl w:val="0"/>
          <w:numId w:val="51"/>
        </w:numPr>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22">
        <w:r>
          <w:rPr>
            <w:rFonts w:ascii="Times New Roman" w:cs="Times New Roman" w:eastAsia="Times New Roman" w:hAnsi="Times New Roman"/>
            <w:sz w:val="18"/>
            <w:szCs w:val="18"/>
            <w:u w:val="single" w:color="auto"/>
            <w:color w:val="0000EE"/>
          </w:rPr>
          <w:t>May 8, 2024</w:t>
        </w:r>
      </w:hyperlink>
      <w:hyperlink r:id="rId121">
        <w:r>
          <w:rPr>
            <w:rFonts w:ascii="Times New Roman" w:cs="Times New Roman" w:eastAsia="Times New Roman" w:hAnsi="Times New Roman"/>
            <w:sz w:val="18"/>
            <w:szCs w:val="18"/>
            <w:color w:val="000000"/>
          </w:rPr>
          <w:t>; and</w:t>
        </w:r>
      </w:hyperlink>
    </w:p>
    <w:p>
      <w:pPr>
        <w:spacing w:after="0" w:line="77" w:lineRule="exact"/>
        <w:rPr>
          <w:rFonts w:ascii="Times New Roman" w:cs="Times New Roman" w:eastAsia="Times New Roman" w:hAnsi="Times New Roman"/>
          <w:sz w:val="18"/>
          <w:szCs w:val="18"/>
          <w:color w:val="0000EE"/>
        </w:rPr>
      </w:pPr>
    </w:p>
    <w:p>
      <w:pPr>
        <w:ind w:left="1000" w:right="60" w:hanging="442"/>
        <w:spacing w:after="0" w:line="25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123">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12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83"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rFonts w:ascii="Times New Roman" w:cs="Times New Roman" w:eastAsia="Times New Roman" w:hAnsi="Times New Roman"/>
          <w:sz w:val="18"/>
          <w:szCs w:val="18"/>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58" w:lineRule="exact"/>
        <w:rPr>
          <w:rFonts w:ascii="Times New Roman" w:cs="Times New Roman" w:eastAsia="Times New Roman" w:hAnsi="Times New Roman"/>
          <w:sz w:val="18"/>
          <w:szCs w:val="18"/>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and any accompanying prospectus supplement,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Copies of these reports, proxy and information statements and other information may be obtained, after paying a duplicating fee, by sending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by email to: publicinfo@sec.gov.</w:t>
      </w:r>
    </w:p>
    <w:p>
      <w:pPr>
        <w:spacing w:after="0" w:line="1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292" w:right="339" w:bottom="1440" w:gutter="0" w:footer="0" w:header="0"/>
        </w:sectPr>
      </w:pPr>
    </w:p>
    <w:bookmarkStart w:id="87" w:name="page88"/>
    <w:bookmarkEnd w:id="8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PART 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25.</w:t>
            </w:r>
          </w:p>
        </w:tc>
        <w:tc>
          <w:tcPr>
            <w:tcW w:w="10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1 </w:t>
            </w: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Financial Statements.</w:t>
            </w:r>
          </w:p>
        </w:tc>
      </w:tr>
      <w:tr>
        <w:trPr>
          <w:trHeight w:val="298"/>
        </w:trPr>
        <w:tc>
          <w:tcPr>
            <w:tcW w:w="860" w:type="dxa"/>
            <w:vAlign w:val="bottom"/>
          </w:tcPr>
          <w:p>
            <w:pPr>
              <w:spacing w:after="0"/>
              <w:rPr>
                <w:sz w:val="24"/>
                <w:szCs w:val="24"/>
                <w:color w:val="auto"/>
              </w:rPr>
            </w:pP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The consolidated financial statements as of September 30, 2023 and September 30, 2022 and for each of the three years in the period ended</w:t>
            </w:r>
          </w:p>
        </w:tc>
      </w:tr>
      <w:tr>
        <w:trPr>
          <w:trHeight w:val="211"/>
        </w:trPr>
        <w:tc>
          <w:tcPr>
            <w:tcW w:w="86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September 30, 2023 and management’s assessment of the effectiveness of internal control over financial reporting (which is included in</w:t>
            </w:r>
          </w:p>
        </w:tc>
      </w:tr>
      <w:tr>
        <w:trPr>
          <w:trHeight w:val="211"/>
        </w:trPr>
        <w:tc>
          <w:tcPr>
            <w:tcW w:w="860" w:type="dxa"/>
            <w:vAlign w:val="bottom"/>
          </w:tcPr>
          <w:p>
            <w:pPr>
              <w:spacing w:after="0"/>
              <w:rPr>
                <w:sz w:val="18"/>
                <w:szCs w:val="18"/>
                <w:color w:val="auto"/>
              </w:rPr>
            </w:pP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Management’s Report on Internal Control over Financial Reporting) as of September 30, 2023 have been incorporated by reference in this</w:t>
            </w:r>
          </w:p>
        </w:tc>
      </w:tr>
      <w:tr>
        <w:trPr>
          <w:trHeight w:val="228"/>
        </w:trPr>
        <w:tc>
          <w:tcPr>
            <w:tcW w:w="860" w:type="dxa"/>
            <w:vAlign w:val="bottom"/>
          </w:tcPr>
          <w:p>
            <w:pPr>
              <w:spacing w:after="0"/>
              <w:rPr>
                <w:sz w:val="19"/>
                <w:szCs w:val="19"/>
                <w:color w:val="auto"/>
              </w:rPr>
            </w:pP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registration statement in “Part A—Information Required in a Prospectus.”</w:t>
            </w:r>
          </w:p>
        </w:tc>
      </w:tr>
      <w:tr>
        <w:trPr>
          <w:trHeight w:val="3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30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Exhibits.</w:t>
            </w:r>
          </w:p>
        </w:tc>
      </w:tr>
    </w:tbl>
    <w:p>
      <w:pPr>
        <w:spacing w:after="0" w:line="88" w:lineRule="exact"/>
        <w:rPr>
          <w:sz w:val="20"/>
          <w:szCs w:val="20"/>
          <w:color w:val="auto"/>
        </w:rPr>
      </w:pPr>
    </w:p>
    <w:p>
      <w:pPr>
        <w:ind w:left="1380" w:right="300" w:hanging="1006"/>
        <w:spacing w:after="0" w:line="268" w:lineRule="auto"/>
        <w:tabs>
          <w:tab w:leader="none" w:pos="1380" w:val="left"/>
        </w:tabs>
        <w:numPr>
          <w:ilvl w:val="0"/>
          <w:numId w:val="52"/>
        </w:numPr>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Articles of Amendment and Restatement of the Registrant (Incorporated by reference to Exhibit 99(A) to the Registrant’s Pre-Effective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Amendment No. 3 to the Registration Statement on Form N-2 (File No. 333-170243), filed on March 29, 2011).</w:t>
        </w:r>
      </w:hyperlink>
    </w:p>
    <w:p>
      <w:pPr>
        <w:spacing w:after="0" w:line="64" w:lineRule="exact"/>
        <w:rPr>
          <w:rFonts w:ascii="Times New Roman" w:cs="Times New Roman" w:eastAsia="Times New Roman" w:hAnsi="Times New Roman"/>
          <w:sz w:val="18"/>
          <w:szCs w:val="18"/>
          <w:u w:val="single" w:color="auto"/>
          <w:color w:val="0000EE"/>
        </w:rPr>
      </w:pPr>
    </w:p>
    <w:p>
      <w:pPr>
        <w:ind w:left="1380" w:right="120" w:hanging="1006"/>
        <w:spacing w:after="0" w:line="268" w:lineRule="auto"/>
        <w:tabs>
          <w:tab w:leader="none" w:pos="1380" w:val="left"/>
        </w:tabs>
        <w:numPr>
          <w:ilvl w:val="0"/>
          <w:numId w:val="52"/>
        </w:numPr>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Second Amended and Restated Bylaws of the Registrant (Incorporated by reference to Exhibit 3.2 to the Registrant’s Quarterly Report on</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Form 10-Q (File No. 814-00891), filed on May 11, 2020).</w:t>
        </w:r>
      </w:hyperlink>
    </w:p>
    <w:p>
      <w:pPr>
        <w:spacing w:after="0" w:line="47" w:lineRule="exact"/>
        <w:rPr>
          <w:rFonts w:ascii="Times New Roman" w:cs="Times New Roman" w:eastAsia="Times New Roman" w:hAnsi="Times New Roman"/>
          <w:sz w:val="18"/>
          <w:szCs w:val="18"/>
          <w:color w:val="auto"/>
        </w:rPr>
      </w:pPr>
    </w:p>
    <w:tbl>
      <w:tblPr>
        <w:tblLayout w:type="fixed"/>
        <w:tblInd w:w="38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720" w:type="dxa"/>
            <w:vAlign w:val="bottom"/>
            <w:gridSpan w:val="19"/>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Share Certificate (Incorporated by reference to Exhibit 99(D) to the Registrant’s Pre-Effective Amendment No. 5 to the</w:t>
              </w:r>
            </w:hyperlink>
          </w:p>
        </w:tc>
      </w:tr>
      <w:tr>
        <w:trPr>
          <w:trHeight w:val="191"/>
        </w:trPr>
        <w:tc>
          <w:tcPr>
            <w:tcW w:w="1000" w:type="dxa"/>
            <w:vAlign w:val="bottom"/>
          </w:tcPr>
          <w:p>
            <w:pPr>
              <w:spacing w:after="0"/>
              <w:rPr>
                <w:sz w:val="16"/>
                <w:szCs w:val="16"/>
                <w:color w:val="auto"/>
              </w:rPr>
            </w:pPr>
          </w:p>
        </w:tc>
        <w:tc>
          <w:tcPr>
            <w:tcW w:w="5900" w:type="dxa"/>
            <w:vAlign w:val="bottom"/>
            <w:tcBorders>
              <w:top w:val="single" w:sz="8" w:color="0000EE"/>
              <w:bottom w:val="single" w:sz="8" w:color="0000EE"/>
            </w:tcBorders>
            <w:gridSpan w:val="6"/>
          </w:tcPr>
          <w:p>
            <w:pPr>
              <w:spacing w:after="0" w:line="190" w:lineRule="exact"/>
              <w:rPr>
                <w:rFonts w:ascii="Times New Roman" w:cs="Times New Roman" w:eastAsia="Times New Roman" w:hAnsi="Times New Roman"/>
                <w:sz w:val="18"/>
                <w:szCs w:val="18"/>
                <w:color w:val="0000EE"/>
                <w:w w:val="97"/>
              </w:rPr>
            </w:pPr>
            <w:hyperlink r:id="rId128">
              <w:r>
                <w:rPr>
                  <w:rFonts w:ascii="Times New Roman" w:cs="Times New Roman" w:eastAsia="Times New Roman" w:hAnsi="Times New Roman"/>
                  <w:sz w:val="18"/>
                  <w:szCs w:val="18"/>
                  <w:color w:val="0000EE"/>
                  <w:w w:val="97"/>
                </w:rPr>
                <w:t>Registration Statement on Form N-2 (File No. 333-170243), filed on April 5, 2011).</w:t>
              </w:r>
            </w:hyperlink>
          </w:p>
        </w:tc>
        <w:tc>
          <w:tcPr>
            <w:tcW w:w="3080" w:type="dxa"/>
            <w:vAlign w:val="bottom"/>
            <w:tcBorders>
              <w:top w:val="single" w:sz="8" w:color="0000EE"/>
            </w:tcBorders>
            <w:gridSpan w:val="3"/>
          </w:tcPr>
          <w:p>
            <w:pPr>
              <w:spacing w:after="0"/>
              <w:rPr>
                <w:sz w:val="16"/>
                <w:szCs w:val="16"/>
                <w:color w:val="auto"/>
              </w:rPr>
            </w:pPr>
          </w:p>
        </w:tc>
        <w:tc>
          <w:tcPr>
            <w:tcW w:w="740" w:type="dxa"/>
            <w:vAlign w:val="bottom"/>
            <w:gridSpan w:val="10"/>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95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Form of Subscription Certificate (Incorporated by reference to Exhibit 99(D)(2) to the Registrant’s Registration Statement on Form N-2</w:t>
              </w:r>
            </w:hyperlink>
          </w:p>
        </w:tc>
        <w:tc>
          <w:tcPr>
            <w:tcW w:w="180" w:type="dxa"/>
            <w:vAlign w:val="bottom"/>
            <w:gridSpan w:val="5"/>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720" w:type="dxa"/>
            <w:vAlign w:val="bottom"/>
            <w:gridSpan w:val="19"/>
          </w:tcPr>
          <w:p>
            <w:pPr>
              <w:spacing w:after="0" w:line="190"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720" w:type="dxa"/>
            <w:vAlign w:val="bottom"/>
            <w:gridSpan w:val="19"/>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Indenture (Incorporated by reference to Exhibit 99(D)(3) to the Registrant’s Registration Statement on Form N-2 (File</w:t>
              </w:r>
            </w:hyperlink>
          </w:p>
        </w:tc>
      </w:tr>
      <w:tr>
        <w:trPr>
          <w:trHeight w:val="191"/>
        </w:trPr>
        <w:tc>
          <w:tcPr>
            <w:tcW w:w="1000" w:type="dxa"/>
            <w:vAlign w:val="bottom"/>
          </w:tcPr>
          <w:p>
            <w:pPr>
              <w:spacing w:after="0"/>
              <w:rPr>
                <w:sz w:val="16"/>
                <w:szCs w:val="16"/>
                <w:color w:val="auto"/>
              </w:rPr>
            </w:pPr>
          </w:p>
        </w:tc>
        <w:tc>
          <w:tcPr>
            <w:tcW w:w="3100" w:type="dxa"/>
            <w:vAlign w:val="bottom"/>
            <w:tcBorders>
              <w:top w:val="single" w:sz="8" w:color="0000EE"/>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r:id="rId130">
              <w:r>
                <w:rPr>
                  <w:rFonts w:ascii="Times New Roman" w:cs="Times New Roman" w:eastAsia="Times New Roman" w:hAnsi="Times New Roman"/>
                  <w:sz w:val="18"/>
                  <w:szCs w:val="18"/>
                  <w:color w:val="0000EE"/>
                  <w:w w:val="96"/>
                </w:rPr>
                <w:t>No. 333-180084), filed on March 14, 2012).</w:t>
              </w:r>
            </w:hyperlink>
          </w:p>
        </w:tc>
        <w:tc>
          <w:tcPr>
            <w:tcW w:w="5800" w:type="dxa"/>
            <w:vAlign w:val="bottom"/>
            <w:tcBorders>
              <w:top w:val="single" w:sz="8" w:color="0000EE"/>
            </w:tcBorders>
            <w:gridSpan w:val="6"/>
          </w:tcPr>
          <w:p>
            <w:pPr>
              <w:spacing w:after="0"/>
              <w:rPr>
                <w:sz w:val="16"/>
                <w:szCs w:val="16"/>
                <w:color w:val="auto"/>
              </w:rPr>
            </w:pPr>
          </w:p>
        </w:tc>
        <w:tc>
          <w:tcPr>
            <w:tcW w:w="820" w:type="dxa"/>
            <w:vAlign w:val="bottom"/>
            <w:gridSpan w:val="11"/>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97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131">
              <w:r>
                <w:rPr>
                  <w:rFonts w:ascii="Times New Roman" w:cs="Times New Roman" w:eastAsia="Times New Roman" w:hAnsi="Times New Roman"/>
                  <w:sz w:val="18"/>
                  <w:szCs w:val="18"/>
                  <w:color w:val="0000EE"/>
                  <w:w w:val="97"/>
                </w:rPr>
                <w:t>Form of Subscription Agent Agreement (Incorporated by reference to Exhibit 99(D)(4) to the Registrant’s Registration Statement on Form</w:t>
              </w:r>
            </w:hyperlink>
          </w:p>
        </w:tc>
      </w:tr>
      <w:tr>
        <w:trPr>
          <w:trHeight w:val="191"/>
        </w:trPr>
        <w:tc>
          <w:tcPr>
            <w:tcW w:w="1000" w:type="dxa"/>
            <w:vAlign w:val="bottom"/>
          </w:tcPr>
          <w:p>
            <w:pPr>
              <w:spacing w:after="0"/>
              <w:rPr>
                <w:sz w:val="16"/>
                <w:szCs w:val="16"/>
                <w:color w:val="auto"/>
              </w:rPr>
            </w:pPr>
          </w:p>
        </w:tc>
        <w:tc>
          <w:tcPr>
            <w:tcW w:w="9720" w:type="dxa"/>
            <w:vAlign w:val="bottom"/>
            <w:gridSpan w:val="19"/>
          </w:tcPr>
          <w:p>
            <w:pPr>
              <w:spacing w:after="0" w:line="190"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N-2 (File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96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6"/>
              </w:rPr>
            </w:pPr>
            <w:hyperlink r:id="rId132">
              <w:r>
                <w:rPr>
                  <w:rFonts w:ascii="Times New Roman" w:cs="Times New Roman" w:eastAsia="Times New Roman" w:hAnsi="Times New Roman"/>
                  <w:sz w:val="18"/>
                  <w:szCs w:val="18"/>
                  <w:color w:val="0000EE"/>
                  <w:w w:val="96"/>
                </w:rPr>
                <w:t>Form of Warrant Agreement (Incorporated by reference to Exhibit 99(D)(5) to the Registrant’s Registration Statement on Form N-2 (File</w:t>
              </w:r>
            </w:hyperlink>
          </w:p>
        </w:tc>
        <w:tc>
          <w:tcPr>
            <w:tcW w:w="100" w:type="dxa"/>
            <w:vAlign w:val="bottom"/>
            <w:gridSpan w:val="4"/>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3100" w:type="dxa"/>
            <w:vAlign w:val="bottom"/>
            <w:tcBorders>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r:id="rId132">
              <w:r>
                <w:rPr>
                  <w:rFonts w:ascii="Times New Roman" w:cs="Times New Roman" w:eastAsia="Times New Roman" w:hAnsi="Times New Roman"/>
                  <w:sz w:val="18"/>
                  <w:szCs w:val="18"/>
                  <w:color w:val="0000EE"/>
                  <w:w w:val="96"/>
                </w:rPr>
                <w:t>No. 333-180084), filed on March 14, 2012).</w:t>
              </w:r>
            </w:hyperlink>
          </w:p>
        </w:tc>
        <w:tc>
          <w:tcPr>
            <w:tcW w:w="6620" w:type="dxa"/>
            <w:vAlign w:val="bottom"/>
            <w:gridSpan w:val="17"/>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94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6"/>
              </w:rPr>
            </w:pPr>
            <w:hyperlink r:id="rId133">
              <w:r>
                <w:rPr>
                  <w:rFonts w:ascii="Times New Roman" w:cs="Times New Roman" w:eastAsia="Times New Roman" w:hAnsi="Times New Roman"/>
                  <w:sz w:val="18"/>
                  <w:szCs w:val="18"/>
                  <w:color w:val="0000EE"/>
                  <w:w w:val="96"/>
                </w:rPr>
                <w:t>Form T-1 Statement of Eligibility with respect to the Form of Indenture (Incorporated by reference to Exhibit (d)(6) to the Registrant’s</w:t>
              </w:r>
            </w:hyperlink>
          </w:p>
        </w:tc>
        <w:tc>
          <w:tcPr>
            <w:tcW w:w="280" w:type="dxa"/>
            <w:vAlign w:val="bottom"/>
            <w:gridSpan w:val="8"/>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5940" w:type="dxa"/>
            <w:vAlign w:val="bottom"/>
            <w:tcBorders>
              <w:bottom w:val="single" w:sz="8" w:color="0000EE"/>
            </w:tcBorders>
            <w:gridSpan w:val="7"/>
          </w:tcPr>
          <w:p>
            <w:pPr>
              <w:spacing w:after="0" w:line="190" w:lineRule="exact"/>
              <w:rPr>
                <w:rFonts w:ascii="Times New Roman" w:cs="Times New Roman" w:eastAsia="Times New Roman" w:hAnsi="Times New Roman"/>
                <w:sz w:val="18"/>
                <w:szCs w:val="18"/>
                <w:color w:val="0000EE"/>
                <w:w w:val="97"/>
              </w:rPr>
            </w:pPr>
            <w:hyperlink r:id="rId133">
              <w:r>
                <w:rPr>
                  <w:rFonts w:ascii="Times New Roman" w:cs="Times New Roman" w:eastAsia="Times New Roman" w:hAnsi="Times New Roman"/>
                  <w:sz w:val="18"/>
                  <w:szCs w:val="18"/>
                  <w:color w:val="0000EE"/>
                  <w:w w:val="97"/>
                </w:rPr>
                <w:t>Registration Statement on Form N-2 (File No. 333-279726), filed on May 24, 2024).</w:t>
              </w:r>
            </w:hyperlink>
          </w:p>
        </w:tc>
        <w:tc>
          <w:tcPr>
            <w:tcW w:w="3780" w:type="dxa"/>
            <w:vAlign w:val="bottom"/>
            <w:gridSpan w:val="12"/>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95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r:id="rId134">
              <w:r>
                <w:rPr>
                  <w:rFonts w:ascii="Times New Roman" w:cs="Times New Roman" w:eastAsia="Times New Roman" w:hAnsi="Times New Roman"/>
                  <w:sz w:val="18"/>
                  <w:szCs w:val="18"/>
                  <w:color w:val="0000EE"/>
                  <w:w w:val="97"/>
                </w:rPr>
                <w:t>Form of Articles Supplementary (Incorporated by reference to Exhibit 99(D)(7) to the Registrant’s Registration Statement on Form N-2</w:t>
              </w:r>
            </w:hyperlink>
          </w:p>
        </w:tc>
        <w:tc>
          <w:tcPr>
            <w:tcW w:w="200" w:type="dxa"/>
            <w:vAlign w:val="bottom"/>
            <w:gridSpan w:val="6"/>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720" w:type="dxa"/>
            <w:vAlign w:val="bottom"/>
            <w:gridSpan w:val="19"/>
          </w:tcPr>
          <w:p>
            <w:pPr>
              <w:spacing w:after="0" w:line="190"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(d)(8)</w:t>
            </w:r>
          </w:p>
        </w:tc>
        <w:tc>
          <w:tcPr>
            <w:tcW w:w="9720" w:type="dxa"/>
            <w:vAlign w:val="bottom"/>
            <w:gridSpan w:val="19"/>
          </w:tcPr>
          <w:p>
            <w:pPr>
              <w:spacing w:after="0"/>
              <w:rPr>
                <w:rFonts w:ascii="Times New Roman" w:cs="Times New Roman" w:eastAsia="Times New Roman" w:hAnsi="Times New Roman"/>
                <w:sz w:val="18"/>
                <w:szCs w:val="18"/>
                <w:color w:val="0000EE"/>
                <w:w w:val="97"/>
              </w:rPr>
            </w:pPr>
            <w:hyperlink r:id="rId135">
              <w:r>
                <w:rPr>
                  <w:rFonts w:ascii="Times New Roman" w:cs="Times New Roman" w:eastAsia="Times New Roman" w:hAnsi="Times New Roman"/>
                  <w:sz w:val="18"/>
                  <w:szCs w:val="18"/>
                  <w:color w:val="0000EE"/>
                  <w:w w:val="97"/>
                </w:rPr>
                <w:t>Indenture, dated as of September 19, 2019, by and among PennantPark CLO I, Ltd., as issuer, PennantPark CLO I, LLC, as co-issuer, and</w:t>
              </w:r>
            </w:hyperlink>
          </w:p>
        </w:tc>
      </w:tr>
      <w:tr>
        <w:trPr>
          <w:trHeight w:val="191"/>
        </w:trPr>
        <w:tc>
          <w:tcPr>
            <w:tcW w:w="1000" w:type="dxa"/>
            <w:vAlign w:val="bottom"/>
          </w:tcPr>
          <w:p>
            <w:pPr>
              <w:spacing w:after="0"/>
              <w:rPr>
                <w:sz w:val="16"/>
                <w:szCs w:val="16"/>
                <w:color w:val="auto"/>
              </w:rPr>
            </w:pPr>
          </w:p>
        </w:tc>
        <w:tc>
          <w:tcPr>
            <w:tcW w:w="9500" w:type="dxa"/>
            <w:vAlign w:val="bottom"/>
            <w:tcBorders>
              <w:top w:val="single" w:sz="8" w:color="0000EE"/>
              <w:bottom w:val="single" w:sz="8" w:color="0000EE"/>
            </w:tcBorders>
            <w:gridSpan w:val="12"/>
          </w:tcPr>
          <w:p>
            <w:pPr>
              <w:spacing w:after="0" w:line="190" w:lineRule="exact"/>
              <w:rPr>
                <w:rFonts w:ascii="Times New Roman" w:cs="Times New Roman" w:eastAsia="Times New Roman" w:hAnsi="Times New Roman"/>
                <w:sz w:val="18"/>
                <w:szCs w:val="18"/>
                <w:color w:val="0000EE"/>
                <w:w w:val="97"/>
              </w:rPr>
            </w:pPr>
            <w:hyperlink r:id="rId135">
              <w:r>
                <w:rPr>
                  <w:rFonts w:ascii="Times New Roman" w:cs="Times New Roman" w:eastAsia="Times New Roman" w:hAnsi="Times New Roman"/>
                  <w:sz w:val="18"/>
                  <w:szCs w:val="18"/>
                  <w:color w:val="0000EE"/>
                  <w:w w:val="97"/>
                </w:rPr>
                <w:t>U.S. Bank National Association, as trustee and as collateral agent (Incorporated by reference to Exhibit 99.2 to the Registrant’s Current</w:t>
              </w:r>
            </w:hyperlink>
          </w:p>
        </w:tc>
        <w:tc>
          <w:tcPr>
            <w:tcW w:w="160" w:type="dxa"/>
            <w:vAlign w:val="bottom"/>
            <w:tcBorders>
              <w:top w:val="single" w:sz="8" w:color="0000EE"/>
            </w:tcBorders>
            <w:gridSpan w:val="4"/>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5160" w:type="dxa"/>
            <w:vAlign w:val="bottom"/>
            <w:tcBorders>
              <w:bottom w:val="single" w:sz="8" w:color="0000EE"/>
            </w:tcBorders>
            <w:gridSpan w:val="5"/>
          </w:tcPr>
          <w:p>
            <w:pPr>
              <w:spacing w:after="0" w:line="190" w:lineRule="exact"/>
              <w:rPr>
                <w:rFonts w:ascii="Times New Roman" w:cs="Times New Roman" w:eastAsia="Times New Roman" w:hAnsi="Times New Roman"/>
                <w:sz w:val="18"/>
                <w:szCs w:val="18"/>
                <w:color w:val="0000EE"/>
                <w:w w:val="97"/>
              </w:rPr>
            </w:pPr>
            <w:hyperlink r:id="rId135">
              <w:r>
                <w:rPr>
                  <w:rFonts w:ascii="Times New Roman" w:cs="Times New Roman" w:eastAsia="Times New Roman" w:hAnsi="Times New Roman"/>
                  <w:sz w:val="18"/>
                  <w:szCs w:val="18"/>
                  <w:color w:val="0000EE"/>
                  <w:w w:val="97"/>
                </w:rPr>
                <w:t>Report on Form 8-K (File No. 814-00891), filed on September 20, 2019).</w:t>
              </w:r>
            </w:hyperlink>
          </w:p>
        </w:tc>
        <w:tc>
          <w:tcPr>
            <w:tcW w:w="4560" w:type="dxa"/>
            <w:vAlign w:val="bottom"/>
            <w:gridSpan w:val="14"/>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(d)(9)</w:t>
            </w:r>
          </w:p>
        </w:tc>
        <w:tc>
          <w:tcPr>
            <w:tcW w:w="94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6"/>
              </w:rPr>
            </w:pPr>
            <w:hyperlink r:id="rId136">
              <w:r>
                <w:rPr>
                  <w:rFonts w:ascii="Times New Roman" w:cs="Times New Roman" w:eastAsia="Times New Roman" w:hAnsi="Times New Roman"/>
                  <w:sz w:val="18"/>
                  <w:szCs w:val="18"/>
                  <w:color w:val="0000EE"/>
                  <w:w w:val="96"/>
                </w:rPr>
                <w:t>Indenture, dated as of March 23, 2021, by and between the Company and American Stock Transfer &amp; Trust Company, LLC, as trustee</w:t>
              </w:r>
            </w:hyperlink>
          </w:p>
        </w:tc>
        <w:tc>
          <w:tcPr>
            <w:tcW w:w="300" w:type="dxa"/>
            <w:vAlign w:val="bottom"/>
            <w:gridSpan w:val="9"/>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700" w:type="dxa"/>
            <w:vAlign w:val="bottom"/>
            <w:tcBorders>
              <w:bottom w:val="single" w:sz="8" w:color="0000EE"/>
            </w:tcBorders>
            <w:gridSpan w:val="18"/>
          </w:tcPr>
          <w:p>
            <w:pPr>
              <w:spacing w:after="0" w:line="190" w:lineRule="exact"/>
              <w:rPr>
                <w:rFonts w:ascii="Times New Roman" w:cs="Times New Roman" w:eastAsia="Times New Roman" w:hAnsi="Times New Roman"/>
                <w:sz w:val="18"/>
                <w:szCs w:val="18"/>
                <w:color w:val="0000EE"/>
                <w:w w:val="97"/>
              </w:rPr>
            </w:pPr>
            <w:hyperlink r:id="rId136">
              <w:r>
                <w:rPr>
                  <w:rFonts w:ascii="Times New Roman" w:cs="Times New Roman" w:eastAsia="Times New Roman" w:hAnsi="Times New Roman"/>
                  <w:sz w:val="18"/>
                  <w:szCs w:val="18"/>
                  <w:color w:val="0000EE"/>
                  <w:w w:val="97"/>
                </w:rPr>
                <w:t>(Incorporated by reference to Exhibit 4.1 to the Registrant’s Current Report on Form 8-K (File No. 814-00891), filed on March 23, 2021).</w:t>
              </w:r>
            </w:hyperlink>
          </w:p>
        </w:tc>
        <w:tc>
          <w:tcPr>
            <w:tcW w:w="20" w:type="dxa"/>
            <w:vAlign w:val="bottom"/>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(d)(10)</w:t>
            </w:r>
          </w:p>
        </w:tc>
        <w:tc>
          <w:tcPr>
            <w:tcW w:w="96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6"/>
              </w:rPr>
            </w:pPr>
            <w:hyperlink r:id="rId137">
              <w:r>
                <w:rPr>
                  <w:rFonts w:ascii="Times New Roman" w:cs="Times New Roman" w:eastAsia="Times New Roman" w:hAnsi="Times New Roman"/>
                  <w:sz w:val="18"/>
                  <w:szCs w:val="18"/>
                  <w:color w:val="0000EE"/>
                  <w:w w:val="96"/>
                </w:rPr>
                <w:t>First Supplemental Indenture, dated as of March 23, 2021, by and between the Company and American Stock Transfer &amp; Trust Company,</w:t>
              </w:r>
            </w:hyperlink>
          </w:p>
        </w:tc>
        <w:tc>
          <w:tcPr>
            <w:tcW w:w="40" w:type="dxa"/>
            <w:vAlign w:val="bottom"/>
            <w:gridSpan w:val="2"/>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540" w:type="dxa"/>
            <w:vAlign w:val="bottom"/>
            <w:tcBorders>
              <w:bottom w:val="single" w:sz="8" w:color="0000EE"/>
            </w:tcBorders>
            <w:gridSpan w:val="14"/>
          </w:tcPr>
          <w:p>
            <w:pPr>
              <w:spacing w:after="0" w:line="190" w:lineRule="exact"/>
              <w:rPr>
                <w:rFonts w:ascii="Times New Roman" w:cs="Times New Roman" w:eastAsia="Times New Roman" w:hAnsi="Times New Roman"/>
                <w:sz w:val="18"/>
                <w:szCs w:val="18"/>
                <w:color w:val="0000EE"/>
                <w:w w:val="97"/>
              </w:rPr>
            </w:pPr>
            <w:hyperlink r:id="rId137">
              <w:r>
                <w:rPr>
                  <w:rFonts w:ascii="Times New Roman" w:cs="Times New Roman" w:eastAsia="Times New Roman" w:hAnsi="Times New Roman"/>
                  <w:sz w:val="18"/>
                  <w:szCs w:val="18"/>
                  <w:color w:val="0000EE"/>
                  <w:w w:val="97"/>
                </w:rPr>
                <w:t>LLC, as trustee (Incorporated by reference to Exhibit 4.2 to the Registrant’s Current Report on Form 8-K (File No. 814-00891), filed on</w:t>
              </w:r>
            </w:hyperlink>
          </w:p>
        </w:tc>
        <w:tc>
          <w:tcPr>
            <w:tcW w:w="180" w:type="dxa"/>
            <w:vAlign w:val="bottom"/>
            <w:gridSpan w:val="5"/>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1220" w:type="dxa"/>
            <w:vAlign w:val="bottom"/>
            <w:tcBorders>
              <w:bottom w:val="single" w:sz="8" w:color="0000EE"/>
            </w:tcBorders>
          </w:tcPr>
          <w:p>
            <w:pPr>
              <w:spacing w:after="0" w:line="190" w:lineRule="exact"/>
              <w:rPr>
                <w:rFonts w:ascii="Times New Roman" w:cs="Times New Roman" w:eastAsia="Times New Roman" w:hAnsi="Times New Roman"/>
                <w:sz w:val="18"/>
                <w:szCs w:val="18"/>
                <w:color w:val="0000EE"/>
                <w:w w:val="95"/>
              </w:rPr>
            </w:pPr>
            <w:hyperlink r:id="rId137">
              <w:r>
                <w:rPr>
                  <w:rFonts w:ascii="Times New Roman" w:cs="Times New Roman" w:eastAsia="Times New Roman" w:hAnsi="Times New Roman"/>
                  <w:sz w:val="18"/>
                  <w:szCs w:val="18"/>
                  <w:color w:val="0000EE"/>
                  <w:w w:val="95"/>
                </w:rPr>
                <w:t>March 23, 2021).</w:t>
              </w:r>
            </w:hyperlink>
          </w:p>
        </w:tc>
        <w:tc>
          <w:tcPr>
            <w:tcW w:w="8500" w:type="dxa"/>
            <w:vAlign w:val="bottom"/>
            <w:gridSpan w:val="18"/>
          </w:tcPr>
          <w:p>
            <w:pPr>
              <w:spacing w:after="0"/>
              <w:rPr>
                <w:sz w:val="16"/>
                <w:szCs w:val="16"/>
                <w:color w:val="auto"/>
              </w:rPr>
            </w:pPr>
          </w:p>
        </w:tc>
      </w:tr>
      <w:tr>
        <w:trPr>
          <w:trHeight w:val="387"/>
        </w:trPr>
        <w:tc>
          <w:tcPr>
            <w:tcW w:w="1000" w:type="dxa"/>
            <w:vAlign w:val="bottom"/>
          </w:tcPr>
          <w:p>
            <w:pPr>
              <w:spacing w:after="0"/>
              <w:rPr>
                <w:sz w:val="24"/>
                <w:szCs w:val="24"/>
                <w:color w:val="auto"/>
              </w:rPr>
            </w:pPr>
          </w:p>
        </w:tc>
        <w:tc>
          <w:tcPr>
            <w:tcW w:w="5160" w:type="dxa"/>
            <w:vAlign w:val="bottom"/>
            <w:gridSpan w:val="5"/>
          </w:tcPr>
          <w:p>
            <w:pPr>
              <w:ind w:left="4160"/>
              <w:spacing w:after="0"/>
              <w:rPr>
                <w:sz w:val="20"/>
                <w:szCs w:val="20"/>
                <w:color w:val="auto"/>
              </w:rPr>
            </w:pPr>
            <w:r>
              <w:rPr>
                <w:rFonts w:ascii="Times New Roman" w:cs="Times New Roman" w:eastAsia="Times New Roman" w:hAnsi="Times New Roman"/>
                <w:sz w:val="18"/>
                <w:szCs w:val="18"/>
                <w:color w:val="auto"/>
              </w:rPr>
              <w:t>85</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60"/>
          </w:cols>
          <w:pgMar w:left="320" w:top="290" w:right="419" w:bottom="1440" w:gutter="0" w:footer="0" w:header="0"/>
        </w:sectPr>
      </w:pPr>
    </w:p>
    <w:bookmarkStart w:id="88" w:name="page89"/>
    <w:bookmarkEnd w:id="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(d)(11)</w:t>
            </w:r>
          </w:p>
        </w:tc>
        <w:tc>
          <w:tcPr>
            <w:tcW w:w="9860" w:type="dxa"/>
            <w:vAlign w:val="bottom"/>
            <w:gridSpan w:val="32"/>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4.25% Notes due 2026 (Incorporated by reference to Exhibit (d)(10) hereto).</w:t>
              </w:r>
            </w:hyperlink>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98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w w:val="98"/>
              </w:rPr>
              <w:t>Third Amended and Restated Investment Advisory Agreement, dated as of May 20, 2024, between PennantPark Floating Rate Capital Ltd.</w:t>
            </w:r>
          </w:p>
        </w:tc>
      </w:tr>
      <w:tr>
        <w:trPr>
          <w:trHeight w:val="191"/>
        </w:trPr>
        <w:tc>
          <w:tcPr>
            <w:tcW w:w="1000" w:type="dxa"/>
            <w:vAlign w:val="bottom"/>
          </w:tcPr>
          <w:p>
            <w:pPr>
              <w:spacing w:after="0"/>
              <w:rPr>
                <w:sz w:val="16"/>
                <w:szCs w:val="16"/>
                <w:color w:val="auto"/>
              </w:rPr>
            </w:pPr>
          </w:p>
        </w:tc>
        <w:tc>
          <w:tcPr>
            <w:tcW w:w="3140" w:type="dxa"/>
            <w:vAlign w:val="bottom"/>
            <w:tcBorders>
              <w:top w:val="single" w:sz="8" w:color="0000EE"/>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and PennantPark Investment Advisers, LLC.</w:t>
            </w:r>
          </w:p>
        </w:tc>
        <w:tc>
          <w:tcPr>
            <w:tcW w:w="6600" w:type="dxa"/>
            <w:vAlign w:val="bottom"/>
            <w:tcBorders>
              <w:top w:val="single" w:sz="8" w:color="0000EE"/>
            </w:tcBorders>
            <w:gridSpan w:val="26"/>
          </w:tcPr>
          <w:p>
            <w:pPr>
              <w:spacing w:after="0"/>
              <w:rPr>
                <w:sz w:val="16"/>
                <w:szCs w:val="16"/>
                <w:color w:val="auto"/>
              </w:rPr>
            </w:pPr>
          </w:p>
        </w:tc>
        <w:tc>
          <w:tcPr>
            <w:tcW w:w="120" w:type="dxa"/>
            <w:vAlign w:val="bottom"/>
            <w:gridSpan w:val="3"/>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(h)(1)</w:t>
            </w:r>
          </w:p>
        </w:tc>
        <w:tc>
          <w:tcPr>
            <w:tcW w:w="96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7"/>
              </w:rPr>
            </w:pPr>
            <w:hyperlink r:id="rId139">
              <w:r>
                <w:rPr>
                  <w:rFonts w:ascii="Times New Roman" w:cs="Times New Roman" w:eastAsia="Times New Roman" w:hAnsi="Times New Roman"/>
                  <w:sz w:val="18"/>
                  <w:szCs w:val="18"/>
                  <w:color w:val="0000EE"/>
                  <w:w w:val="97"/>
                </w:rPr>
                <w:t>Form of Underwriting Agreement for equity (Incorporated by reference to Exhibit 99(H)(1) to the Registrant’s Registration Statement on</w:t>
              </w:r>
            </w:hyperlink>
          </w:p>
        </w:tc>
        <w:tc>
          <w:tcPr>
            <w:tcW w:w="240" w:type="dxa"/>
            <w:vAlign w:val="bottom"/>
            <w:gridSpan w:val="5"/>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32"/>
          </w:tcPr>
          <w:p>
            <w:pPr>
              <w:spacing w:after="0" w:line="190"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N-2 (File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(h)(2)</w:t>
            </w:r>
          </w:p>
        </w:tc>
        <w:tc>
          <w:tcPr>
            <w:tcW w:w="94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r:id="rId140">
              <w:r>
                <w:rPr>
                  <w:rFonts w:ascii="Times New Roman" w:cs="Times New Roman" w:eastAsia="Times New Roman" w:hAnsi="Times New Roman"/>
                  <w:sz w:val="18"/>
                  <w:szCs w:val="18"/>
                  <w:color w:val="0000EE"/>
                  <w:w w:val="97"/>
                </w:rPr>
                <w:t>Form of Underwriting Agreement for debt (Incorporated by reference to Exhibit 99(H)(2) to the Registrant’s Registration Statement on</w:t>
              </w:r>
            </w:hyperlink>
          </w:p>
        </w:tc>
        <w:tc>
          <w:tcPr>
            <w:tcW w:w="380" w:type="dxa"/>
            <w:vAlign w:val="bottom"/>
            <w:gridSpan w:val="9"/>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32"/>
          </w:tcPr>
          <w:p>
            <w:pPr>
              <w:spacing w:after="0" w:line="190"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N-2 (File No. 333-180084), filed on March 14, 2012).</w:t>
              </w:r>
            </w:hyperlink>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(h)(3)</w:t>
            </w:r>
          </w:p>
        </w:tc>
        <w:tc>
          <w:tcPr>
            <w:tcW w:w="9860" w:type="dxa"/>
            <w:vAlign w:val="bottom"/>
            <w:gridSpan w:val="32"/>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Equity Distribution Agreement, dated as of August 11, 2023, by and among PennantPark Floating Rate Capital, Ltd., PennantPark</w:t>
              </w:r>
            </w:hyperlink>
          </w:p>
        </w:tc>
      </w:tr>
      <w:tr>
        <w:trPr>
          <w:trHeight w:val="191"/>
        </w:trPr>
        <w:tc>
          <w:tcPr>
            <w:tcW w:w="1000" w:type="dxa"/>
            <w:vAlign w:val="bottom"/>
          </w:tcPr>
          <w:p>
            <w:pPr>
              <w:spacing w:after="0"/>
              <w:rPr>
                <w:sz w:val="16"/>
                <w:szCs w:val="16"/>
                <w:color w:val="auto"/>
              </w:rPr>
            </w:pPr>
          </w:p>
        </w:tc>
        <w:tc>
          <w:tcPr>
            <w:tcW w:w="8920" w:type="dxa"/>
            <w:vAlign w:val="bottom"/>
            <w:tcBorders>
              <w:top w:val="single" w:sz="8" w:color="0000EE"/>
              <w:bottom w:val="single" w:sz="8" w:color="0000EE"/>
            </w:tcBorders>
            <w:gridSpan w:val="13"/>
          </w:tcPr>
          <w:p>
            <w:pPr>
              <w:spacing w:after="0" w:line="190" w:lineRule="exact"/>
              <w:rPr>
                <w:rFonts w:ascii="Times New Roman" w:cs="Times New Roman" w:eastAsia="Times New Roman" w:hAnsi="Times New Roman"/>
                <w:sz w:val="18"/>
                <w:szCs w:val="18"/>
                <w:color w:val="0000EE"/>
                <w:w w:val="97"/>
              </w:rPr>
            </w:pPr>
            <w:hyperlink r:id="rId141">
              <w:r>
                <w:rPr>
                  <w:rFonts w:ascii="Times New Roman" w:cs="Times New Roman" w:eastAsia="Times New Roman" w:hAnsi="Times New Roman"/>
                  <w:sz w:val="18"/>
                  <w:szCs w:val="18"/>
                  <w:color w:val="0000EE"/>
                  <w:w w:val="97"/>
                </w:rPr>
                <w:t>Investment Advisers, LLC, PennantPark Investment Administration, LLC and Citizens JMP Securities, LLC, as the sales agent</w:t>
              </w:r>
            </w:hyperlink>
          </w:p>
        </w:tc>
        <w:tc>
          <w:tcPr>
            <w:tcW w:w="200" w:type="dxa"/>
            <w:vAlign w:val="bottom"/>
            <w:tcBorders>
              <w:top w:val="single" w:sz="8" w:color="0000EE"/>
            </w:tcBorders>
            <w:gridSpan w:val="2"/>
          </w:tcPr>
          <w:p>
            <w:pPr>
              <w:spacing w:after="0"/>
              <w:rPr>
                <w:sz w:val="16"/>
                <w:szCs w:val="16"/>
                <w:color w:val="auto"/>
              </w:rPr>
            </w:pPr>
          </w:p>
        </w:tc>
        <w:tc>
          <w:tcPr>
            <w:tcW w:w="740" w:type="dxa"/>
            <w:vAlign w:val="bottom"/>
            <w:gridSpan w:val="17"/>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8400" w:type="dxa"/>
            <w:vAlign w:val="bottom"/>
            <w:tcBorders>
              <w:bottom w:val="single" w:sz="8" w:color="0000EE"/>
            </w:tcBorders>
            <w:gridSpan w:val="11"/>
          </w:tcPr>
          <w:p>
            <w:pPr>
              <w:spacing w:after="0" w:line="190" w:lineRule="exact"/>
              <w:rPr>
                <w:rFonts w:ascii="Times New Roman" w:cs="Times New Roman" w:eastAsia="Times New Roman" w:hAnsi="Times New Roman"/>
                <w:sz w:val="18"/>
                <w:szCs w:val="18"/>
                <w:color w:val="0000EE"/>
                <w:w w:val="96"/>
              </w:rPr>
            </w:pPr>
            <w:hyperlink r:id="rId141">
              <w:r>
                <w:rPr>
                  <w:rFonts w:ascii="Times New Roman" w:cs="Times New Roman" w:eastAsia="Times New Roman" w:hAnsi="Times New Roman"/>
                  <w:sz w:val="18"/>
                  <w:szCs w:val="18"/>
                  <w:color w:val="0000EE"/>
                  <w:w w:val="96"/>
                </w:rPr>
                <w:t>(Incorporated by reference to Exhibit 1.1 to the Registrant’s Form 8-K (File No. 814-00891), filed on August 11, 2023).</w:t>
              </w:r>
            </w:hyperlink>
          </w:p>
        </w:tc>
        <w:tc>
          <w:tcPr>
            <w:tcW w:w="1460" w:type="dxa"/>
            <w:vAlign w:val="bottom"/>
            <w:gridSpan w:val="21"/>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(h)(4)</w:t>
            </w:r>
          </w:p>
        </w:tc>
        <w:tc>
          <w:tcPr>
            <w:tcW w:w="9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r:id="rId142">
              <w:r>
                <w:rPr>
                  <w:rFonts w:ascii="Times New Roman" w:cs="Times New Roman" w:eastAsia="Times New Roman" w:hAnsi="Times New Roman"/>
                  <w:sz w:val="18"/>
                  <w:szCs w:val="18"/>
                  <w:color w:val="0000EE"/>
                  <w:w w:val="97"/>
                </w:rPr>
                <w:t>Equity Distribution Agreement, dated as of August 11, 2023, by and among PennantPark Floating Rate Capital, Ltd., PennantPark</w:t>
              </w:r>
            </w:hyperlink>
          </w:p>
        </w:tc>
        <w:tc>
          <w:tcPr>
            <w:tcW w:w="720" w:type="dxa"/>
            <w:vAlign w:val="bottom"/>
            <w:gridSpan w:val="16"/>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32"/>
          </w:tcPr>
          <w:p>
            <w:pPr>
              <w:spacing w:after="0" w:line="190"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Investment Advisers, LLC, PennantPark Investment Administration, LLC and Raymond James &amp; Associates, Inc., as the sales agent</w:t>
              </w:r>
            </w:hyperlink>
          </w:p>
        </w:tc>
      </w:tr>
      <w:tr>
        <w:trPr>
          <w:trHeight w:val="191"/>
        </w:trPr>
        <w:tc>
          <w:tcPr>
            <w:tcW w:w="1000" w:type="dxa"/>
            <w:vAlign w:val="bottom"/>
          </w:tcPr>
          <w:p>
            <w:pPr>
              <w:spacing w:after="0"/>
              <w:rPr>
                <w:sz w:val="16"/>
                <w:szCs w:val="16"/>
                <w:color w:val="auto"/>
              </w:rPr>
            </w:pPr>
          </w:p>
        </w:tc>
        <w:tc>
          <w:tcPr>
            <w:tcW w:w="8400" w:type="dxa"/>
            <w:vAlign w:val="bottom"/>
            <w:tcBorders>
              <w:top w:val="single" w:sz="8" w:color="0000EE"/>
              <w:bottom w:val="single" w:sz="8" w:color="0000EE"/>
            </w:tcBorders>
            <w:gridSpan w:val="11"/>
          </w:tcPr>
          <w:p>
            <w:pPr>
              <w:spacing w:after="0" w:line="190" w:lineRule="exact"/>
              <w:rPr>
                <w:rFonts w:ascii="Times New Roman" w:cs="Times New Roman" w:eastAsia="Times New Roman" w:hAnsi="Times New Roman"/>
                <w:sz w:val="18"/>
                <w:szCs w:val="18"/>
                <w:color w:val="0000EE"/>
                <w:w w:val="96"/>
              </w:rPr>
            </w:pPr>
            <w:hyperlink r:id="rId142">
              <w:r>
                <w:rPr>
                  <w:rFonts w:ascii="Times New Roman" w:cs="Times New Roman" w:eastAsia="Times New Roman" w:hAnsi="Times New Roman"/>
                  <w:sz w:val="18"/>
                  <w:szCs w:val="18"/>
                  <w:color w:val="0000EE"/>
                  <w:w w:val="96"/>
                </w:rPr>
                <w:t>(Incorporated by reference to Exhibit 1.2 to the Registrant’s Form 8-K (File No. 814-00891), filed on August 11, 2023).</w:t>
              </w:r>
            </w:hyperlink>
          </w:p>
        </w:tc>
        <w:tc>
          <w:tcPr>
            <w:tcW w:w="900" w:type="dxa"/>
            <w:vAlign w:val="bottom"/>
            <w:tcBorders>
              <w:top w:val="single" w:sz="8" w:color="0000EE"/>
            </w:tcBorders>
            <w:gridSpan w:val="9"/>
          </w:tcPr>
          <w:p>
            <w:pPr>
              <w:spacing w:after="0"/>
              <w:rPr>
                <w:sz w:val="16"/>
                <w:szCs w:val="16"/>
                <w:color w:val="auto"/>
              </w:rPr>
            </w:pPr>
          </w:p>
        </w:tc>
        <w:tc>
          <w:tcPr>
            <w:tcW w:w="560" w:type="dxa"/>
            <w:vAlign w:val="bottom"/>
            <w:gridSpan w:val="12"/>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(h)(5)</w:t>
            </w:r>
          </w:p>
        </w:tc>
        <w:tc>
          <w:tcPr>
            <w:tcW w:w="9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r:id="rId143">
              <w:r>
                <w:rPr>
                  <w:rFonts w:ascii="Times New Roman" w:cs="Times New Roman" w:eastAsia="Times New Roman" w:hAnsi="Times New Roman"/>
                  <w:sz w:val="18"/>
                  <w:szCs w:val="18"/>
                  <w:color w:val="0000EE"/>
                  <w:w w:val="97"/>
                </w:rPr>
                <w:t>Equity Distribution Agreement, dated as of August 11, 2023, by and among PennantPark Floating Rate Capital, Ltd., PennantPark</w:t>
              </w:r>
            </w:hyperlink>
          </w:p>
        </w:tc>
        <w:tc>
          <w:tcPr>
            <w:tcW w:w="720" w:type="dxa"/>
            <w:vAlign w:val="bottom"/>
            <w:gridSpan w:val="16"/>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32"/>
          </w:tcPr>
          <w:p>
            <w:pPr>
              <w:spacing w:after="0" w:line="190"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Investment Advisers, LLC, PennantPark Investment Administration, LLC and Truist Securities, Inc., as the sales agent (Incorporated by</w:t>
              </w:r>
            </w:hyperlink>
          </w:p>
        </w:tc>
      </w:tr>
      <w:tr>
        <w:trPr>
          <w:trHeight w:val="191"/>
        </w:trPr>
        <w:tc>
          <w:tcPr>
            <w:tcW w:w="1000" w:type="dxa"/>
            <w:vAlign w:val="bottom"/>
          </w:tcPr>
          <w:p>
            <w:pPr>
              <w:spacing w:after="0"/>
              <w:rPr>
                <w:sz w:val="16"/>
                <w:szCs w:val="16"/>
                <w:color w:val="auto"/>
              </w:rPr>
            </w:pPr>
          </w:p>
        </w:tc>
        <w:tc>
          <w:tcPr>
            <w:tcW w:w="9540" w:type="dxa"/>
            <w:vAlign w:val="bottom"/>
            <w:tcBorders>
              <w:top w:val="single" w:sz="8" w:color="0000EE"/>
            </w:tcBorders>
            <w:gridSpan w:val="24"/>
          </w:tcPr>
          <w:p>
            <w:pPr>
              <w:spacing w:after="0" w:line="190"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reference to Exhibit 1.3 to the Registrant’s Form 8-K (File No. 814-00891), filed on August 11, 2023).</w:t>
              </w:r>
            </w:hyperlink>
          </w:p>
        </w:tc>
        <w:tc>
          <w:tcPr>
            <w:tcW w:w="320" w:type="dxa"/>
            <w:vAlign w:val="bottom"/>
            <w:gridSpan w:val="8"/>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98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Custodian Agreement, dated as of April 7, 2011, between the Registrant and The Bank of New York Mellon.</w:t>
            </w:r>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w:t>
            </w:r>
          </w:p>
        </w:tc>
        <w:tc>
          <w:tcPr>
            <w:tcW w:w="98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w w:val="97"/>
              </w:rPr>
              <w:t>Stock Transfer Agency Agreement, dated as of April 7, 2011, between the Registrant and American Stock Transfer &amp; Trust Company, LLC.</w:t>
            </w: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(k)(2)*</w:t>
            </w:r>
          </w:p>
        </w:tc>
        <w:tc>
          <w:tcPr>
            <w:tcW w:w="982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Amended and Restated Administration Agreement, dated as of May 20, 2024, between the Registrant and PennantPark Investment</w:t>
            </w:r>
          </w:p>
        </w:tc>
        <w:tc>
          <w:tcPr>
            <w:tcW w:w="40" w:type="dxa"/>
            <w:vAlign w:val="bottom"/>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152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5"/>
              </w:rPr>
              <w:t>Administration, LLC.</w:t>
            </w:r>
          </w:p>
        </w:tc>
        <w:tc>
          <w:tcPr>
            <w:tcW w:w="7640" w:type="dxa"/>
            <w:vAlign w:val="bottom"/>
            <w:tcBorders>
              <w:top w:val="single" w:sz="8" w:color="0000EE"/>
            </w:tcBorders>
            <w:gridSpan w:val="15"/>
          </w:tcPr>
          <w:p>
            <w:pPr>
              <w:spacing w:after="0"/>
              <w:rPr>
                <w:sz w:val="16"/>
                <w:szCs w:val="16"/>
                <w:color w:val="auto"/>
              </w:rPr>
            </w:pPr>
          </w:p>
        </w:tc>
        <w:tc>
          <w:tcPr>
            <w:tcW w:w="700" w:type="dxa"/>
            <w:vAlign w:val="bottom"/>
            <w:gridSpan w:val="15"/>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(k)(3)*</w:t>
            </w:r>
          </w:p>
        </w:tc>
        <w:tc>
          <w:tcPr>
            <w:tcW w:w="98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Trademark License Agreement, dated as of April 7, 2011, between the Registrant and PennantPark Investment Advisers, LLC.</w:t>
            </w:r>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(k)(4)</w:t>
            </w:r>
          </w:p>
        </w:tc>
        <w:tc>
          <w:tcPr>
            <w:tcW w:w="9860" w:type="dxa"/>
            <w:vAlign w:val="bottom"/>
            <w:gridSpan w:val="32"/>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Revolving Credit and Security Agreement, dated as of August 12, 2021, among PennantPark Floating Rate Funding I, LLC, as the</w:t>
              </w:r>
            </w:hyperlink>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600" w:type="dxa"/>
            <w:vAlign w:val="bottom"/>
            <w:tcBorders>
              <w:bottom w:val="single" w:sz="8" w:color="0000EE"/>
            </w:tcBorders>
            <w:gridSpan w:val="26"/>
          </w:tcPr>
          <w:p>
            <w:pPr>
              <w:spacing w:after="0" w:line="190" w:lineRule="exact"/>
              <w:rPr>
                <w:rFonts w:ascii="Times New Roman" w:cs="Times New Roman" w:eastAsia="Times New Roman" w:hAnsi="Times New Roman"/>
                <w:sz w:val="18"/>
                <w:szCs w:val="18"/>
                <w:color w:val="0000EE"/>
                <w:w w:val="96"/>
              </w:rPr>
            </w:pPr>
            <w:hyperlink r:id="rId144">
              <w:r>
                <w:rPr>
                  <w:rFonts w:ascii="Times New Roman" w:cs="Times New Roman" w:eastAsia="Times New Roman" w:hAnsi="Times New Roman"/>
                  <w:sz w:val="18"/>
                  <w:szCs w:val="18"/>
                  <w:color w:val="0000EE"/>
                  <w:w w:val="96"/>
                </w:rPr>
                <w:t>borrower, PennantPark Investment Advisers, LLC, as the collateral manager, the lenders from time to time party thereto, Truist Bank., as</w:t>
              </w:r>
            </w:hyperlink>
          </w:p>
        </w:tc>
        <w:tc>
          <w:tcPr>
            <w:tcW w:w="260" w:type="dxa"/>
            <w:vAlign w:val="bottom"/>
            <w:gridSpan w:val="6"/>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360" w:type="dxa"/>
            <w:vAlign w:val="bottom"/>
            <w:tcBorders>
              <w:bottom w:val="single" w:sz="8" w:color="0000EE"/>
            </w:tcBorders>
            <w:gridSpan w:val="21"/>
          </w:tcPr>
          <w:p>
            <w:pPr>
              <w:spacing w:after="0" w:line="190" w:lineRule="exact"/>
              <w:rPr>
                <w:rFonts w:ascii="Times New Roman" w:cs="Times New Roman" w:eastAsia="Times New Roman" w:hAnsi="Times New Roman"/>
                <w:sz w:val="18"/>
                <w:szCs w:val="18"/>
                <w:color w:val="0000EE"/>
                <w:w w:val="97"/>
              </w:rPr>
            </w:pPr>
            <w:hyperlink r:id="rId144">
              <w:r>
                <w:rPr>
                  <w:rFonts w:ascii="Times New Roman" w:cs="Times New Roman" w:eastAsia="Times New Roman" w:hAnsi="Times New Roman"/>
                  <w:sz w:val="18"/>
                  <w:szCs w:val="18"/>
                  <w:color w:val="0000EE"/>
                  <w:w w:val="97"/>
                </w:rPr>
                <w:t>administrative agent, Truist Securities, Inc., as lead arranger, U.S. Bank National Association, as collateral agent, U.S. Bank National</w:t>
              </w:r>
            </w:hyperlink>
          </w:p>
        </w:tc>
        <w:tc>
          <w:tcPr>
            <w:tcW w:w="500" w:type="dxa"/>
            <w:vAlign w:val="bottom"/>
            <w:gridSpan w:val="11"/>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tcBorders>
              <w:bottom w:val="single" w:sz="8" w:color="0000EE"/>
            </w:tcBorders>
            <w:gridSpan w:val="32"/>
          </w:tcPr>
          <w:p>
            <w:pPr>
              <w:spacing w:after="0" w:line="190" w:lineRule="exact"/>
              <w:rPr>
                <w:rFonts w:ascii="Times New Roman" w:cs="Times New Roman" w:eastAsia="Times New Roman" w:hAnsi="Times New Roman"/>
                <w:sz w:val="18"/>
                <w:szCs w:val="18"/>
                <w:color w:val="0000EE"/>
                <w:w w:val="97"/>
              </w:rPr>
            </w:pPr>
            <w:hyperlink r:id="rId144">
              <w:r>
                <w:rPr>
                  <w:rFonts w:ascii="Times New Roman" w:cs="Times New Roman" w:eastAsia="Times New Roman" w:hAnsi="Times New Roman"/>
                  <w:sz w:val="18"/>
                  <w:szCs w:val="18"/>
                  <w:color w:val="0000EE"/>
                  <w:w w:val="97"/>
                </w:rPr>
                <w:t>Association, as collateral administrator, U.S. Bank National Association, as backup collateral manager, and U.S. Bank National Association,</w:t>
              </w:r>
            </w:hyperlink>
          </w:p>
        </w:tc>
      </w:tr>
      <w:tr>
        <w:trPr>
          <w:trHeight w:val="191"/>
        </w:trPr>
        <w:tc>
          <w:tcPr>
            <w:tcW w:w="1000" w:type="dxa"/>
            <w:vAlign w:val="bottom"/>
          </w:tcPr>
          <w:p>
            <w:pPr>
              <w:spacing w:after="0"/>
              <w:rPr>
                <w:sz w:val="16"/>
                <w:szCs w:val="16"/>
                <w:color w:val="auto"/>
              </w:rPr>
            </w:pPr>
          </w:p>
        </w:tc>
        <w:tc>
          <w:tcPr>
            <w:tcW w:w="9860" w:type="dxa"/>
            <w:vAlign w:val="bottom"/>
            <w:gridSpan w:val="32"/>
          </w:tcPr>
          <w:p>
            <w:pPr>
              <w:spacing w:after="0" w:line="190"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as custodian (Incorporated by reference to Exhibit 10.1 to the Registrant’s Current Report on Form 8-K (File No. 814-00891), filed on</w:t>
              </w:r>
            </w:hyperlink>
          </w:p>
        </w:tc>
      </w:tr>
      <w:tr>
        <w:trPr>
          <w:trHeight w:val="191"/>
        </w:trPr>
        <w:tc>
          <w:tcPr>
            <w:tcW w:w="1000" w:type="dxa"/>
            <w:vAlign w:val="bottom"/>
          </w:tcPr>
          <w:p>
            <w:pPr>
              <w:spacing w:after="0"/>
              <w:rPr>
                <w:sz w:val="16"/>
                <w:szCs w:val="16"/>
                <w:color w:val="auto"/>
              </w:rPr>
            </w:pPr>
          </w:p>
        </w:tc>
        <w:tc>
          <w:tcPr>
            <w:tcW w:w="9400" w:type="dxa"/>
            <w:vAlign w:val="bottom"/>
            <w:tcBorders>
              <w:top w:val="single" w:sz="8" w:color="0000EE"/>
            </w:tcBorders>
            <w:gridSpan w:val="22"/>
          </w:tcPr>
          <w:p>
            <w:pPr>
              <w:spacing w:after="0" w:line="190"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August 18, 2021).</w:t>
              </w:r>
            </w:hyperlink>
          </w:p>
        </w:tc>
        <w:tc>
          <w:tcPr>
            <w:tcW w:w="460" w:type="dxa"/>
            <w:vAlign w:val="bottom"/>
            <w:gridSpan w:val="10"/>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(k)(5)</w:t>
            </w:r>
          </w:p>
        </w:tc>
        <w:tc>
          <w:tcPr>
            <w:tcW w:w="95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Amended and Restated Purchase and Contribution Agreement, dated as of August 12, 2021, between PennantPark Floating Rate Capital</w:t>
              </w:r>
            </w:hyperlink>
          </w:p>
        </w:tc>
        <w:tc>
          <w:tcPr>
            <w:tcW w:w="300" w:type="dxa"/>
            <w:vAlign w:val="bottom"/>
            <w:gridSpan w:val="7"/>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32"/>
          </w:tcPr>
          <w:p>
            <w:pPr>
              <w:spacing w:after="0" w:line="190"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Ltd., as the seller, and PennantPark Floating Rate Funding I, LLC, as the buyer (Incorporated by reference to Exhibit 10.2 to the</w:t>
              </w:r>
            </w:hyperlink>
          </w:p>
        </w:tc>
      </w:tr>
      <w:tr>
        <w:trPr>
          <w:trHeight w:val="191"/>
        </w:trPr>
        <w:tc>
          <w:tcPr>
            <w:tcW w:w="1000" w:type="dxa"/>
            <w:vAlign w:val="bottom"/>
          </w:tcPr>
          <w:p>
            <w:pPr>
              <w:spacing w:after="0"/>
              <w:rPr>
                <w:sz w:val="16"/>
                <w:szCs w:val="16"/>
                <w:color w:val="auto"/>
              </w:rPr>
            </w:pPr>
          </w:p>
        </w:tc>
        <w:tc>
          <w:tcPr>
            <w:tcW w:w="6380" w:type="dxa"/>
            <w:vAlign w:val="bottom"/>
            <w:tcBorders>
              <w:top w:val="single" w:sz="8" w:color="0000EE"/>
              <w:bottom w:val="single" w:sz="8" w:color="0000EE"/>
            </w:tcBorders>
            <w:gridSpan w:val="7"/>
          </w:tcPr>
          <w:p>
            <w:pPr>
              <w:spacing w:after="0" w:line="190" w:lineRule="exact"/>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Registrant’s Current Report on Form 8-K (File No. 814-00891), filed on August 18, 2021).</w:t>
              </w:r>
            </w:hyperlink>
          </w:p>
        </w:tc>
        <w:tc>
          <w:tcPr>
            <w:tcW w:w="2600" w:type="dxa"/>
            <w:vAlign w:val="bottom"/>
            <w:tcBorders>
              <w:top w:val="single" w:sz="8" w:color="0000EE"/>
            </w:tcBorders>
            <w:gridSpan w:val="7"/>
          </w:tcPr>
          <w:p>
            <w:pPr>
              <w:spacing w:after="0"/>
              <w:rPr>
                <w:sz w:val="16"/>
                <w:szCs w:val="16"/>
                <w:color w:val="auto"/>
              </w:rPr>
            </w:pPr>
          </w:p>
        </w:tc>
        <w:tc>
          <w:tcPr>
            <w:tcW w:w="880" w:type="dxa"/>
            <w:vAlign w:val="bottom"/>
            <w:gridSpan w:val="18"/>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(k)(6)</w:t>
            </w:r>
          </w:p>
        </w:tc>
        <w:tc>
          <w:tcPr>
            <w:tcW w:w="92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Limited Liability Company Agreement of PennantPark Senior Secured Loan Fund I LLC, dated as of May 4, 2017, by and between</w:t>
              </w:r>
            </w:hyperlink>
          </w:p>
        </w:tc>
        <w:tc>
          <w:tcPr>
            <w:tcW w:w="620" w:type="dxa"/>
            <w:vAlign w:val="bottom"/>
            <w:gridSpan w:val="13"/>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200" w:type="dxa"/>
            <w:vAlign w:val="bottom"/>
            <w:tcBorders>
              <w:bottom w:val="single" w:sz="8" w:color="0000EE"/>
            </w:tcBorders>
            <w:gridSpan w:val="18"/>
          </w:tcPr>
          <w:p>
            <w:pPr>
              <w:spacing w:after="0" w:line="190"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PennantPark Floating Rate Capital Ltd. and Trinity Universal Insurance Company (Incorporated by reference to Exhibit 10.1 to the</w:t>
              </w:r>
            </w:hyperlink>
          </w:p>
        </w:tc>
        <w:tc>
          <w:tcPr>
            <w:tcW w:w="660" w:type="dxa"/>
            <w:vAlign w:val="bottom"/>
            <w:gridSpan w:val="14"/>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32"/>
          </w:tcPr>
          <w:p>
            <w:pPr>
              <w:spacing w:after="0" w:line="190"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Registrant’s Quarterly Report on Form 10-Q (File No. 814-00891), filed on August 8, 2017).</w:t>
              </w:r>
            </w:hyperlink>
          </w:p>
        </w:tc>
      </w:tr>
      <w:tr>
        <w:trPr>
          <w:trHeight w:val="20"/>
        </w:trPr>
        <w:tc>
          <w:tcPr>
            <w:tcW w:w="100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3180" w:type="dxa"/>
            <w:vAlign w:val="bottom"/>
            <w:gridSpan w:val="2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(k)(7)</w:t>
            </w:r>
          </w:p>
        </w:tc>
        <w:tc>
          <w:tcPr>
            <w:tcW w:w="9860" w:type="dxa"/>
            <w:vAlign w:val="bottom"/>
            <w:gridSpan w:val="32"/>
          </w:tcPr>
          <w:p>
            <w:pPr>
              <w:spacing w:after="0"/>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Indemnification Agreement, dated as of November 15, 2016, between PennantPark Floating Rate Capital Ltd. and each of the directors and</w:t>
              </w:r>
            </w:hyperlink>
          </w:p>
        </w:tc>
      </w:tr>
      <w:tr>
        <w:trPr>
          <w:trHeight w:val="191"/>
        </w:trPr>
        <w:tc>
          <w:tcPr>
            <w:tcW w:w="1000" w:type="dxa"/>
            <w:vAlign w:val="bottom"/>
          </w:tcPr>
          <w:p>
            <w:pPr>
              <w:spacing w:after="0"/>
              <w:rPr>
                <w:sz w:val="16"/>
                <w:szCs w:val="16"/>
                <w:color w:val="auto"/>
              </w:rPr>
            </w:pPr>
          </w:p>
        </w:tc>
        <w:tc>
          <w:tcPr>
            <w:tcW w:w="9680" w:type="dxa"/>
            <w:vAlign w:val="bottom"/>
            <w:tcBorders>
              <w:top w:val="single" w:sz="8" w:color="0000EE"/>
              <w:bottom w:val="single" w:sz="8" w:color="0000EE"/>
            </w:tcBorders>
            <w:gridSpan w:val="28"/>
          </w:tcPr>
          <w:p>
            <w:pPr>
              <w:spacing w:after="0" w:line="190" w:lineRule="exact"/>
              <w:rPr>
                <w:rFonts w:ascii="Times New Roman" w:cs="Times New Roman" w:eastAsia="Times New Roman" w:hAnsi="Times New Roman"/>
                <w:sz w:val="18"/>
                <w:szCs w:val="18"/>
                <w:color w:val="0000EE"/>
                <w:w w:val="97"/>
              </w:rPr>
            </w:pPr>
            <w:hyperlink r:id="rId147">
              <w:r>
                <w:rPr>
                  <w:rFonts w:ascii="Times New Roman" w:cs="Times New Roman" w:eastAsia="Times New Roman" w:hAnsi="Times New Roman"/>
                  <w:sz w:val="18"/>
                  <w:szCs w:val="18"/>
                  <w:color w:val="0000EE"/>
                  <w:w w:val="97"/>
                </w:rPr>
                <w:t>officers listed on Schedule A attached thereto (Incorporated by reference to Exhibit 10.6 on the Registrant’s Annual Report on Form 10-K</w:t>
              </w:r>
            </w:hyperlink>
          </w:p>
        </w:tc>
        <w:tc>
          <w:tcPr>
            <w:tcW w:w="80" w:type="dxa"/>
            <w:vAlign w:val="bottom"/>
            <w:tcBorders>
              <w:top w:val="single" w:sz="8" w:color="0000EE"/>
            </w:tcBorders>
            <w:gridSpan w:val="2"/>
          </w:tcPr>
          <w:p>
            <w:pPr>
              <w:spacing w:after="0"/>
              <w:rPr>
                <w:sz w:val="16"/>
                <w:szCs w:val="16"/>
                <w:color w:val="auto"/>
              </w:rPr>
            </w:pPr>
          </w:p>
        </w:tc>
        <w:tc>
          <w:tcPr>
            <w:tcW w:w="100" w:type="dxa"/>
            <w:vAlign w:val="bottom"/>
            <w:gridSpan w:val="2"/>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32"/>
          </w:tcPr>
          <w:p>
            <w:pPr>
              <w:spacing w:after="0" w:line="190"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(File No. 814-00891), filed on November 22, 2016).</w:t>
              </w:r>
            </w:hyperlink>
          </w:p>
        </w:tc>
      </w:tr>
      <w:tr>
        <w:trPr>
          <w:trHeight w:val="387"/>
        </w:trPr>
        <w:tc>
          <w:tcPr>
            <w:tcW w:w="1000" w:type="dxa"/>
            <w:vAlign w:val="bottom"/>
          </w:tcPr>
          <w:p>
            <w:pPr>
              <w:spacing w:after="0"/>
              <w:rPr>
                <w:sz w:val="24"/>
                <w:szCs w:val="24"/>
                <w:color w:val="auto"/>
              </w:rPr>
            </w:pPr>
          </w:p>
        </w:tc>
        <w:tc>
          <w:tcPr>
            <w:tcW w:w="3660" w:type="dxa"/>
            <w:vAlign w:val="bottom"/>
            <w:tcBorders>
              <w:top w:val="single" w:sz="8" w:color="0000EE"/>
            </w:tcBorders>
            <w:gridSpan w:val="4"/>
          </w:tcPr>
          <w:p>
            <w:pPr>
              <w:spacing w:after="0"/>
              <w:rPr>
                <w:sz w:val="24"/>
                <w:szCs w:val="24"/>
                <w:color w:val="auto"/>
              </w:rPr>
            </w:pPr>
          </w:p>
        </w:tc>
        <w:tc>
          <w:tcPr>
            <w:tcW w:w="2320" w:type="dxa"/>
            <w:vAlign w:val="bottom"/>
            <w:gridSpan w:val="2"/>
          </w:tcPr>
          <w:p>
            <w:pPr>
              <w:jc w:val="right"/>
              <w:ind w:right="1640"/>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60"/>
          </w:cols>
          <w:pgMar w:left="700" w:top="275" w:right="339" w:bottom="144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(k)(8)</w:t>
            </w: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6"/>
              </w:rPr>
            </w:pPr>
            <w:hyperlink r:id="rId149">
              <w:r>
                <w:rPr>
                  <w:rFonts w:ascii="Times New Roman" w:cs="Times New Roman" w:eastAsia="Times New Roman" w:hAnsi="Times New Roman"/>
                  <w:sz w:val="18"/>
                  <w:szCs w:val="18"/>
                  <w:color w:val="0000EE"/>
                  <w:w w:val="96"/>
                </w:rPr>
                <w:t>Credit Agreement, dated as of September 19, 2019, by and among PennantPark CLO I, Ltd., as borrower, PennantPark CLO I, LLC, as</w:t>
              </w:r>
            </w:hyperlink>
          </w:p>
        </w:tc>
        <w:tc>
          <w:tcPr>
            <w:tcW w:w="380" w:type="dxa"/>
            <w:vAlign w:val="bottom"/>
            <w:gridSpan w:val="13"/>
          </w:tcPr>
          <w:p>
            <w:pPr>
              <w:spacing w:after="0"/>
              <w:rPr>
                <w:sz w:val="17"/>
                <w:szCs w:val="17"/>
                <w:color w:val="auto"/>
              </w:rPr>
            </w:pPr>
          </w:p>
        </w:tc>
      </w:tr>
      <w:tr>
        <w:trPr>
          <w:trHeight w:val="191"/>
        </w:trPr>
        <w:tc>
          <w:tcPr>
            <w:tcW w:w="1000" w:type="dxa"/>
            <w:vAlign w:val="bottom"/>
          </w:tcPr>
          <w:p>
            <w:pPr>
              <w:spacing w:after="0"/>
              <w:rPr>
                <w:sz w:val="16"/>
                <w:szCs w:val="16"/>
                <w:color w:val="auto"/>
              </w:rPr>
            </w:pPr>
          </w:p>
        </w:tc>
        <w:tc>
          <w:tcPr>
            <w:tcW w:w="9760" w:type="dxa"/>
            <w:vAlign w:val="bottom"/>
            <w:tcBorders>
              <w:bottom w:val="single" w:sz="8" w:color="0000EE"/>
            </w:tcBorders>
            <w:gridSpan w:val="24"/>
          </w:tcPr>
          <w:p>
            <w:pPr>
              <w:spacing w:after="0" w:line="190" w:lineRule="exact"/>
              <w:rPr>
                <w:rFonts w:ascii="Times New Roman" w:cs="Times New Roman" w:eastAsia="Times New Roman" w:hAnsi="Times New Roman"/>
                <w:sz w:val="18"/>
                <w:szCs w:val="18"/>
                <w:color w:val="0000EE"/>
                <w:w w:val="97"/>
              </w:rPr>
            </w:pPr>
            <w:hyperlink r:id="rId149">
              <w:r>
                <w:rPr>
                  <w:rFonts w:ascii="Times New Roman" w:cs="Times New Roman" w:eastAsia="Times New Roman" w:hAnsi="Times New Roman"/>
                  <w:sz w:val="18"/>
                  <w:szCs w:val="18"/>
                  <w:color w:val="0000EE"/>
                  <w:w w:val="97"/>
                </w:rPr>
                <w:t>co-borrower, the various financial institutions party thereto from time to time, as lenders, and U.S. Bank National Association, as collateral</w:t>
              </w:r>
            </w:hyperlink>
          </w:p>
        </w:tc>
        <w:tc>
          <w:tcPr>
            <w:tcW w:w="100" w:type="dxa"/>
            <w:vAlign w:val="bottom"/>
            <w:gridSpan w:val="5"/>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620" w:type="dxa"/>
            <w:vAlign w:val="bottom"/>
            <w:tcBorders>
              <w:bottom w:val="single" w:sz="8" w:color="0000EE"/>
            </w:tcBorders>
            <w:gridSpan w:val="21"/>
          </w:tcPr>
          <w:p>
            <w:pPr>
              <w:spacing w:after="0" w:line="190" w:lineRule="exact"/>
              <w:rPr>
                <w:rFonts w:ascii="Times New Roman" w:cs="Times New Roman" w:eastAsia="Times New Roman" w:hAnsi="Times New Roman"/>
                <w:sz w:val="18"/>
                <w:szCs w:val="18"/>
                <w:color w:val="0000EE"/>
                <w:w w:val="97"/>
              </w:rPr>
            </w:pPr>
            <w:hyperlink r:id="rId149">
              <w:r>
                <w:rPr>
                  <w:rFonts w:ascii="Times New Roman" w:cs="Times New Roman" w:eastAsia="Times New Roman" w:hAnsi="Times New Roman"/>
                  <w:sz w:val="18"/>
                  <w:szCs w:val="18"/>
                  <w:color w:val="0000EE"/>
                  <w:w w:val="97"/>
                </w:rPr>
                <w:t>agent and as loan agent (Incorporated by reference to Exhibit 99.3 to the Registrant’s Current Report on Form 8-K (File No. 814-00891),</w:t>
              </w:r>
            </w:hyperlink>
          </w:p>
        </w:tc>
        <w:tc>
          <w:tcPr>
            <w:tcW w:w="240" w:type="dxa"/>
            <w:vAlign w:val="bottom"/>
            <w:gridSpan w:val="8"/>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filed on September 20, 2019).</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(k)(9)</w:t>
            </w:r>
          </w:p>
        </w:tc>
        <w:tc>
          <w:tcPr>
            <w:tcW w:w="92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Collateral Management Agreement, dated as of September 19, 2019, between PennantPark CLO I, Ltd., as issuer, and PennantPark</w:t>
              </w:r>
            </w:hyperlink>
          </w:p>
        </w:tc>
        <w:tc>
          <w:tcPr>
            <w:tcW w:w="660" w:type="dxa"/>
            <w:vAlign w:val="bottom"/>
            <w:gridSpan w:val="16"/>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Investment Advisers, LLC, as collateral manager (Incorporated by reference to Exhibit 99.4 to the Registrant’s Current Report on Form 8-K</w:t>
              </w:r>
            </w:hyperlink>
          </w:p>
        </w:tc>
      </w:tr>
      <w:tr>
        <w:trPr>
          <w:trHeight w:val="191"/>
        </w:trPr>
        <w:tc>
          <w:tcPr>
            <w:tcW w:w="1000" w:type="dxa"/>
            <w:vAlign w:val="bottom"/>
          </w:tcPr>
          <w:p>
            <w:pPr>
              <w:spacing w:after="0"/>
              <w:rPr>
                <w:sz w:val="16"/>
                <w:szCs w:val="16"/>
                <w:color w:val="auto"/>
              </w:rPr>
            </w:pPr>
          </w:p>
        </w:tc>
        <w:tc>
          <w:tcPr>
            <w:tcW w:w="3680" w:type="dxa"/>
            <w:vAlign w:val="bottom"/>
            <w:tcBorders>
              <w:top w:val="single" w:sz="8" w:color="0000EE"/>
              <w:bottom w:val="single" w:sz="8" w:color="0000EE"/>
            </w:tcBorders>
            <w:gridSpan w:val="7"/>
          </w:tcPr>
          <w:p>
            <w:pPr>
              <w:spacing w:after="0" w:line="190" w:lineRule="exact"/>
              <w:rPr>
                <w:rFonts w:ascii="Times New Roman" w:cs="Times New Roman" w:eastAsia="Times New Roman" w:hAnsi="Times New Roman"/>
                <w:sz w:val="18"/>
                <w:szCs w:val="18"/>
                <w:color w:val="0000EE"/>
                <w:w w:val="96"/>
              </w:rPr>
            </w:pPr>
            <w:hyperlink r:id="rId150">
              <w:r>
                <w:rPr>
                  <w:rFonts w:ascii="Times New Roman" w:cs="Times New Roman" w:eastAsia="Times New Roman" w:hAnsi="Times New Roman"/>
                  <w:sz w:val="18"/>
                  <w:szCs w:val="18"/>
                  <w:color w:val="0000EE"/>
                  <w:w w:val="96"/>
                </w:rPr>
                <w:t>(File No. 814-00891), filed on September 20, 2019).</w:t>
              </w:r>
            </w:hyperlink>
          </w:p>
        </w:tc>
        <w:tc>
          <w:tcPr>
            <w:tcW w:w="6140" w:type="dxa"/>
            <w:vAlign w:val="bottom"/>
            <w:tcBorders>
              <w:top w:val="single" w:sz="8" w:color="0000EE"/>
            </w:tcBorders>
            <w:gridSpan w:val="20"/>
          </w:tcPr>
          <w:p>
            <w:pPr>
              <w:spacing w:after="0"/>
              <w:rPr>
                <w:sz w:val="16"/>
                <w:szCs w:val="16"/>
                <w:color w:val="auto"/>
              </w:rPr>
            </w:pPr>
          </w:p>
        </w:tc>
        <w:tc>
          <w:tcPr>
            <w:tcW w:w="40" w:type="dxa"/>
            <w:vAlign w:val="bottom"/>
            <w:gridSpan w:val="2"/>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(k)(10)</w:t>
            </w:r>
          </w:p>
        </w:tc>
        <w:tc>
          <w:tcPr>
            <w:tcW w:w="9860" w:type="dxa"/>
            <w:vAlign w:val="bottom"/>
            <w:gridSpan w:val="29"/>
          </w:tcPr>
          <w:p>
            <w:pPr>
              <w:spacing w:after="0"/>
              <w:rPr>
                <w:rFonts w:ascii="Times New Roman" w:cs="Times New Roman" w:eastAsia="Times New Roman" w:hAnsi="Times New Roman"/>
                <w:sz w:val="18"/>
                <w:szCs w:val="18"/>
                <w:color w:val="0000EE"/>
                <w:w w:val="97"/>
              </w:rPr>
            </w:pPr>
            <w:hyperlink r:id="rId151">
              <w:r>
                <w:rPr>
                  <w:rFonts w:ascii="Times New Roman" w:cs="Times New Roman" w:eastAsia="Times New Roman" w:hAnsi="Times New Roman"/>
                  <w:sz w:val="18"/>
                  <w:szCs w:val="18"/>
                  <w:color w:val="0000EE"/>
                  <w:w w:val="97"/>
                </w:rPr>
                <w:t>Master Loan Sale Agreement, dated as of September 19, 2019, among PennantPark Floating Rate Capital Ltd., as seller, PennantPark CLO I</w:t>
              </w:r>
            </w:hyperlink>
          </w:p>
        </w:tc>
      </w:tr>
      <w:tr>
        <w:trPr>
          <w:trHeight w:val="191"/>
        </w:trPr>
        <w:tc>
          <w:tcPr>
            <w:tcW w:w="1000" w:type="dxa"/>
            <w:vAlign w:val="bottom"/>
          </w:tcPr>
          <w:p>
            <w:pPr>
              <w:spacing w:after="0"/>
              <w:rPr>
                <w:sz w:val="16"/>
                <w:szCs w:val="16"/>
                <w:color w:val="auto"/>
              </w:rPr>
            </w:pPr>
          </w:p>
        </w:tc>
        <w:tc>
          <w:tcPr>
            <w:tcW w:w="9840" w:type="dxa"/>
            <w:vAlign w:val="bottom"/>
            <w:tcBorders>
              <w:top w:val="single" w:sz="8" w:color="0000EE"/>
            </w:tcBorders>
            <w:gridSpan w:val="28"/>
          </w:tcPr>
          <w:p>
            <w:pPr>
              <w:spacing w:after="0" w:line="190" w:lineRule="exact"/>
              <w:rPr>
                <w:rFonts w:ascii="Times New Roman" w:cs="Times New Roman" w:eastAsia="Times New Roman" w:hAnsi="Times New Roman"/>
                <w:sz w:val="18"/>
                <w:szCs w:val="18"/>
                <w:color w:val="0000EE"/>
                <w:w w:val="97"/>
              </w:rPr>
            </w:pPr>
            <w:hyperlink r:id="rId151">
              <w:r>
                <w:rPr>
                  <w:rFonts w:ascii="Times New Roman" w:cs="Times New Roman" w:eastAsia="Times New Roman" w:hAnsi="Times New Roman"/>
                  <w:sz w:val="18"/>
                  <w:szCs w:val="18"/>
                  <w:color w:val="0000EE"/>
                  <w:w w:val="97"/>
                </w:rPr>
                <w:t>Depositor, LLC, as intermediate seller, and PennantPark CLO I Ltd., as buyer (Incorporated by reference to Exhibit 99.5 to the Registrant’s</w:t>
              </w:r>
            </w:hyperlink>
          </w:p>
        </w:tc>
        <w:tc>
          <w:tcPr>
            <w:tcW w:w="20" w:type="dxa"/>
            <w:vAlign w:val="bottom"/>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5740" w:type="dxa"/>
            <w:vAlign w:val="bottom"/>
            <w:tcBorders>
              <w:top w:val="single" w:sz="8" w:color="0000EE"/>
              <w:bottom w:val="single" w:sz="8" w:color="0000EE"/>
            </w:tcBorders>
            <w:gridSpan w:val="8"/>
          </w:tcPr>
          <w:p>
            <w:pPr>
              <w:spacing w:after="0" w:line="190" w:lineRule="exact"/>
              <w:rPr>
                <w:rFonts w:ascii="Times New Roman" w:cs="Times New Roman" w:eastAsia="Times New Roman" w:hAnsi="Times New Roman"/>
                <w:sz w:val="18"/>
                <w:szCs w:val="18"/>
                <w:color w:val="0000EE"/>
                <w:w w:val="97"/>
              </w:rPr>
            </w:pPr>
            <w:hyperlink r:id="rId151">
              <w:r>
                <w:rPr>
                  <w:rFonts w:ascii="Times New Roman" w:cs="Times New Roman" w:eastAsia="Times New Roman" w:hAnsi="Times New Roman"/>
                  <w:sz w:val="18"/>
                  <w:szCs w:val="18"/>
                  <w:color w:val="0000EE"/>
                  <w:w w:val="97"/>
                </w:rPr>
                <w:t>Current Report on Form 8-K (File No. 814-00891), filed on September 20, 2019).</w:t>
              </w:r>
            </w:hyperlink>
          </w:p>
        </w:tc>
        <w:tc>
          <w:tcPr>
            <w:tcW w:w="4020" w:type="dxa"/>
            <w:vAlign w:val="bottom"/>
            <w:tcBorders>
              <w:top w:val="single" w:sz="8" w:color="0000EE"/>
            </w:tcBorders>
            <w:gridSpan w:val="16"/>
          </w:tcPr>
          <w:p>
            <w:pPr>
              <w:spacing w:after="0"/>
              <w:rPr>
                <w:sz w:val="16"/>
                <w:szCs w:val="16"/>
                <w:color w:val="auto"/>
              </w:rPr>
            </w:pPr>
          </w:p>
        </w:tc>
        <w:tc>
          <w:tcPr>
            <w:tcW w:w="100" w:type="dxa"/>
            <w:vAlign w:val="bottom"/>
            <w:gridSpan w:val="5"/>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(k)(l1)</w:t>
            </w:r>
          </w:p>
        </w:tc>
        <w:tc>
          <w:tcPr>
            <w:tcW w:w="9860" w:type="dxa"/>
            <w:vAlign w:val="bottom"/>
            <w:gridSpan w:val="29"/>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Master Participation Agreement, dated as of September 19, 2019, between PennantPark Floating Rate Funding I, LLC, as seller and</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60" w:type="dxa"/>
            <w:vAlign w:val="bottom"/>
            <w:tcBorders>
              <w:bottom w:val="single" w:sz="8" w:color="0000EE"/>
            </w:tcBorders>
            <w:gridSpan w:val="29"/>
          </w:tcPr>
          <w:p>
            <w:pPr>
              <w:spacing w:after="0" w:line="190" w:lineRule="exact"/>
              <w:rPr>
                <w:rFonts w:ascii="Times New Roman" w:cs="Times New Roman" w:eastAsia="Times New Roman" w:hAnsi="Times New Roman"/>
                <w:sz w:val="18"/>
                <w:szCs w:val="18"/>
                <w:color w:val="0000EE"/>
                <w:w w:val="97"/>
              </w:rPr>
            </w:pPr>
            <w:hyperlink r:id="rId152">
              <w:r>
                <w:rPr>
                  <w:rFonts w:ascii="Times New Roman" w:cs="Times New Roman" w:eastAsia="Times New Roman" w:hAnsi="Times New Roman"/>
                  <w:sz w:val="18"/>
                  <w:szCs w:val="18"/>
                  <w:color w:val="0000EE"/>
                  <w:w w:val="97"/>
                </w:rPr>
                <w:t>PennantPark CLO I, Ltd., as buyer (Incorporated by reference to Exhibit 99.6 to the Registrant’s Current Report on Form 8-K (File No. 814-</w:t>
              </w:r>
            </w:hyperlink>
          </w:p>
        </w:tc>
      </w:tr>
      <w:tr>
        <w:trPr>
          <w:trHeight w:val="191"/>
        </w:trPr>
        <w:tc>
          <w:tcPr>
            <w:tcW w:w="1000" w:type="dxa"/>
            <w:vAlign w:val="bottom"/>
          </w:tcPr>
          <w:p>
            <w:pPr>
              <w:spacing w:after="0"/>
              <w:rPr>
                <w:sz w:val="16"/>
                <w:szCs w:val="16"/>
                <w:color w:val="auto"/>
              </w:rPr>
            </w:pPr>
          </w:p>
        </w:tc>
        <w:tc>
          <w:tcPr>
            <w:tcW w:w="2680" w:type="dxa"/>
            <w:vAlign w:val="bottom"/>
            <w:tcBorders>
              <w:bottom w:val="single" w:sz="8" w:color="0000EE"/>
            </w:tcBorders>
            <w:gridSpan w:val="6"/>
          </w:tcPr>
          <w:p>
            <w:pPr>
              <w:spacing w:after="0" w:line="190" w:lineRule="exact"/>
              <w:rPr>
                <w:rFonts w:ascii="Times New Roman" w:cs="Times New Roman" w:eastAsia="Times New Roman" w:hAnsi="Times New Roman"/>
                <w:sz w:val="18"/>
                <w:szCs w:val="18"/>
                <w:color w:val="0000EE"/>
                <w:w w:val="96"/>
              </w:rPr>
            </w:pPr>
            <w:hyperlink r:id="rId152">
              <w:r>
                <w:rPr>
                  <w:rFonts w:ascii="Times New Roman" w:cs="Times New Roman" w:eastAsia="Times New Roman" w:hAnsi="Times New Roman"/>
                  <w:sz w:val="18"/>
                  <w:szCs w:val="18"/>
                  <w:color w:val="0000EE"/>
                  <w:w w:val="96"/>
                </w:rPr>
                <w:t>00891)</w:t>
              </w:r>
              <w:r>
                <w:rPr>
                  <w:rFonts w:ascii="Times New Roman" w:cs="Times New Roman" w:eastAsia="Times New Roman" w:hAnsi="Times New Roman"/>
                  <w:sz w:val="18"/>
                  <w:szCs w:val="18"/>
                  <w:u w:val="single" w:color="auto"/>
                  <w:color w:val="0000EE"/>
                  <w:w w:val="96"/>
                </w:rPr>
                <w:t>,</w:t>
              </w:r>
              <w:r>
                <w:rPr>
                  <w:rFonts w:ascii="Times New Roman" w:cs="Times New Roman" w:eastAsia="Times New Roman" w:hAnsi="Times New Roman"/>
                  <w:sz w:val="18"/>
                  <w:szCs w:val="18"/>
                  <w:color w:val="0000EE"/>
                  <w:w w:val="96"/>
                </w:rPr>
                <w:t xml:space="preserve"> filed on September 20, 2019).</w:t>
              </w:r>
            </w:hyperlink>
          </w:p>
        </w:tc>
        <w:tc>
          <w:tcPr>
            <w:tcW w:w="7180" w:type="dxa"/>
            <w:vAlign w:val="bottom"/>
            <w:gridSpan w:val="23"/>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(k)(12)</w:t>
            </w:r>
          </w:p>
        </w:tc>
        <w:tc>
          <w:tcPr>
            <w:tcW w:w="9860" w:type="dxa"/>
            <w:vAlign w:val="bottom"/>
            <w:gridSpan w:val="29"/>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Underwriting Agreement, dated August 8, 2022, among PennantPark Floating Rate Capital Ltd., PennantPark Investment Advisers, LLC,</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700" w:type="dxa"/>
            <w:vAlign w:val="bottom"/>
            <w:tcBorders>
              <w:bottom w:val="single" w:sz="8" w:color="0000EE"/>
            </w:tcBorders>
            <w:gridSpan w:val="23"/>
          </w:tcPr>
          <w:p>
            <w:pPr>
              <w:spacing w:after="0" w:line="190" w:lineRule="exact"/>
              <w:rPr>
                <w:rFonts w:ascii="Times New Roman" w:cs="Times New Roman" w:eastAsia="Times New Roman" w:hAnsi="Times New Roman"/>
                <w:sz w:val="18"/>
                <w:szCs w:val="18"/>
                <w:color w:val="0000EE"/>
                <w:w w:val="96"/>
              </w:rPr>
            </w:pPr>
            <w:hyperlink r:id="rId153">
              <w:r>
                <w:rPr>
                  <w:rFonts w:ascii="Times New Roman" w:cs="Times New Roman" w:eastAsia="Times New Roman" w:hAnsi="Times New Roman"/>
                  <w:sz w:val="18"/>
                  <w:szCs w:val="18"/>
                  <w:color w:val="0000EE"/>
                  <w:w w:val="96"/>
                </w:rPr>
                <w:t>PennantPark Investment Administration, LLC, and Morgan Stanley &amp; Co. LLC, Goldman Sachs &amp; Co. LLC, J.P. Morgan Securities LLC,</w:t>
              </w:r>
            </w:hyperlink>
          </w:p>
        </w:tc>
        <w:tc>
          <w:tcPr>
            <w:tcW w:w="160" w:type="dxa"/>
            <w:vAlign w:val="bottom"/>
            <w:gridSpan w:val="6"/>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00" w:type="dxa"/>
            <w:vAlign w:val="bottom"/>
            <w:tcBorders>
              <w:bottom w:val="single" w:sz="8" w:color="0000EE"/>
            </w:tcBorders>
            <w:gridSpan w:val="26"/>
          </w:tcPr>
          <w:p>
            <w:pPr>
              <w:spacing w:after="0" w:line="190" w:lineRule="exact"/>
              <w:rPr>
                <w:rFonts w:ascii="Times New Roman" w:cs="Times New Roman" w:eastAsia="Times New Roman" w:hAnsi="Times New Roman"/>
                <w:sz w:val="18"/>
                <w:szCs w:val="18"/>
                <w:color w:val="0000EE"/>
                <w:w w:val="96"/>
              </w:rPr>
            </w:pPr>
            <w:hyperlink r:id="rId153">
              <w:r>
                <w:rPr>
                  <w:rFonts w:ascii="Times New Roman" w:cs="Times New Roman" w:eastAsia="Times New Roman" w:hAnsi="Times New Roman"/>
                  <w:sz w:val="18"/>
                  <w:szCs w:val="18"/>
                  <w:color w:val="0000EE"/>
                  <w:w w:val="96"/>
                </w:rPr>
                <w:t>Keefe, Bruyette &amp; Woods, Inc., RBC Capital Markets, LLC and Truist Securities, Inc., as representatives of the several underwriters named</w:t>
              </w:r>
            </w:hyperlink>
          </w:p>
        </w:tc>
        <w:tc>
          <w:tcPr>
            <w:tcW w:w="60" w:type="dxa"/>
            <w:vAlign w:val="bottom"/>
            <w:gridSpan w:val="3"/>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w w:val="97"/>
              </w:rPr>
            </w:pPr>
            <w:hyperlink r:id="rId153">
              <w:r>
                <w:rPr>
                  <w:rFonts w:ascii="Times New Roman" w:cs="Times New Roman" w:eastAsia="Times New Roman" w:hAnsi="Times New Roman"/>
                  <w:sz w:val="18"/>
                  <w:szCs w:val="18"/>
                  <w:color w:val="0000EE"/>
                  <w:w w:val="97"/>
                </w:rPr>
                <w:t>on Schedule A thereto (Incorporated by reference to Exhibit 1.1 to the Registrant’s Current Report on Form 8-K (File No. 814-00891), filed</w:t>
              </w:r>
            </w:hyperlink>
          </w:p>
        </w:tc>
      </w:tr>
      <w:tr>
        <w:trPr>
          <w:trHeight w:val="191"/>
        </w:trPr>
        <w:tc>
          <w:tcPr>
            <w:tcW w:w="100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2"/>
          </w:tcPr>
          <w:p>
            <w:pPr>
              <w:spacing w:after="0" w:line="190" w:lineRule="exact"/>
              <w:rPr>
                <w:rFonts w:ascii="Times New Roman" w:cs="Times New Roman" w:eastAsia="Times New Roman" w:hAnsi="Times New Roman"/>
                <w:sz w:val="18"/>
                <w:szCs w:val="18"/>
                <w:color w:val="0000EE"/>
                <w:w w:val="95"/>
              </w:rPr>
            </w:pPr>
            <w:hyperlink r:id="rId153">
              <w:r>
                <w:rPr>
                  <w:rFonts w:ascii="Times New Roman" w:cs="Times New Roman" w:eastAsia="Times New Roman" w:hAnsi="Times New Roman"/>
                  <w:sz w:val="18"/>
                  <w:szCs w:val="18"/>
                  <w:color w:val="0000EE"/>
                  <w:w w:val="95"/>
                </w:rPr>
                <w:t>on August 11, 2022).</w:t>
              </w:r>
            </w:hyperlink>
          </w:p>
        </w:tc>
        <w:tc>
          <w:tcPr>
            <w:tcW w:w="8320" w:type="dxa"/>
            <w:vAlign w:val="bottom"/>
            <w:tcBorders>
              <w:top w:val="single" w:sz="8" w:color="0000EE"/>
            </w:tcBorders>
            <w:gridSpan w:val="24"/>
          </w:tcPr>
          <w:p>
            <w:pPr>
              <w:spacing w:after="0"/>
              <w:rPr>
                <w:sz w:val="16"/>
                <w:szCs w:val="16"/>
                <w:color w:val="auto"/>
              </w:rPr>
            </w:pPr>
          </w:p>
        </w:tc>
        <w:tc>
          <w:tcPr>
            <w:tcW w:w="60" w:type="dxa"/>
            <w:vAlign w:val="bottom"/>
            <w:gridSpan w:val="3"/>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(k)(13)</w:t>
            </w:r>
          </w:p>
        </w:tc>
        <w:tc>
          <w:tcPr>
            <w:tcW w:w="96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r:id="rId154">
              <w:r>
                <w:rPr>
                  <w:rFonts w:ascii="Times New Roman" w:cs="Times New Roman" w:eastAsia="Times New Roman" w:hAnsi="Times New Roman"/>
                  <w:sz w:val="18"/>
                  <w:szCs w:val="18"/>
                  <w:color w:val="0000EE"/>
                  <w:w w:val="97"/>
                </w:rPr>
                <w:t>First Amendment to Revolving Credit and Security Agreement, dated September 15, 2022, among PennantPark Floating Rate Funding I,</w:t>
              </w:r>
            </w:hyperlink>
          </w:p>
        </w:tc>
        <w:tc>
          <w:tcPr>
            <w:tcW w:w="260" w:type="dxa"/>
            <w:vAlign w:val="bottom"/>
            <w:gridSpan w:val="9"/>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LLC, PennantPark Investment Advisers, LLC, the lenders from time to time party thereto, Truist Bank, as administrative agent and</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swingline lender, U.S. Bank National Association, as collateral agent, custodian, collateral administrator and backup collateral manager</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(Incorporated by reference to Exhibit 10.1 to the Registrant’s Current Report on Form 8-K (File No. 814-00891), filed on September 21,</w:t>
              </w:r>
            </w:hyperlink>
          </w:p>
        </w:tc>
      </w:tr>
      <w:tr>
        <w:trPr>
          <w:trHeight w:val="191"/>
        </w:trPr>
        <w:tc>
          <w:tcPr>
            <w:tcW w:w="1000" w:type="dxa"/>
            <w:vAlign w:val="bottom"/>
          </w:tcPr>
          <w:p>
            <w:pPr>
              <w:spacing w:after="0"/>
              <w:rPr>
                <w:sz w:val="16"/>
                <w:szCs w:val="16"/>
                <w:color w:val="auto"/>
              </w:rPr>
            </w:pPr>
          </w:p>
        </w:tc>
        <w:tc>
          <w:tcPr>
            <w:tcW w:w="440" w:type="dxa"/>
            <w:vAlign w:val="bottom"/>
            <w:tcBorders>
              <w:top w:val="single" w:sz="8" w:color="0000EE"/>
              <w:bottom w:val="single" w:sz="8" w:color="0000EE"/>
            </w:tcBorders>
          </w:tcPr>
          <w:p>
            <w:pPr>
              <w:spacing w:after="0" w:line="190" w:lineRule="exact"/>
              <w:rPr>
                <w:rFonts w:ascii="Times New Roman" w:cs="Times New Roman" w:eastAsia="Times New Roman" w:hAnsi="Times New Roman"/>
                <w:sz w:val="18"/>
                <w:szCs w:val="18"/>
                <w:color w:val="0000EE"/>
                <w:w w:val="90"/>
              </w:rPr>
            </w:pPr>
            <w:hyperlink r:id="rId154">
              <w:r>
                <w:rPr>
                  <w:rFonts w:ascii="Times New Roman" w:cs="Times New Roman" w:eastAsia="Times New Roman" w:hAnsi="Times New Roman"/>
                  <w:sz w:val="18"/>
                  <w:szCs w:val="18"/>
                  <w:color w:val="0000EE"/>
                  <w:w w:val="90"/>
                </w:rPr>
                <w:t>2022).</w:t>
              </w:r>
            </w:hyperlink>
          </w:p>
        </w:tc>
        <w:tc>
          <w:tcPr>
            <w:tcW w:w="10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(k)(14)</w:t>
            </w:r>
          </w:p>
        </w:tc>
        <w:tc>
          <w:tcPr>
            <w:tcW w:w="97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7"/>
              </w:rPr>
            </w:pPr>
            <w:hyperlink r:id="rId155">
              <w:r>
                <w:rPr>
                  <w:rFonts w:ascii="Times New Roman" w:cs="Times New Roman" w:eastAsia="Times New Roman" w:hAnsi="Times New Roman"/>
                  <w:sz w:val="18"/>
                  <w:szCs w:val="18"/>
                  <w:color w:val="0000EE"/>
                  <w:w w:val="97"/>
                </w:rPr>
                <w:t>Underwriting Agreement, dated January 23, 2023, among PennantPark Floating Rate Capital Ltd., PennantPark Investment Advisers, LLC,</w:t>
              </w:r>
            </w:hyperlink>
          </w:p>
        </w:tc>
        <w:tc>
          <w:tcPr>
            <w:tcW w:w="80" w:type="dxa"/>
            <w:vAlign w:val="bottom"/>
            <w:gridSpan w:val="4"/>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PennantPark Investment Administration, LLC, and Morgan Stanley &amp; Co. LLC, UBS Securities LLC, Goldman Sachs &amp; Co. LLC, J.P.</w:t>
              </w:r>
            </w:hyperlink>
          </w:p>
        </w:tc>
      </w:tr>
      <w:tr>
        <w:trPr>
          <w:trHeight w:val="20"/>
        </w:trPr>
        <w:tc>
          <w:tcPr>
            <w:tcW w:w="10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540" w:type="dxa"/>
            <w:vAlign w:val="bottom"/>
            <w:tcBorders>
              <w:bottom w:val="single" w:sz="8" w:color="0000EE"/>
            </w:tcBorders>
            <w:gridSpan w:val="17"/>
          </w:tcPr>
          <w:p>
            <w:pPr>
              <w:spacing w:after="0" w:line="190" w:lineRule="exact"/>
              <w:rPr>
                <w:rFonts w:ascii="Times New Roman" w:cs="Times New Roman" w:eastAsia="Times New Roman" w:hAnsi="Times New Roman"/>
                <w:sz w:val="18"/>
                <w:szCs w:val="18"/>
                <w:color w:val="0000EE"/>
                <w:w w:val="97"/>
              </w:rPr>
            </w:pPr>
            <w:hyperlink r:id="rId155">
              <w:r>
                <w:rPr>
                  <w:rFonts w:ascii="Times New Roman" w:cs="Times New Roman" w:eastAsia="Times New Roman" w:hAnsi="Times New Roman"/>
                  <w:sz w:val="18"/>
                  <w:szCs w:val="18"/>
                  <w:color w:val="0000EE"/>
                  <w:w w:val="97"/>
                </w:rPr>
                <w:t>Morgan Securities LLC and Keefe, Bruyette &amp; Woods, Inc., as representatives of the several underwriters named on Schedule A thereto</w:t>
              </w:r>
            </w:hyperlink>
          </w:p>
        </w:tc>
        <w:tc>
          <w:tcPr>
            <w:tcW w:w="320" w:type="dxa"/>
            <w:vAlign w:val="bottom"/>
            <w:gridSpan w:val="12"/>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(Incorporated by reference to Exhibit 1.1 to the Registrant’s Form 8-K (File No. 814-00891), filed on January 26, 2023).</w:t>
              </w:r>
            </w:hyperlink>
          </w:p>
        </w:tc>
      </w:tr>
      <w:tr>
        <w:trPr>
          <w:trHeight w:val="20"/>
        </w:trPr>
        <w:tc>
          <w:tcPr>
            <w:tcW w:w="10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(k)(15)</w:t>
            </w:r>
          </w:p>
        </w:tc>
        <w:tc>
          <w:tcPr>
            <w:tcW w:w="91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r:id="rId156">
              <w:r>
                <w:rPr>
                  <w:rFonts w:ascii="Times New Roman" w:cs="Times New Roman" w:eastAsia="Times New Roman" w:hAnsi="Times New Roman"/>
                  <w:sz w:val="18"/>
                  <w:szCs w:val="18"/>
                  <w:color w:val="0000EE"/>
                  <w:w w:val="97"/>
                </w:rPr>
                <w:t>Indenture, dated as of February 22, 2024, by and between PennantPark CLO VIII, LLC, as issuer, and Wilmington Trust, National</w:t>
              </w:r>
            </w:hyperlink>
          </w:p>
        </w:tc>
        <w:tc>
          <w:tcPr>
            <w:tcW w:w="680" w:type="dxa"/>
            <w:vAlign w:val="bottom"/>
            <w:gridSpan w:val="17"/>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w w:val="97"/>
              </w:rPr>
            </w:pPr>
            <w:hyperlink r:id="rId156">
              <w:r>
                <w:rPr>
                  <w:rFonts w:ascii="Times New Roman" w:cs="Times New Roman" w:eastAsia="Times New Roman" w:hAnsi="Times New Roman"/>
                  <w:sz w:val="18"/>
                  <w:szCs w:val="18"/>
                  <w:color w:val="0000EE"/>
                  <w:w w:val="97"/>
                </w:rPr>
                <w:t>Association, as trustee and as collateral agent (Incorporated by reference to Exhibit 10.1 to the Registrant’s Form 8-K (File No. 814-00891),</w:t>
              </w:r>
            </w:hyperlink>
          </w:p>
        </w:tc>
      </w:tr>
      <w:tr>
        <w:trPr>
          <w:trHeight w:val="191"/>
        </w:trPr>
        <w:tc>
          <w:tcPr>
            <w:tcW w:w="100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3"/>
          </w:tcPr>
          <w:p>
            <w:pPr>
              <w:spacing w:after="0" w:line="190" w:lineRule="exact"/>
              <w:rPr>
                <w:rFonts w:ascii="Times New Roman" w:cs="Times New Roman" w:eastAsia="Times New Roman" w:hAnsi="Times New Roman"/>
                <w:sz w:val="18"/>
                <w:szCs w:val="18"/>
                <w:color w:val="0000EE"/>
                <w:w w:val="96"/>
              </w:rPr>
            </w:pPr>
            <w:hyperlink r:id="rId156">
              <w:r>
                <w:rPr>
                  <w:rFonts w:ascii="Times New Roman" w:cs="Times New Roman" w:eastAsia="Times New Roman" w:hAnsi="Times New Roman"/>
                  <w:sz w:val="18"/>
                  <w:szCs w:val="18"/>
                  <w:color w:val="0000EE"/>
                  <w:w w:val="96"/>
                </w:rPr>
                <w:t>filed on February 27, 2024).</w:t>
              </w:r>
            </w:hyperlink>
          </w:p>
        </w:tc>
        <w:tc>
          <w:tcPr>
            <w:tcW w:w="7840" w:type="dxa"/>
            <w:vAlign w:val="bottom"/>
            <w:tcBorders>
              <w:top w:val="single" w:sz="8" w:color="0000EE"/>
            </w:tcBorders>
            <w:gridSpan w:val="24"/>
          </w:tcPr>
          <w:p>
            <w:pPr>
              <w:spacing w:after="0"/>
              <w:rPr>
                <w:sz w:val="16"/>
                <w:szCs w:val="16"/>
                <w:color w:val="auto"/>
              </w:rPr>
            </w:pPr>
          </w:p>
        </w:tc>
        <w:tc>
          <w:tcPr>
            <w:tcW w:w="40" w:type="dxa"/>
            <w:vAlign w:val="bottom"/>
            <w:gridSpan w:val="2"/>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(k)(16)</w:t>
            </w:r>
          </w:p>
        </w:tc>
        <w:tc>
          <w:tcPr>
            <w:tcW w:w="9860" w:type="dxa"/>
            <w:vAlign w:val="bottom"/>
            <w:gridSpan w:val="29"/>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Credit Agreement, dated as of February 22, 2024, by and among PennantPark CLO VIII, LLC, as borrower, the various financial</w:t>
              </w:r>
            </w:hyperlink>
          </w:p>
        </w:tc>
      </w:tr>
      <w:tr>
        <w:trPr>
          <w:trHeight w:val="20"/>
        </w:trPr>
        <w:tc>
          <w:tcPr>
            <w:tcW w:w="10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06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580" w:type="dxa"/>
            <w:vAlign w:val="bottom"/>
            <w:tcBorders>
              <w:bottom w:val="single" w:sz="8" w:color="0000EE"/>
            </w:tcBorders>
            <w:gridSpan w:val="19"/>
          </w:tcPr>
          <w:p>
            <w:pPr>
              <w:spacing w:after="0" w:line="190" w:lineRule="exact"/>
              <w:rPr>
                <w:rFonts w:ascii="Times New Roman" w:cs="Times New Roman" w:eastAsia="Times New Roman" w:hAnsi="Times New Roman"/>
                <w:sz w:val="18"/>
                <w:szCs w:val="18"/>
                <w:color w:val="0000EE"/>
                <w:w w:val="97"/>
              </w:rPr>
            </w:pPr>
            <w:hyperlink r:id="rId157">
              <w:r>
                <w:rPr>
                  <w:rFonts w:ascii="Times New Roman" w:cs="Times New Roman" w:eastAsia="Times New Roman" w:hAnsi="Times New Roman"/>
                  <w:sz w:val="18"/>
                  <w:szCs w:val="18"/>
                  <w:color w:val="0000EE"/>
                  <w:w w:val="97"/>
                </w:rPr>
                <w:t>institutions party thereto from time to time, as lenders, and Wilmington Trust, National Association, as collateral agent and as loan agent</w:t>
              </w:r>
            </w:hyperlink>
          </w:p>
        </w:tc>
        <w:tc>
          <w:tcPr>
            <w:tcW w:w="280" w:type="dxa"/>
            <w:vAlign w:val="bottom"/>
            <w:gridSpan w:val="10"/>
          </w:tcPr>
          <w:p>
            <w:pPr>
              <w:spacing w:after="0"/>
              <w:rPr>
                <w:sz w:val="16"/>
                <w:szCs w:val="16"/>
                <w:color w:val="auto"/>
              </w:rPr>
            </w:pPr>
          </w:p>
        </w:tc>
      </w:tr>
      <w:tr>
        <w:trPr>
          <w:trHeight w:val="191"/>
        </w:trPr>
        <w:tc>
          <w:tcPr>
            <w:tcW w:w="1000" w:type="dxa"/>
            <w:vAlign w:val="bottom"/>
          </w:tcPr>
          <w:p>
            <w:pPr>
              <w:spacing w:after="0"/>
              <w:rPr>
                <w:sz w:val="16"/>
                <w:szCs w:val="16"/>
                <w:color w:val="auto"/>
              </w:rPr>
            </w:pPr>
          </w:p>
        </w:tc>
        <w:tc>
          <w:tcPr>
            <w:tcW w:w="8620" w:type="dxa"/>
            <w:vAlign w:val="bottom"/>
            <w:tcBorders>
              <w:bottom w:val="single" w:sz="8" w:color="0000EE"/>
            </w:tcBorders>
            <w:gridSpan w:val="10"/>
          </w:tcPr>
          <w:p>
            <w:pPr>
              <w:spacing w:after="0" w:line="190" w:lineRule="exact"/>
              <w:rPr>
                <w:rFonts w:ascii="Times New Roman" w:cs="Times New Roman" w:eastAsia="Times New Roman" w:hAnsi="Times New Roman"/>
                <w:sz w:val="18"/>
                <w:szCs w:val="18"/>
                <w:color w:val="0000EE"/>
                <w:w w:val="97"/>
              </w:rPr>
            </w:pPr>
            <w:hyperlink r:id="rId157">
              <w:r>
                <w:rPr>
                  <w:rFonts w:ascii="Times New Roman" w:cs="Times New Roman" w:eastAsia="Times New Roman" w:hAnsi="Times New Roman"/>
                  <w:sz w:val="18"/>
                  <w:szCs w:val="18"/>
                  <w:color w:val="0000EE"/>
                  <w:w w:val="97"/>
                </w:rPr>
                <w:t>(Incorporated by reference to Exhibit 10.2 to the Registrant’s Form 8-K (File No. 814-00891), filed on February 27, 2024).</w:t>
              </w:r>
            </w:hyperlink>
          </w:p>
        </w:tc>
        <w:tc>
          <w:tcPr>
            <w:tcW w:w="1240" w:type="dxa"/>
            <w:vAlign w:val="bottom"/>
            <w:gridSpan w:val="19"/>
          </w:tcPr>
          <w:p>
            <w:pPr>
              <w:spacing w:after="0"/>
              <w:rPr>
                <w:sz w:val="16"/>
                <w:szCs w:val="16"/>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(k)(17)</w:t>
            </w:r>
          </w:p>
        </w:tc>
        <w:tc>
          <w:tcPr>
            <w:tcW w:w="9860" w:type="dxa"/>
            <w:vAlign w:val="bottom"/>
            <w:gridSpan w:val="29"/>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Collateral Management Agreement, dated as of February 22, 2024, between PennantPark CLO VIII, LLC, as issuer, and PennantPark</w:t>
              </w:r>
            </w:hyperlink>
          </w:p>
        </w:tc>
      </w:tr>
      <w:tr>
        <w:trPr>
          <w:trHeight w:val="20"/>
        </w:trPr>
        <w:tc>
          <w:tcPr>
            <w:tcW w:w="10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800" w:type="dxa"/>
            <w:vAlign w:val="bottom"/>
            <w:gridSpan w:val="10"/>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r>
      <w:tr>
        <w:trPr>
          <w:trHeight w:val="191"/>
        </w:trPr>
        <w:tc>
          <w:tcPr>
            <w:tcW w:w="1000" w:type="dxa"/>
            <w:vAlign w:val="bottom"/>
          </w:tcPr>
          <w:p>
            <w:pPr>
              <w:spacing w:after="0"/>
              <w:rPr>
                <w:sz w:val="16"/>
                <w:szCs w:val="16"/>
                <w:color w:val="auto"/>
              </w:rPr>
            </w:pPr>
          </w:p>
        </w:tc>
        <w:tc>
          <w:tcPr>
            <w:tcW w:w="9860" w:type="dxa"/>
            <w:vAlign w:val="bottom"/>
            <w:gridSpan w:val="29"/>
          </w:tcPr>
          <w:p>
            <w:pPr>
              <w:spacing w:after="0" w:line="190"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Investment Advisers, LLC, as collateral manager (Incorporated by reference to Exhibit 10.3 to the Registrant’s Form 8-K (File No. 814-</w:t>
              </w:r>
            </w:hyperlink>
          </w:p>
        </w:tc>
      </w:tr>
      <w:tr>
        <w:trPr>
          <w:trHeight w:val="191"/>
        </w:trPr>
        <w:tc>
          <w:tcPr>
            <w:tcW w:w="100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5"/>
          </w:tcPr>
          <w:p>
            <w:pPr>
              <w:spacing w:after="0" w:line="190" w:lineRule="exact"/>
              <w:rPr>
                <w:rFonts w:ascii="Times New Roman" w:cs="Times New Roman" w:eastAsia="Times New Roman" w:hAnsi="Times New Roman"/>
                <w:sz w:val="18"/>
                <w:szCs w:val="18"/>
                <w:color w:val="0000EE"/>
                <w:w w:val="96"/>
              </w:rPr>
            </w:pPr>
            <w:hyperlink r:id="rId158">
              <w:r>
                <w:rPr>
                  <w:rFonts w:ascii="Times New Roman" w:cs="Times New Roman" w:eastAsia="Times New Roman" w:hAnsi="Times New Roman"/>
                  <w:sz w:val="18"/>
                  <w:szCs w:val="18"/>
                  <w:color w:val="0000EE"/>
                  <w:w w:val="96"/>
                </w:rPr>
                <w:t>00891)</w:t>
              </w:r>
              <w:r>
                <w:rPr>
                  <w:rFonts w:ascii="Times New Roman" w:cs="Times New Roman" w:eastAsia="Times New Roman" w:hAnsi="Times New Roman"/>
                  <w:sz w:val="18"/>
                  <w:szCs w:val="18"/>
                  <w:u w:val="single" w:color="auto"/>
                  <w:color w:val="0000EE"/>
                  <w:w w:val="96"/>
                </w:rPr>
                <w:t>,</w:t>
              </w:r>
              <w:r>
                <w:rPr>
                  <w:rFonts w:ascii="Times New Roman" w:cs="Times New Roman" w:eastAsia="Times New Roman" w:hAnsi="Times New Roman"/>
                  <w:sz w:val="18"/>
                  <w:szCs w:val="18"/>
                  <w:color w:val="0000EE"/>
                  <w:w w:val="96"/>
                </w:rPr>
                <w:t xml:space="preserve"> filed on February 27, 2024).</w:t>
              </w:r>
            </w:hyperlink>
          </w:p>
        </w:tc>
        <w:tc>
          <w:tcPr>
            <w:tcW w:w="6980" w:type="dxa"/>
            <w:vAlign w:val="bottom"/>
            <w:tcBorders>
              <w:top w:val="single" w:sz="8" w:color="0000EE"/>
            </w:tcBorders>
            <w:gridSpan w:val="12"/>
          </w:tcPr>
          <w:p>
            <w:pPr>
              <w:spacing w:after="0"/>
              <w:rPr>
                <w:sz w:val="16"/>
                <w:szCs w:val="16"/>
                <w:color w:val="auto"/>
              </w:rPr>
            </w:pPr>
          </w:p>
        </w:tc>
        <w:tc>
          <w:tcPr>
            <w:tcW w:w="320" w:type="dxa"/>
            <w:vAlign w:val="bottom"/>
            <w:gridSpan w:val="12"/>
          </w:tcPr>
          <w:p>
            <w:pPr>
              <w:spacing w:after="0"/>
              <w:rPr>
                <w:sz w:val="16"/>
                <w:szCs w:val="16"/>
                <w:color w:val="auto"/>
              </w:rPr>
            </w:pPr>
          </w:p>
        </w:tc>
      </w:tr>
      <w:tr>
        <w:trPr>
          <w:trHeight w:val="598"/>
        </w:trPr>
        <w:tc>
          <w:tcPr>
            <w:tcW w:w="1000" w:type="dxa"/>
            <w:vAlign w:val="bottom"/>
          </w:tcPr>
          <w:p>
            <w:pPr>
              <w:spacing w:after="0"/>
              <w:rPr>
                <w:sz w:val="24"/>
                <w:szCs w:val="24"/>
                <w:color w:val="auto"/>
              </w:rPr>
            </w:pPr>
          </w:p>
        </w:tc>
        <w:tc>
          <w:tcPr>
            <w:tcW w:w="5740" w:type="dxa"/>
            <w:vAlign w:val="bottom"/>
            <w:gridSpan w:val="8"/>
          </w:tcPr>
          <w:p>
            <w:pPr>
              <w:ind w:left="4160"/>
              <w:spacing w:after="0"/>
              <w:rPr>
                <w:sz w:val="20"/>
                <w:szCs w:val="20"/>
                <w:color w:val="auto"/>
              </w:rPr>
            </w:pPr>
            <w:r>
              <w:rPr>
                <w:rFonts w:ascii="Times New Roman" w:cs="Times New Roman" w:eastAsia="Times New Roman" w:hAnsi="Times New Roman"/>
                <w:sz w:val="18"/>
                <w:szCs w:val="18"/>
                <w:color w:val="auto"/>
              </w:rPr>
              <w:t>87</w:t>
            </w: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0"/>
          </w:cols>
          <w:pgMar w:left="700" w:top="275" w:right="339" w:bottom="1440" w:gutter="0" w:footer="0" w:header="0"/>
        </w:sectPr>
      </w:pPr>
    </w:p>
    <w:bookmarkStart w:id="90" w:name="page91"/>
    <w:bookmarkEnd w:id="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(k)(18)</w:t>
            </w:r>
          </w:p>
        </w:tc>
        <w:tc>
          <w:tcPr>
            <w:tcW w:w="380" w:type="dxa"/>
            <w:vAlign w:val="bottom"/>
          </w:tcPr>
          <w:p>
            <w:pPr>
              <w:spacing w:after="0"/>
              <w:rPr>
                <w:sz w:val="17"/>
                <w:szCs w:val="17"/>
                <w:color w:val="auto"/>
              </w:rPr>
            </w:pPr>
          </w:p>
        </w:tc>
        <w:tc>
          <w:tcPr>
            <w:tcW w:w="9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160">
              <w:r>
                <w:rPr>
                  <w:rFonts w:ascii="Times New Roman" w:cs="Times New Roman" w:eastAsia="Times New Roman" w:hAnsi="Times New Roman"/>
                  <w:sz w:val="18"/>
                  <w:szCs w:val="18"/>
                  <w:color w:val="0000EE"/>
                  <w:w w:val="97"/>
                </w:rPr>
                <w:t>Master Loan Sale Agreement, dated as of February 22, 2024, among PennantPark Floating Rate Capital Ltd., as seller, PennantPark CLO</w:t>
              </w:r>
            </w:hyperlink>
          </w:p>
        </w:tc>
        <w:tc>
          <w:tcPr>
            <w:tcW w:w="80" w:type="dxa"/>
            <w:vAlign w:val="bottom"/>
            <w:gridSpan w:val="2"/>
          </w:tcPr>
          <w:p>
            <w:pPr>
              <w:spacing w:after="0"/>
              <w:rPr>
                <w:sz w:val="17"/>
                <w:szCs w:val="17"/>
                <w:color w:val="auto"/>
              </w:rPr>
            </w:pPr>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720" w:type="dxa"/>
            <w:vAlign w:val="bottom"/>
            <w:tcBorders>
              <w:bottom w:val="single" w:sz="8" w:color="0000EE"/>
            </w:tcBorders>
            <w:gridSpan w:val="20"/>
          </w:tcPr>
          <w:p>
            <w:pPr>
              <w:spacing w:after="0" w:line="190" w:lineRule="exact"/>
              <w:rPr>
                <w:rFonts w:ascii="Times New Roman" w:cs="Times New Roman" w:eastAsia="Times New Roman" w:hAnsi="Times New Roman"/>
                <w:sz w:val="18"/>
                <w:szCs w:val="18"/>
                <w:color w:val="0000EE"/>
                <w:w w:val="97"/>
              </w:rPr>
            </w:pPr>
            <w:hyperlink r:id="rId160">
              <w:r>
                <w:rPr>
                  <w:rFonts w:ascii="Times New Roman" w:cs="Times New Roman" w:eastAsia="Times New Roman" w:hAnsi="Times New Roman"/>
                  <w:sz w:val="18"/>
                  <w:szCs w:val="18"/>
                  <w:color w:val="0000EE"/>
                  <w:w w:val="97"/>
                </w:rPr>
                <w:t>VIII, LLC, as buyer, and PennantPark Floating Rate Funding I, LLC as the financing subsidiary (Incorporated by reference to Exhibit 10.4</w:t>
              </w:r>
            </w:hyperlink>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20" w:type="dxa"/>
            <w:vAlign w:val="bottom"/>
            <w:tcBorders>
              <w:bottom w:val="single" w:sz="8" w:color="0000EE"/>
            </w:tcBorders>
            <w:gridSpan w:val="8"/>
          </w:tcPr>
          <w:p>
            <w:pPr>
              <w:spacing w:after="0" w:line="190" w:lineRule="exact"/>
              <w:rPr>
                <w:rFonts w:ascii="Times New Roman" w:cs="Times New Roman" w:eastAsia="Times New Roman" w:hAnsi="Times New Roman"/>
                <w:sz w:val="18"/>
                <w:szCs w:val="18"/>
                <w:color w:val="0000EE"/>
                <w:w w:val="96"/>
              </w:rPr>
            </w:pPr>
            <w:hyperlink r:id="rId160">
              <w:r>
                <w:rPr>
                  <w:rFonts w:ascii="Times New Roman" w:cs="Times New Roman" w:eastAsia="Times New Roman" w:hAnsi="Times New Roman"/>
                  <w:sz w:val="18"/>
                  <w:szCs w:val="18"/>
                  <w:color w:val="0000EE"/>
                  <w:w w:val="96"/>
                </w:rPr>
                <w:t>to the Registrant’s Form 8-K (File No. 814-00891), filed on February 27, 2024).</w:t>
              </w:r>
            </w:hyperlink>
          </w:p>
        </w:tc>
        <w:tc>
          <w:tcPr>
            <w:tcW w:w="4100" w:type="dxa"/>
            <w:vAlign w:val="bottom"/>
            <w:gridSpan w:val="12"/>
          </w:tcPr>
          <w:p>
            <w:pPr>
              <w:spacing w:after="0"/>
              <w:rPr>
                <w:sz w:val="16"/>
                <w:szCs w:val="16"/>
                <w:color w:val="auto"/>
              </w:rPr>
            </w:pPr>
          </w:p>
        </w:tc>
      </w:tr>
      <w:tr>
        <w:trPr>
          <w:trHeight w:val="309"/>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(l)(1)</w:t>
            </w:r>
          </w:p>
        </w:tc>
        <w:tc>
          <w:tcPr>
            <w:tcW w:w="380" w:type="dxa"/>
            <w:vAlign w:val="bottom"/>
          </w:tcPr>
          <w:p>
            <w:pPr>
              <w:spacing w:after="0"/>
              <w:rPr>
                <w:sz w:val="24"/>
                <w:szCs w:val="24"/>
                <w:color w:val="auto"/>
              </w:rPr>
            </w:pPr>
          </w:p>
        </w:tc>
        <w:tc>
          <w:tcPr>
            <w:tcW w:w="9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6"/>
              </w:rPr>
            </w:pPr>
            <w:hyperlink r:id="rId161">
              <w:r>
                <w:rPr>
                  <w:rFonts w:ascii="Times New Roman" w:cs="Times New Roman" w:eastAsia="Times New Roman" w:hAnsi="Times New Roman"/>
                  <w:sz w:val="18"/>
                  <w:szCs w:val="18"/>
                  <w:color w:val="0000EE"/>
                  <w:w w:val="96"/>
                </w:rPr>
                <w:t>Opinion and Consent of Venable LLP (Incorporated by reference to Exhibit (l)(1) to the Registrant’s Registration Statement on Form N-2</w:t>
              </w:r>
            </w:hyperlink>
          </w:p>
        </w:tc>
        <w:tc>
          <w:tcPr>
            <w:tcW w:w="80" w:type="dxa"/>
            <w:vAlign w:val="bottom"/>
            <w:gridSpan w:val="2"/>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Borders>
              <w:bottom w:val="single" w:sz="8" w:color="0000EE"/>
            </w:tcBorders>
            <w:gridSpan w:val="5"/>
          </w:tcPr>
          <w:p>
            <w:pPr>
              <w:spacing w:after="0" w:line="190" w:lineRule="exact"/>
              <w:rPr>
                <w:rFonts w:ascii="Times New Roman" w:cs="Times New Roman" w:eastAsia="Times New Roman" w:hAnsi="Times New Roman"/>
                <w:sz w:val="18"/>
                <w:szCs w:val="18"/>
                <w:color w:val="0000EE"/>
                <w:w w:val="97"/>
              </w:rPr>
            </w:pPr>
            <w:hyperlink r:id="rId161">
              <w:r>
                <w:rPr>
                  <w:rFonts w:ascii="Times New Roman" w:cs="Times New Roman" w:eastAsia="Times New Roman" w:hAnsi="Times New Roman"/>
                  <w:sz w:val="18"/>
                  <w:szCs w:val="18"/>
                  <w:color w:val="0000EE"/>
                  <w:w w:val="97"/>
                </w:rPr>
                <w:t>(File No. 333-279726), filed on May 24, 2024).</w:t>
              </w:r>
            </w:hyperlink>
          </w:p>
        </w:tc>
        <w:tc>
          <w:tcPr>
            <w:tcW w:w="6360" w:type="dxa"/>
            <w:vAlign w:val="bottom"/>
            <w:gridSpan w:val="15"/>
          </w:tcPr>
          <w:p>
            <w:pPr>
              <w:spacing w:after="0"/>
              <w:rPr>
                <w:sz w:val="16"/>
                <w:szCs w:val="16"/>
                <w:color w:val="auto"/>
              </w:rPr>
            </w:pPr>
          </w:p>
        </w:tc>
      </w:tr>
      <w:tr>
        <w:trPr>
          <w:trHeight w:val="296"/>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(l)(2)</w:t>
            </w:r>
          </w:p>
        </w:tc>
        <w:tc>
          <w:tcPr>
            <w:tcW w:w="380" w:type="dxa"/>
            <w:vAlign w:val="bottom"/>
          </w:tcPr>
          <w:p>
            <w:pPr>
              <w:spacing w:after="0"/>
              <w:rPr>
                <w:sz w:val="24"/>
                <w:szCs w:val="24"/>
                <w:color w:val="auto"/>
              </w:rPr>
            </w:pPr>
          </w:p>
        </w:tc>
        <w:tc>
          <w:tcPr>
            <w:tcW w:w="9720" w:type="dxa"/>
            <w:vAlign w:val="bottom"/>
            <w:gridSpan w:val="20"/>
          </w:tcPr>
          <w:p>
            <w:pPr>
              <w:spacing w:after="0"/>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Opinion and Consent of Dechert LLP (Incorporated by reference to Exhibit (l)(2) to the Registrant’s Registration Statement on Form N-2</w:t>
              </w:r>
            </w:hyperlink>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40" w:type="dxa"/>
            <w:vAlign w:val="bottom"/>
            <w:tcBorders>
              <w:top w:val="single" w:sz="8" w:color="0000EE"/>
              <w:bottom w:val="single" w:sz="8" w:color="0000EE"/>
            </w:tcBorders>
            <w:gridSpan w:val="4"/>
          </w:tcPr>
          <w:p>
            <w:pPr>
              <w:spacing w:after="0" w:line="190" w:lineRule="exact"/>
              <w:rPr>
                <w:rFonts w:ascii="Times New Roman" w:cs="Times New Roman" w:eastAsia="Times New Roman" w:hAnsi="Times New Roman"/>
                <w:sz w:val="18"/>
                <w:szCs w:val="18"/>
                <w:color w:val="0000EE"/>
                <w:w w:val="96"/>
              </w:rPr>
            </w:pPr>
            <w:hyperlink r:id="rId162">
              <w:r>
                <w:rPr>
                  <w:rFonts w:ascii="Times New Roman" w:cs="Times New Roman" w:eastAsia="Times New Roman" w:hAnsi="Times New Roman"/>
                  <w:sz w:val="18"/>
                  <w:szCs w:val="18"/>
                  <w:color w:val="0000EE"/>
                  <w:w w:val="96"/>
                </w:rPr>
                <w:t>(File No. 333-279726), filed on May 24, 2024).</w:t>
              </w:r>
            </w:hyperlink>
          </w:p>
        </w:tc>
        <w:tc>
          <w:tcPr>
            <w:tcW w:w="6280" w:type="dxa"/>
            <w:vAlign w:val="bottom"/>
            <w:tcBorders>
              <w:top w:val="single" w:sz="8" w:color="0000EE"/>
            </w:tcBorders>
            <w:gridSpan w:val="13"/>
          </w:tcPr>
          <w:p>
            <w:pPr>
              <w:spacing w:after="0"/>
              <w:rPr>
                <w:sz w:val="16"/>
                <w:szCs w:val="16"/>
                <w:color w:val="auto"/>
              </w:rPr>
            </w:pPr>
          </w:p>
        </w:tc>
        <w:tc>
          <w:tcPr>
            <w:tcW w:w="100" w:type="dxa"/>
            <w:vAlign w:val="bottom"/>
            <w:gridSpan w:val="3"/>
          </w:tcPr>
          <w:p>
            <w:pPr>
              <w:spacing w:after="0"/>
              <w:rPr>
                <w:sz w:val="16"/>
                <w:szCs w:val="16"/>
                <w:color w:val="auto"/>
              </w:rPr>
            </w:pPr>
          </w:p>
        </w:tc>
      </w:tr>
      <w:tr>
        <w:trPr>
          <w:trHeight w:val="296"/>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(n)(1)*</w:t>
            </w:r>
          </w:p>
        </w:tc>
        <w:tc>
          <w:tcPr>
            <w:tcW w:w="380" w:type="dxa"/>
            <w:vAlign w:val="bottom"/>
          </w:tcPr>
          <w:p>
            <w:pPr>
              <w:spacing w:after="0"/>
              <w:rPr>
                <w:sz w:val="24"/>
                <w:szCs w:val="24"/>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Consent of RSM US LLP.</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9"/>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(n)(2)*</w:t>
            </w:r>
          </w:p>
        </w:tc>
        <w:tc>
          <w:tcPr>
            <w:tcW w:w="380" w:type="dxa"/>
            <w:vAlign w:val="bottom"/>
          </w:tcPr>
          <w:p>
            <w:pPr>
              <w:spacing w:after="0"/>
              <w:rPr>
                <w:sz w:val="24"/>
                <w:szCs w:val="24"/>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Consent of RSM US LLP.</w:t>
            </w:r>
          </w:p>
        </w:tc>
      </w:tr>
      <w:tr>
        <w:trPr>
          <w:trHeight w:val="20"/>
        </w:trPr>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9"/>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(n)(3)</w:t>
            </w:r>
          </w:p>
        </w:tc>
        <w:tc>
          <w:tcPr>
            <w:tcW w:w="380" w:type="dxa"/>
            <w:vAlign w:val="bottom"/>
          </w:tcPr>
          <w:p>
            <w:pPr>
              <w:spacing w:after="0"/>
              <w:rPr>
                <w:sz w:val="24"/>
                <w:szCs w:val="24"/>
                <w:color w:val="auto"/>
              </w:rPr>
            </w:pPr>
          </w:p>
        </w:tc>
        <w:tc>
          <w:tcPr>
            <w:tcW w:w="9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6"/>
              </w:rPr>
            </w:pPr>
            <w:hyperlink r:id="rId163">
              <w:r>
                <w:rPr>
                  <w:rFonts w:ascii="Times New Roman" w:cs="Times New Roman" w:eastAsia="Times New Roman" w:hAnsi="Times New Roman"/>
                  <w:sz w:val="18"/>
                  <w:szCs w:val="18"/>
                  <w:color w:val="0000EE"/>
                  <w:w w:val="96"/>
                </w:rPr>
                <w:t>Report of RSM US LLP on Senior Securities Table (Incorporated by reference to Exhibit 99.2 to the Registrant’s Annual Report on Form</w:t>
              </w:r>
            </w:hyperlink>
          </w:p>
        </w:tc>
        <w:tc>
          <w:tcPr>
            <w:tcW w:w="80" w:type="dxa"/>
            <w:vAlign w:val="bottom"/>
            <w:gridSpan w:val="2"/>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960" w:type="dxa"/>
            <w:vAlign w:val="bottom"/>
            <w:tcBorders>
              <w:bottom w:val="single" w:sz="8" w:color="0000EE"/>
            </w:tcBorders>
            <w:gridSpan w:val="6"/>
          </w:tcPr>
          <w:p>
            <w:pPr>
              <w:spacing w:after="0" w:line="190" w:lineRule="exact"/>
              <w:rPr>
                <w:rFonts w:ascii="Times New Roman" w:cs="Times New Roman" w:eastAsia="Times New Roman" w:hAnsi="Times New Roman"/>
                <w:sz w:val="18"/>
                <w:szCs w:val="18"/>
                <w:color w:val="0000EE"/>
                <w:w w:val="96"/>
              </w:rPr>
            </w:pPr>
            <w:hyperlink r:id="rId163">
              <w:r>
                <w:rPr>
                  <w:rFonts w:ascii="Times New Roman" w:cs="Times New Roman" w:eastAsia="Times New Roman" w:hAnsi="Times New Roman"/>
                  <w:sz w:val="18"/>
                  <w:szCs w:val="18"/>
                  <w:color w:val="0000EE"/>
                  <w:w w:val="96"/>
                </w:rPr>
                <w:t>10-K (File No. 814-00891), filed on December 8, 2023).</w:t>
              </w:r>
            </w:hyperlink>
          </w:p>
        </w:tc>
        <w:tc>
          <w:tcPr>
            <w:tcW w:w="5760" w:type="dxa"/>
            <w:vAlign w:val="bottom"/>
            <w:gridSpan w:val="14"/>
          </w:tcPr>
          <w:p>
            <w:pPr>
              <w:spacing w:after="0"/>
              <w:rPr>
                <w:sz w:val="16"/>
                <w:szCs w:val="16"/>
                <w:color w:val="auto"/>
              </w:rPr>
            </w:pPr>
          </w:p>
        </w:tc>
      </w:tr>
      <w:tr>
        <w:trPr>
          <w:trHeight w:val="309"/>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(n)(4)*</w:t>
            </w:r>
          </w:p>
        </w:tc>
        <w:tc>
          <w:tcPr>
            <w:tcW w:w="380" w:type="dxa"/>
            <w:vAlign w:val="bottom"/>
          </w:tcPr>
          <w:p>
            <w:pPr>
              <w:spacing w:after="0"/>
              <w:rPr>
                <w:sz w:val="24"/>
                <w:szCs w:val="24"/>
                <w:color w:val="auto"/>
              </w:rPr>
            </w:pPr>
          </w:p>
        </w:tc>
        <w:tc>
          <w:tcPr>
            <w:tcW w:w="1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Power of Attorney.</w:t>
            </w:r>
          </w:p>
        </w:tc>
        <w:tc>
          <w:tcPr>
            <w:tcW w:w="8380" w:type="dxa"/>
            <w:vAlign w:val="bottom"/>
            <w:gridSpan w:val="19"/>
          </w:tcPr>
          <w:p>
            <w:pPr>
              <w:spacing w:after="0"/>
              <w:rPr>
                <w:sz w:val="24"/>
                <w:szCs w:val="24"/>
                <w:color w:val="auto"/>
              </w:rPr>
            </w:pPr>
          </w:p>
        </w:tc>
      </w:tr>
      <w:tr>
        <w:trPr>
          <w:trHeight w:val="296"/>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(r)(1)</w:t>
            </w:r>
          </w:p>
        </w:tc>
        <w:tc>
          <w:tcPr>
            <w:tcW w:w="380" w:type="dxa"/>
            <w:vAlign w:val="bottom"/>
          </w:tcPr>
          <w:p>
            <w:pPr>
              <w:spacing w:after="0"/>
              <w:rPr>
                <w:sz w:val="24"/>
                <w:szCs w:val="24"/>
                <w:color w:val="auto"/>
              </w:rPr>
            </w:pPr>
          </w:p>
        </w:tc>
        <w:tc>
          <w:tcPr>
            <w:tcW w:w="96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164">
              <w:r>
                <w:rPr>
                  <w:rFonts w:ascii="Times New Roman" w:cs="Times New Roman" w:eastAsia="Times New Roman" w:hAnsi="Times New Roman"/>
                  <w:sz w:val="18"/>
                  <w:szCs w:val="18"/>
                  <w:color w:val="0000EE"/>
                  <w:w w:val="97"/>
                </w:rPr>
                <w:t>Joint Code of Ethics of the Registrant, PennantPark Investment Corporation and PennantPark Investment Advisers, LLC (Incorporated by</w:t>
              </w:r>
            </w:hyperlink>
          </w:p>
        </w:tc>
        <w:tc>
          <w:tcPr>
            <w:tcW w:w="40" w:type="dxa"/>
            <w:vAlign w:val="bottom"/>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0" w:type="dxa"/>
            <w:vAlign w:val="bottom"/>
            <w:tcBorders>
              <w:bottom w:val="single" w:sz="8" w:color="0000EE"/>
            </w:tcBorders>
            <w:gridSpan w:val="10"/>
          </w:tcPr>
          <w:p>
            <w:pPr>
              <w:spacing w:after="0" w:line="190" w:lineRule="exact"/>
              <w:rPr>
                <w:rFonts w:ascii="Times New Roman" w:cs="Times New Roman" w:eastAsia="Times New Roman" w:hAnsi="Times New Roman"/>
                <w:sz w:val="18"/>
                <w:szCs w:val="18"/>
                <w:color w:val="0000EE"/>
                <w:w w:val="97"/>
              </w:rPr>
            </w:pPr>
            <w:hyperlink r:id="rId164">
              <w:r>
                <w:rPr>
                  <w:rFonts w:ascii="Times New Roman" w:cs="Times New Roman" w:eastAsia="Times New Roman" w:hAnsi="Times New Roman"/>
                  <w:sz w:val="18"/>
                  <w:szCs w:val="18"/>
                  <w:color w:val="0000EE"/>
                  <w:w w:val="97"/>
                </w:rPr>
                <w:t>reference to Exhibit 14.1 to the Registrant’s Annual Report on Form 10-K (File No. 814-00891), filed on December 8, 2023).</w:t>
              </w:r>
            </w:hyperlink>
          </w:p>
        </w:tc>
        <w:tc>
          <w:tcPr>
            <w:tcW w:w="920" w:type="dxa"/>
            <w:vAlign w:val="bottom"/>
            <w:gridSpan w:val="10"/>
          </w:tcPr>
          <w:p>
            <w:pPr>
              <w:spacing w:after="0"/>
              <w:rPr>
                <w:sz w:val="16"/>
                <w:szCs w:val="16"/>
                <w:color w:val="auto"/>
              </w:rPr>
            </w:pPr>
          </w:p>
        </w:tc>
      </w:tr>
      <w:tr>
        <w:trPr>
          <w:trHeight w:val="309"/>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(s)(1)</w:t>
            </w:r>
          </w:p>
        </w:tc>
        <w:tc>
          <w:tcPr>
            <w:tcW w:w="380" w:type="dxa"/>
            <w:vAlign w:val="bottom"/>
          </w:tcPr>
          <w:p>
            <w:pPr>
              <w:spacing w:after="0"/>
              <w:rPr>
                <w:sz w:val="24"/>
                <w:szCs w:val="24"/>
                <w:color w:val="auto"/>
              </w:rPr>
            </w:pPr>
          </w:p>
        </w:tc>
        <w:tc>
          <w:tcPr>
            <w:tcW w:w="9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r:id="rId165">
              <w:r>
                <w:rPr>
                  <w:rFonts w:ascii="Times New Roman" w:cs="Times New Roman" w:eastAsia="Times New Roman" w:hAnsi="Times New Roman"/>
                  <w:sz w:val="18"/>
                  <w:szCs w:val="18"/>
                  <w:color w:val="0000EE"/>
                  <w:w w:val="97"/>
                </w:rPr>
                <w:t>Form of Prospectus Supplement For Common Stock Offerings (Incorporated by reference to Exhibit 99(S)(1) to the Registrant’s</w:t>
              </w:r>
            </w:hyperlink>
          </w:p>
        </w:tc>
        <w:tc>
          <w:tcPr>
            <w:tcW w:w="700" w:type="dxa"/>
            <w:vAlign w:val="bottom"/>
            <w:gridSpan w:val="8"/>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80" w:type="dxa"/>
            <w:vAlign w:val="bottom"/>
            <w:tcBorders>
              <w:bottom w:val="single" w:sz="8" w:color="0000EE"/>
            </w:tcBorders>
            <w:gridSpan w:val="9"/>
          </w:tcPr>
          <w:p>
            <w:pPr>
              <w:spacing w:after="0" w:line="190" w:lineRule="exact"/>
              <w:rPr>
                <w:rFonts w:ascii="Times New Roman" w:cs="Times New Roman" w:eastAsia="Times New Roman" w:hAnsi="Times New Roman"/>
                <w:sz w:val="18"/>
                <w:szCs w:val="18"/>
                <w:color w:val="0000EE"/>
                <w:w w:val="97"/>
              </w:rPr>
            </w:pPr>
            <w:hyperlink r:id="rId165">
              <w:r>
                <w:rPr>
                  <w:rFonts w:ascii="Times New Roman" w:cs="Times New Roman" w:eastAsia="Times New Roman" w:hAnsi="Times New Roman"/>
                  <w:sz w:val="18"/>
                  <w:szCs w:val="18"/>
                  <w:color w:val="0000EE"/>
                  <w:w w:val="97"/>
                </w:rPr>
                <w:t>Registration Statement on Form N-2 (File No. 333-180084), filed on March 14, 2012).</w:t>
              </w:r>
            </w:hyperlink>
          </w:p>
        </w:tc>
        <w:tc>
          <w:tcPr>
            <w:tcW w:w="3640" w:type="dxa"/>
            <w:vAlign w:val="bottom"/>
            <w:gridSpan w:val="11"/>
          </w:tcPr>
          <w:p>
            <w:pPr>
              <w:spacing w:after="0"/>
              <w:rPr>
                <w:sz w:val="16"/>
                <w:szCs w:val="16"/>
                <w:color w:val="auto"/>
              </w:rPr>
            </w:pPr>
          </w:p>
        </w:tc>
      </w:tr>
      <w:tr>
        <w:trPr>
          <w:trHeight w:val="296"/>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(s)(2)</w:t>
            </w:r>
          </w:p>
        </w:tc>
        <w:tc>
          <w:tcPr>
            <w:tcW w:w="380" w:type="dxa"/>
            <w:vAlign w:val="bottom"/>
          </w:tcPr>
          <w:p>
            <w:pPr>
              <w:spacing w:after="0"/>
              <w:rPr>
                <w:sz w:val="24"/>
                <w:szCs w:val="24"/>
                <w:color w:val="auto"/>
              </w:rPr>
            </w:pPr>
          </w:p>
        </w:tc>
        <w:tc>
          <w:tcPr>
            <w:tcW w:w="9720" w:type="dxa"/>
            <w:vAlign w:val="bottom"/>
            <w:gridSpan w:val="20"/>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of Prospectus Supplement For Preferred Stock Offerings (Incorporated by reference to Exhibit 99(S)(2) to the Registrant’s</w:t>
              </w:r>
            </w:hyperlink>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80" w:type="dxa"/>
            <w:vAlign w:val="bottom"/>
            <w:tcBorders>
              <w:top w:val="single" w:sz="8" w:color="0000EE"/>
              <w:bottom w:val="single" w:sz="8" w:color="0000EE"/>
            </w:tcBorders>
            <w:gridSpan w:val="9"/>
          </w:tcPr>
          <w:p>
            <w:pPr>
              <w:spacing w:after="0" w:line="190" w:lineRule="exact"/>
              <w:rPr>
                <w:rFonts w:ascii="Times New Roman" w:cs="Times New Roman" w:eastAsia="Times New Roman" w:hAnsi="Times New Roman"/>
                <w:sz w:val="18"/>
                <w:szCs w:val="18"/>
                <w:color w:val="0000EE"/>
                <w:w w:val="97"/>
              </w:rPr>
            </w:pPr>
            <w:hyperlink r:id="rId166">
              <w:r>
                <w:rPr>
                  <w:rFonts w:ascii="Times New Roman" w:cs="Times New Roman" w:eastAsia="Times New Roman" w:hAnsi="Times New Roman"/>
                  <w:sz w:val="18"/>
                  <w:szCs w:val="18"/>
                  <w:color w:val="0000EE"/>
                  <w:w w:val="97"/>
                </w:rPr>
                <w:t>Registration Statement on Form N-2 (File No. 333-180084), filed on March 14, 2012).</w:t>
              </w:r>
            </w:hyperlink>
          </w:p>
        </w:tc>
        <w:tc>
          <w:tcPr>
            <w:tcW w:w="2920" w:type="dxa"/>
            <w:vAlign w:val="bottom"/>
            <w:tcBorders>
              <w:top w:val="single" w:sz="8" w:color="0000EE"/>
            </w:tcBorders>
            <w:gridSpan w:val="2"/>
          </w:tcPr>
          <w:p>
            <w:pPr>
              <w:spacing w:after="0"/>
              <w:rPr>
                <w:sz w:val="16"/>
                <w:szCs w:val="16"/>
                <w:color w:val="auto"/>
              </w:rPr>
            </w:pPr>
          </w:p>
        </w:tc>
        <w:tc>
          <w:tcPr>
            <w:tcW w:w="720" w:type="dxa"/>
            <w:vAlign w:val="bottom"/>
            <w:gridSpan w:val="9"/>
          </w:tcPr>
          <w:p>
            <w:pPr>
              <w:spacing w:after="0"/>
              <w:rPr>
                <w:sz w:val="16"/>
                <w:szCs w:val="16"/>
                <w:color w:val="auto"/>
              </w:rPr>
            </w:pPr>
          </w:p>
        </w:tc>
      </w:tr>
      <w:tr>
        <w:trPr>
          <w:trHeight w:val="296"/>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(s)(3)</w:t>
            </w:r>
          </w:p>
        </w:tc>
        <w:tc>
          <w:tcPr>
            <w:tcW w:w="380" w:type="dxa"/>
            <w:vAlign w:val="bottom"/>
          </w:tcPr>
          <w:p>
            <w:pPr>
              <w:spacing w:after="0"/>
              <w:rPr>
                <w:sz w:val="24"/>
                <w:szCs w:val="24"/>
                <w:color w:val="auto"/>
              </w:rPr>
            </w:pPr>
          </w:p>
        </w:tc>
        <w:tc>
          <w:tcPr>
            <w:tcW w:w="9720" w:type="dxa"/>
            <w:vAlign w:val="bottom"/>
            <w:gridSpan w:val="20"/>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of Prospectus Supplement For Debt Offerings (Incorporated by reference to Exhibit 99(S)(3) to the Registrant’s Registration</w:t>
              </w:r>
            </w:hyperlink>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Borders>
              <w:top w:val="single" w:sz="8" w:color="0000EE"/>
              <w:bottom w:val="single" w:sz="8" w:color="0000EE"/>
            </w:tcBorders>
            <w:gridSpan w:val="7"/>
          </w:tcPr>
          <w:p>
            <w:pPr>
              <w:spacing w:after="0" w:line="190" w:lineRule="exact"/>
              <w:rPr>
                <w:rFonts w:ascii="Times New Roman" w:cs="Times New Roman" w:eastAsia="Times New Roman" w:hAnsi="Times New Roman"/>
                <w:sz w:val="18"/>
                <w:szCs w:val="18"/>
                <w:color w:val="0000EE"/>
                <w:w w:val="97"/>
              </w:rPr>
            </w:pPr>
            <w:hyperlink r:id="rId167">
              <w:r>
                <w:rPr>
                  <w:rFonts w:ascii="Times New Roman" w:cs="Times New Roman" w:eastAsia="Times New Roman" w:hAnsi="Times New Roman"/>
                  <w:sz w:val="18"/>
                  <w:szCs w:val="18"/>
                  <w:color w:val="0000EE"/>
                  <w:w w:val="97"/>
                </w:rPr>
                <w:t>Statement on Form N-2 (File No. 333-180084), filed on March 14, 2012).</w:t>
              </w:r>
            </w:hyperlink>
          </w:p>
        </w:tc>
        <w:tc>
          <w:tcPr>
            <w:tcW w:w="3960" w:type="dxa"/>
            <w:vAlign w:val="bottom"/>
            <w:tcBorders>
              <w:top w:val="single" w:sz="8" w:color="0000EE"/>
            </w:tcBorders>
            <w:gridSpan w:val="6"/>
          </w:tcPr>
          <w:p>
            <w:pPr>
              <w:spacing w:after="0"/>
              <w:rPr>
                <w:sz w:val="16"/>
                <w:szCs w:val="16"/>
                <w:color w:val="auto"/>
              </w:rPr>
            </w:pPr>
          </w:p>
        </w:tc>
        <w:tc>
          <w:tcPr>
            <w:tcW w:w="580" w:type="dxa"/>
            <w:vAlign w:val="bottom"/>
            <w:gridSpan w:val="7"/>
          </w:tcPr>
          <w:p>
            <w:pPr>
              <w:spacing w:after="0"/>
              <w:rPr>
                <w:sz w:val="16"/>
                <w:szCs w:val="16"/>
                <w:color w:val="auto"/>
              </w:rPr>
            </w:pPr>
          </w:p>
        </w:tc>
      </w:tr>
      <w:tr>
        <w:trPr>
          <w:trHeight w:val="296"/>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(s)(4)</w:t>
            </w:r>
          </w:p>
        </w:tc>
        <w:tc>
          <w:tcPr>
            <w:tcW w:w="380" w:type="dxa"/>
            <w:vAlign w:val="bottom"/>
          </w:tcPr>
          <w:p>
            <w:pPr>
              <w:spacing w:after="0"/>
              <w:rPr>
                <w:sz w:val="24"/>
                <w:szCs w:val="24"/>
                <w:color w:val="auto"/>
              </w:rPr>
            </w:pPr>
          </w:p>
        </w:tc>
        <w:tc>
          <w:tcPr>
            <w:tcW w:w="9720" w:type="dxa"/>
            <w:vAlign w:val="bottom"/>
            <w:gridSpan w:val="20"/>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Form of Prospectus Supplement For Rights Offerings (Incorporated by reference to Exhibit 99(S)(4) to the Registrant’s Registration</w:t>
              </w:r>
            </w:hyperlink>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Borders>
              <w:top w:val="single" w:sz="8" w:color="0000EE"/>
              <w:bottom w:val="single" w:sz="8" w:color="0000EE"/>
            </w:tcBorders>
            <w:gridSpan w:val="7"/>
          </w:tcPr>
          <w:p>
            <w:pPr>
              <w:spacing w:after="0" w:line="190" w:lineRule="exact"/>
              <w:rPr>
                <w:rFonts w:ascii="Times New Roman" w:cs="Times New Roman" w:eastAsia="Times New Roman" w:hAnsi="Times New Roman"/>
                <w:sz w:val="18"/>
                <w:szCs w:val="18"/>
                <w:color w:val="0000EE"/>
                <w:w w:val="97"/>
              </w:rPr>
            </w:pPr>
            <w:hyperlink r:id="rId168">
              <w:r>
                <w:rPr>
                  <w:rFonts w:ascii="Times New Roman" w:cs="Times New Roman" w:eastAsia="Times New Roman" w:hAnsi="Times New Roman"/>
                  <w:sz w:val="18"/>
                  <w:szCs w:val="18"/>
                  <w:color w:val="0000EE"/>
                  <w:w w:val="97"/>
                </w:rPr>
                <w:t>Statement on Form N-2 (File No. 333-180084), filed on March 14, 2012).</w:t>
              </w:r>
            </w:hyperlink>
          </w:p>
        </w:tc>
        <w:tc>
          <w:tcPr>
            <w:tcW w:w="4080" w:type="dxa"/>
            <w:vAlign w:val="bottom"/>
            <w:tcBorders>
              <w:top w:val="single" w:sz="8" w:color="0000EE"/>
            </w:tcBorders>
            <w:gridSpan w:val="7"/>
          </w:tcPr>
          <w:p>
            <w:pPr>
              <w:spacing w:after="0"/>
              <w:rPr>
                <w:sz w:val="16"/>
                <w:szCs w:val="16"/>
                <w:color w:val="auto"/>
              </w:rPr>
            </w:pPr>
          </w:p>
        </w:tc>
        <w:tc>
          <w:tcPr>
            <w:tcW w:w="460" w:type="dxa"/>
            <w:vAlign w:val="bottom"/>
            <w:gridSpan w:val="6"/>
          </w:tcPr>
          <w:p>
            <w:pPr>
              <w:spacing w:after="0"/>
              <w:rPr>
                <w:sz w:val="16"/>
                <w:szCs w:val="16"/>
                <w:color w:val="auto"/>
              </w:rPr>
            </w:pPr>
          </w:p>
        </w:tc>
      </w:tr>
      <w:tr>
        <w:trPr>
          <w:trHeight w:val="296"/>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(s)(5)</w:t>
            </w:r>
          </w:p>
        </w:tc>
        <w:tc>
          <w:tcPr>
            <w:tcW w:w="380" w:type="dxa"/>
            <w:vAlign w:val="bottom"/>
          </w:tcPr>
          <w:p>
            <w:pPr>
              <w:spacing w:after="0"/>
              <w:rPr>
                <w:sz w:val="24"/>
                <w:szCs w:val="24"/>
                <w:color w:val="auto"/>
              </w:rPr>
            </w:pPr>
          </w:p>
        </w:tc>
        <w:tc>
          <w:tcPr>
            <w:tcW w:w="9720" w:type="dxa"/>
            <w:vAlign w:val="bottom"/>
            <w:gridSpan w:val="20"/>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Prospectus Supplement For Warrant Offerings (Incorporated by reference to Exhibit 99(S)(5) to the Registrant’s Registration</w:t>
              </w:r>
            </w:hyperlink>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180" w:type="dxa"/>
            <w:vAlign w:val="bottom"/>
            <w:tcBorders>
              <w:top w:val="single" w:sz="8" w:color="0000EE"/>
              <w:bottom w:val="single" w:sz="8" w:color="0000EE"/>
            </w:tcBorders>
            <w:gridSpan w:val="7"/>
          </w:tcPr>
          <w:p>
            <w:pPr>
              <w:spacing w:after="0" w:line="190" w:lineRule="exact"/>
              <w:rPr>
                <w:rFonts w:ascii="Times New Roman" w:cs="Times New Roman" w:eastAsia="Times New Roman" w:hAnsi="Times New Roman"/>
                <w:sz w:val="18"/>
                <w:szCs w:val="18"/>
                <w:color w:val="0000EE"/>
                <w:w w:val="97"/>
              </w:rPr>
            </w:pPr>
            <w:hyperlink r:id="rId169">
              <w:r>
                <w:rPr>
                  <w:rFonts w:ascii="Times New Roman" w:cs="Times New Roman" w:eastAsia="Times New Roman" w:hAnsi="Times New Roman"/>
                  <w:sz w:val="18"/>
                  <w:szCs w:val="18"/>
                  <w:color w:val="0000EE"/>
                  <w:w w:val="97"/>
                </w:rPr>
                <w:t>Statement on Form N-2 (File No. 333-180084), filed on March 14, 2012).</w:t>
              </w:r>
            </w:hyperlink>
          </w:p>
        </w:tc>
        <w:tc>
          <w:tcPr>
            <w:tcW w:w="4180" w:type="dxa"/>
            <w:vAlign w:val="bottom"/>
            <w:tcBorders>
              <w:top w:val="single" w:sz="8" w:color="0000EE"/>
            </w:tcBorders>
            <w:gridSpan w:val="8"/>
          </w:tcPr>
          <w:p>
            <w:pPr>
              <w:spacing w:after="0"/>
              <w:rPr>
                <w:sz w:val="16"/>
                <w:szCs w:val="16"/>
                <w:color w:val="auto"/>
              </w:rPr>
            </w:pPr>
          </w:p>
        </w:tc>
        <w:tc>
          <w:tcPr>
            <w:tcW w:w="360" w:type="dxa"/>
            <w:vAlign w:val="bottom"/>
            <w:gridSpan w:val="5"/>
          </w:tcPr>
          <w:p>
            <w:pPr>
              <w:spacing w:after="0"/>
              <w:rPr>
                <w:sz w:val="16"/>
                <w:szCs w:val="16"/>
                <w:color w:val="auto"/>
              </w:rPr>
            </w:pPr>
          </w:p>
        </w:tc>
      </w:tr>
      <w:tr>
        <w:trPr>
          <w:trHeight w:val="296"/>
        </w:trPr>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(s)(6)</w:t>
            </w:r>
          </w:p>
        </w:tc>
        <w:tc>
          <w:tcPr>
            <w:tcW w:w="380" w:type="dxa"/>
            <w:vAlign w:val="bottom"/>
          </w:tcPr>
          <w:p>
            <w:pPr>
              <w:spacing w:after="0"/>
              <w:rPr>
                <w:sz w:val="24"/>
                <w:szCs w:val="24"/>
                <w:color w:val="auto"/>
              </w:rPr>
            </w:pPr>
          </w:p>
        </w:tc>
        <w:tc>
          <w:tcPr>
            <w:tcW w:w="95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r:id="rId170">
              <w:r>
                <w:rPr>
                  <w:rFonts w:ascii="Times New Roman" w:cs="Times New Roman" w:eastAsia="Times New Roman" w:hAnsi="Times New Roman"/>
                  <w:sz w:val="18"/>
                  <w:szCs w:val="18"/>
                  <w:color w:val="0000EE"/>
                  <w:w w:val="97"/>
                </w:rPr>
                <w:t>Calculation of Filing Fee Table (Incorporated by reference to Exhibit (s)(6) to the Registrant’s Registration Statement on Form N-2 (File</w:t>
              </w:r>
            </w:hyperlink>
          </w:p>
        </w:tc>
        <w:tc>
          <w:tcPr>
            <w:tcW w:w="140" w:type="dxa"/>
            <w:vAlign w:val="bottom"/>
            <w:gridSpan w:val="4"/>
          </w:tcPr>
          <w:p>
            <w:pPr>
              <w:spacing w:after="0"/>
              <w:rPr>
                <w:sz w:val="24"/>
                <w:szCs w:val="24"/>
                <w:color w:val="auto"/>
              </w:rPr>
            </w:pPr>
          </w:p>
        </w:tc>
      </w:tr>
      <w:tr>
        <w:trPr>
          <w:trHeight w:val="191"/>
        </w:trPr>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tcBorders>
              <w:bottom w:val="single" w:sz="8" w:color="0000EE"/>
            </w:tcBorders>
            <w:gridSpan w:val="3"/>
          </w:tcPr>
          <w:p>
            <w:pPr>
              <w:spacing w:after="0" w:line="190" w:lineRule="exact"/>
              <w:rPr>
                <w:rFonts w:ascii="Times New Roman" w:cs="Times New Roman" w:eastAsia="Times New Roman" w:hAnsi="Times New Roman"/>
                <w:sz w:val="18"/>
                <w:szCs w:val="18"/>
                <w:color w:val="0000EE"/>
                <w:w w:val="96"/>
              </w:rPr>
            </w:pPr>
            <w:hyperlink r:id="rId170">
              <w:r>
                <w:rPr>
                  <w:rFonts w:ascii="Times New Roman" w:cs="Times New Roman" w:eastAsia="Times New Roman" w:hAnsi="Times New Roman"/>
                  <w:sz w:val="18"/>
                  <w:szCs w:val="18"/>
                  <w:color w:val="0000EE"/>
                  <w:w w:val="96"/>
                </w:rPr>
                <w:t>No. 333-279726), filed on May 24, 2024).</w:t>
              </w:r>
            </w:hyperlink>
          </w:p>
        </w:tc>
        <w:tc>
          <w:tcPr>
            <w:tcW w:w="6760" w:type="dxa"/>
            <w:vAlign w:val="bottom"/>
            <w:gridSpan w:val="17"/>
          </w:tcPr>
          <w:p>
            <w:pPr>
              <w:spacing w:after="0"/>
              <w:rPr>
                <w:sz w:val="16"/>
                <w:szCs w:val="16"/>
                <w:color w:val="auto"/>
              </w:rPr>
            </w:pPr>
          </w:p>
        </w:tc>
      </w:tr>
      <w:tr>
        <w:trPr>
          <w:trHeight w:val="466"/>
        </w:trPr>
        <w:tc>
          <w:tcPr>
            <w:tcW w:w="111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  Filed herewith</w:t>
            </w:r>
          </w:p>
        </w:tc>
      </w:tr>
      <w:tr>
        <w:trPr>
          <w:trHeight w:val="56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26.</w:t>
            </w:r>
          </w:p>
        </w:tc>
        <w:tc>
          <w:tcPr>
            <w:tcW w:w="10100" w:type="dxa"/>
            <w:vAlign w:val="bottom"/>
            <w:gridSpan w:val="21"/>
          </w:tcPr>
          <w:p>
            <w:pPr>
              <w:ind w:left="120"/>
              <w:spacing w:after="0"/>
              <w:rPr>
                <w:sz w:val="20"/>
                <w:szCs w:val="20"/>
                <w:color w:val="auto"/>
              </w:rPr>
            </w:pPr>
            <w:r>
              <w:rPr>
                <w:rFonts w:ascii="Times New Roman" w:cs="Times New Roman" w:eastAsia="Times New Roman" w:hAnsi="Times New Roman"/>
                <w:sz w:val="18"/>
                <w:szCs w:val="18"/>
                <w:b w:val="1"/>
                <w:bCs w:val="1"/>
                <w:color w:val="auto"/>
              </w:rPr>
              <w:t>Marketing arrangements</w:t>
            </w:r>
          </w:p>
        </w:tc>
      </w:tr>
    </w:tbl>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contained under the heading “Plan of Distribution” in this Registration Statement is hereby incorporated by reference.</w:t>
      </w:r>
    </w:p>
    <w:p>
      <w:pPr>
        <w:spacing w:after="0" w:line="1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275" w:right="479" w:bottom="1440" w:gutter="0" w:footer="0" w:header="0"/>
        </w:sectPr>
      </w:pPr>
    </w:p>
    <w:bookmarkStart w:id="91" w:name="page92"/>
    <w:bookmarkEnd w:id="9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Item 27.</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11" w:lineRule="exact"/>
        <w:rPr>
          <w:sz w:val="20"/>
          <w:szCs w:val="20"/>
          <w:color w:val="auto"/>
        </w:rPr>
      </w:pPr>
    </w:p>
    <w:p>
      <w:pPr>
        <w:ind w:right="440" w:firstLine="450"/>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incurred by the Registrant in connection with the offering described in this registration statement:</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1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117,808.29*</w:t>
            </w:r>
          </w:p>
        </w:tc>
      </w:tr>
      <w:tr>
        <w:trPr>
          <w:trHeight w:val="211"/>
        </w:trPr>
        <w:tc>
          <w:tcPr>
            <w:tcW w:w="1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NYSE listing fee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(other than certificates)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 the expenses set forth above shall be borne by the Registrant.</w:t>
            </w: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19" w:lineRule="exact"/>
        <w:rPr>
          <w:sz w:val="20"/>
          <w:szCs w:val="20"/>
          <w:color w:val="auto"/>
        </w:rPr>
      </w:pPr>
    </w:p>
    <w:p>
      <w:pPr>
        <w:ind w:right="1460" w:firstLine="5"/>
        <w:spacing w:after="0" w:line="268" w:lineRule="auto"/>
        <w:tabs>
          <w:tab w:leader="none" w:pos="4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has been offset against a filing fee associated with unsold securities registered under a previous registration statement. ** To be provided by amendment.</w:t>
      </w:r>
    </w:p>
    <w:p>
      <w:pPr>
        <w:spacing w:after="0" w:line="31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28.</w:t>
      </w:r>
      <w:r>
        <w:rPr>
          <w:sz w:val="20"/>
          <w:szCs w:val="20"/>
          <w:color w:val="auto"/>
        </w:rPr>
        <w:tab/>
      </w:r>
      <w:r>
        <w:rPr>
          <w:rFonts w:ascii="Times New Roman" w:cs="Times New Roman" w:eastAsia="Times New Roman" w:hAnsi="Times New Roman"/>
          <w:sz w:val="18"/>
          <w:szCs w:val="18"/>
          <w:b w:val="1"/>
          <w:bCs w:val="1"/>
          <w:color w:val="auto"/>
        </w:rPr>
        <w:t>Persons controlled by or under common control with the registrant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lists sets forth each of the companies considered to be controlled by us as defined by the 1940 Act.</w:t>
      </w:r>
    </w:p>
    <w:p>
      <w:pPr>
        <w:spacing w:after="0" w:line="218"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Voting</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 and place of jurisdiction</w:t>
            </w:r>
            <w:r>
              <w:rPr>
                <w:rFonts w:ascii="Times New Roman" w:cs="Times New Roman" w:eastAsia="Times New Roman" w:hAnsi="Times New Roman"/>
                <w:sz w:val="8"/>
                <w:szCs w:val="8"/>
                <w:b w:val="1"/>
                <w:bCs w:val="1"/>
                <w:color w:val="auto"/>
              </w:rPr>
              <w:t>(1)</w:t>
            </w:r>
          </w:p>
        </w:tc>
        <w:tc>
          <w:tcPr>
            <w:tcW w:w="4140" w:type="dxa"/>
            <w:vAlign w:val="bottom"/>
            <w:vMerge w:val="restart"/>
          </w:tcPr>
          <w:p>
            <w:pPr>
              <w:spacing w:after="0"/>
              <w:rPr>
                <w:sz w:val="12"/>
                <w:szCs w:val="12"/>
                <w:color w:val="auto"/>
              </w:rPr>
            </w:pPr>
          </w:p>
        </w:tc>
        <w:tc>
          <w:tcPr>
            <w:tcW w:w="8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80" w:type="dxa"/>
            <w:vAlign w:val="bottom"/>
            <w:tcBorders>
              <w:bottom w:val="single" w:sz="8" w:color="auto"/>
            </w:tcBorders>
            <w:vMerge w:val="continue"/>
          </w:tcPr>
          <w:p>
            <w:pPr>
              <w:spacing w:after="0"/>
              <w:rPr>
                <w:sz w:val="13"/>
                <w:szCs w:val="13"/>
                <w:color w:val="auto"/>
              </w:rPr>
            </w:pPr>
          </w:p>
        </w:tc>
        <w:tc>
          <w:tcPr>
            <w:tcW w:w="4140" w:type="dxa"/>
            <w:vAlign w:val="bottom"/>
            <w:vMerge w:val="continue"/>
          </w:tcPr>
          <w:p>
            <w:pPr>
              <w:spacing w:after="0"/>
              <w:rPr>
                <w:sz w:val="13"/>
                <w:szCs w:val="13"/>
                <w:color w:val="auto"/>
              </w:rPr>
            </w:pPr>
          </w:p>
        </w:tc>
        <w:tc>
          <w:tcPr>
            <w:tcW w:w="820" w:type="dxa"/>
            <w:vAlign w:val="bottom"/>
            <w:gridSpan w:val="2"/>
          </w:tcPr>
          <w:p>
            <w:pPr>
              <w:jc w:val="center"/>
              <w:ind w:right="1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PennantPark Floating Rate Funding I, LLC (Delaware)</w:t>
            </w: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gridSpan w:val="2"/>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Floating Rate Funding II, LLC (Delaware)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PennantPark CLO I, LLC (Delaware)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CLO I, Ltd. (Cayman Islands)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PennantPark CLO I Depositor, LLC (Delaware)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CLO VIII, LLC (Delaware)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PFLT Investment Holdings, LLC (Delaware)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PFLT Investment Holdings II, LLC (Delaware)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PennantPark Senior Secured Loan Fund I LLC</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460" w:hanging="455"/>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entities other than PSSL set forth in the list are wholly-owned subsidiaries of PennantPark Floating Rate Capital Ltd.</w:t>
      </w:r>
    </w:p>
    <w:p>
      <w:pPr>
        <w:spacing w:after="0" w:line="2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controlled affiliated investment.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29.</w:t>
            </w:r>
          </w:p>
        </w:tc>
        <w:tc>
          <w:tcPr>
            <w:tcW w:w="5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holders of securities</w:t>
            </w:r>
          </w:p>
        </w:tc>
        <w:tc>
          <w:tcPr>
            <w:tcW w:w="2980" w:type="dxa"/>
            <w:vAlign w:val="bottom"/>
          </w:tcPr>
          <w:p>
            <w:pPr>
              <w:spacing w:after="0"/>
              <w:rPr>
                <w:sz w:val="20"/>
                <w:szCs w:val="20"/>
                <w:color w:val="auto"/>
              </w:rPr>
            </w:pPr>
          </w:p>
        </w:tc>
      </w:tr>
      <w:tr>
        <w:trPr>
          <w:trHeight w:val="316"/>
        </w:trPr>
        <w:tc>
          <w:tcPr>
            <w:tcW w:w="64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As of March 31, 2024</w:t>
            </w:r>
          </w:p>
        </w:tc>
        <w:tc>
          <w:tcPr>
            <w:tcW w:w="2980" w:type="dxa"/>
            <w:vAlign w:val="bottom"/>
          </w:tcPr>
          <w:p>
            <w:pPr>
              <w:spacing w:after="0"/>
              <w:rPr>
                <w:sz w:val="24"/>
                <w:szCs w:val="24"/>
                <w:color w:val="auto"/>
              </w:rPr>
            </w:pPr>
          </w:p>
        </w:tc>
      </w:tr>
      <w:tr>
        <w:trPr>
          <w:trHeight w:val="358"/>
        </w:trPr>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80" w:type="dxa"/>
            <w:vAlign w:val="bottom"/>
          </w:tcPr>
          <w:p>
            <w:pPr>
              <w:jc w:val="center"/>
              <w:ind w:left="2145"/>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45"/>
        </w:trPr>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980" w:type="dxa"/>
            <w:vAlign w:val="bottom"/>
          </w:tcPr>
          <w:p>
            <w:pPr>
              <w:jc w:val="center"/>
              <w:ind w:left="2145"/>
              <w:spacing w:after="0" w:line="145" w:lineRule="exact"/>
              <w:rPr>
                <w:sz w:val="20"/>
                <w:szCs w:val="20"/>
                <w:color w:val="auto"/>
              </w:rPr>
            </w:pPr>
            <w:r>
              <w:rPr>
                <w:rFonts w:ascii="Times New Roman" w:cs="Times New Roman" w:eastAsia="Times New Roman" w:hAnsi="Times New Roman"/>
                <w:sz w:val="14"/>
                <w:szCs w:val="14"/>
                <w:b w:val="1"/>
                <w:bCs w:val="1"/>
                <w:color w:val="auto"/>
              </w:rPr>
              <w:t>Record</w:t>
            </w:r>
          </w:p>
        </w:tc>
      </w:tr>
      <w:tr>
        <w:trPr>
          <w:trHeight w:val="182"/>
        </w:trPr>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980" w:type="dxa"/>
            <w:vAlign w:val="bottom"/>
          </w:tcPr>
          <w:p>
            <w:pPr>
              <w:jc w:val="center"/>
              <w:ind w:left="2145"/>
              <w:spacing w:after="0"/>
              <w:rPr>
                <w:sz w:val="20"/>
                <w:szCs w:val="20"/>
                <w:color w:val="auto"/>
              </w:rPr>
            </w:pPr>
            <w:r>
              <w:rPr>
                <w:rFonts w:ascii="Times New Roman" w:cs="Times New Roman" w:eastAsia="Times New Roman" w:hAnsi="Times New Roman"/>
                <w:sz w:val="14"/>
                <w:szCs w:val="14"/>
                <w:b w:val="1"/>
                <w:bCs w:val="1"/>
                <w:color w:val="auto"/>
              </w:rPr>
              <w:t>Holders</w:t>
            </w:r>
          </w:p>
        </w:tc>
      </w:tr>
      <w:tr>
        <w:trPr>
          <w:trHeight w:val="211"/>
        </w:trPr>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33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30.</w:t>
      </w:r>
      <w:r>
        <w:rPr>
          <w:sz w:val="20"/>
          <w:szCs w:val="20"/>
          <w:color w:val="auto"/>
        </w:rPr>
        <w:tab/>
      </w:r>
      <w:r>
        <w:rPr>
          <w:rFonts w:ascii="Times New Roman" w:cs="Times New Roman" w:eastAsia="Times New Roman" w:hAnsi="Times New Roman"/>
          <w:sz w:val="18"/>
          <w:szCs w:val="18"/>
          <w:b w:val="1"/>
          <w:bCs w:val="1"/>
          <w:color w:val="auto"/>
        </w:rPr>
        <w:t>Indemnification</w:t>
      </w:r>
    </w:p>
    <w:p>
      <w:pPr>
        <w:spacing w:after="0" w:line="111"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The information contained under the heading “Description of our Capital Stock—Limitation on Liability of Directors and Officers; Indemnification and Advance of Expenses” is incorporated herein by reference.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290" w:right="459" w:bottom="1440" w:gutter="0" w:footer="0" w:header="0"/>
        </w:sectPr>
      </w:pPr>
    </w:p>
    <w:bookmarkStart w:id="92" w:name="page93"/>
    <w:bookmarkEnd w:id="92"/>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Item 31.</w:t>
      </w:r>
      <w:r>
        <w:rPr>
          <w:sz w:val="20"/>
          <w:szCs w:val="20"/>
          <w:color w:val="auto"/>
        </w:rPr>
        <w:tab/>
      </w:r>
      <w:r>
        <w:rPr>
          <w:rFonts w:ascii="Times New Roman" w:cs="Times New Roman" w:eastAsia="Times New Roman" w:hAnsi="Times New Roman"/>
          <w:sz w:val="18"/>
          <w:szCs w:val="18"/>
          <w:b w:val="1"/>
          <w:bCs w:val="1"/>
          <w:color w:val="auto"/>
        </w:rPr>
        <w:t>Business and other connections of Investment Adviser</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Investment Adviser and its officers and directors is set forth in its Form ADV, as filed with the SEC (SEC File No. 801-67622), and is incorporated herein by reference.</w:t>
      </w:r>
    </w:p>
    <w:p>
      <w:pPr>
        <w:spacing w:after="0" w:line="32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8"/>
          <w:szCs w:val="18"/>
          <w:b w:val="1"/>
          <w:bCs w:val="1"/>
          <w:color w:val="auto"/>
        </w:rPr>
        <w:t>Location of accounts and records</w:t>
      </w:r>
    </w:p>
    <w:p>
      <w:pPr>
        <w:spacing w:after="0" w:line="111" w:lineRule="exact"/>
        <w:rPr>
          <w:sz w:val="20"/>
          <w:szCs w:val="20"/>
          <w:color w:val="auto"/>
        </w:rPr>
      </w:pPr>
    </w:p>
    <w:p>
      <w:pPr>
        <w:ind w:right="400" w:firstLine="450"/>
        <w:spacing w:after="0" w:line="268" w:lineRule="auto"/>
        <w:rPr>
          <w:sz w:val="20"/>
          <w:szCs w:val="20"/>
          <w:color w:val="auto"/>
        </w:rPr>
      </w:pPr>
      <w:r>
        <w:rPr>
          <w:rFonts w:ascii="Times New Roman" w:cs="Times New Roman" w:eastAsia="Times New Roman" w:hAnsi="Times New Roman"/>
          <w:sz w:val="18"/>
          <w:szCs w:val="18"/>
          <w:color w:val="auto"/>
        </w:rPr>
        <w:t>All accounts, books and other documents required to be maintained by Section 31(a) of the 1940 Act, and the rules thereunder are maintained at the offices of:</w:t>
      </w:r>
    </w:p>
    <w:p>
      <w:pPr>
        <w:spacing w:after="0" w:line="77" w:lineRule="exact"/>
        <w:rPr>
          <w:sz w:val="20"/>
          <w:szCs w:val="20"/>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PennantPark Floating Rate Capital Ltd., 1691 Michigan Avenue, Miami Beach, FL 33139;</w:t>
      </w:r>
    </w:p>
    <w:p>
      <w:pPr>
        <w:spacing w:after="0" w:line="12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Equiniti Trust Company, LLC, 48 Wall Street, 22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8"/>
          <w:szCs w:val="18"/>
          <w:color w:val="auto"/>
        </w:rPr>
        <w:t xml:space="preserve"> Floor, New York, NY 10005;</w:t>
      </w:r>
    </w:p>
    <w:p>
      <w:pPr>
        <w:spacing w:after="0" w:line="8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The Bank of New York Mellon, 240 Greenwich Street, New York, NY 10286; and</w:t>
      </w:r>
    </w:p>
    <w:p>
      <w:pPr>
        <w:spacing w:after="0" w:line="12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Adviser, PennantPark Investment Advisers, LLC, 1691 Michigan Avenue, Miami Beach, FL 33139.</w:t>
      </w:r>
    </w:p>
    <w:p>
      <w:pPr>
        <w:spacing w:after="0" w:line="35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8"/>
          <w:szCs w:val="18"/>
          <w:b w:val="1"/>
          <w:bCs w:val="1"/>
          <w:color w:val="auto"/>
        </w:rPr>
        <w:t>Management services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34.</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undertakes:</w:t>
      </w:r>
    </w:p>
    <w:p>
      <w:pPr>
        <w:spacing w:after="0" w:line="122" w:lineRule="exact"/>
        <w:rPr>
          <w:sz w:val="20"/>
          <w:szCs w:val="20"/>
          <w:color w:val="auto"/>
        </w:rPr>
      </w:pPr>
    </w:p>
    <w:p>
      <w:pPr>
        <w:ind w:left="1000" w:right="40" w:hanging="547"/>
        <w:spacing w:after="0" w:line="25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the offering of shares until the prospectus filed as part of this registration statement is amended if (1) subsequent to the effective date of its registration statement, the NAV declines more than ten percent from its NAV as of the effective date of the registration statement; or (2) the NAV increases to an amount greater than the net proceeds as stated in the prospectus.</w:t>
      </w:r>
    </w:p>
    <w:p>
      <w:pPr>
        <w:spacing w:after="0" w:line="8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2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21" w:lineRule="exact"/>
        <w:rPr>
          <w:rFonts w:ascii="Times New Roman" w:cs="Times New Roman" w:eastAsia="Times New Roman" w:hAnsi="Times New Roman"/>
          <w:sz w:val="18"/>
          <w:szCs w:val="18"/>
          <w:color w:val="auto"/>
        </w:rPr>
      </w:pPr>
    </w:p>
    <w:p>
      <w:pPr>
        <w:ind w:left="1000" w:right="20" w:hanging="547"/>
        <w:spacing w:after="0" w:line="249"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 the purpose of determining any liability under the Securities Act, the information omitted from the form of prospectus filed as part of this registration statement in reliance upon Rule 430A and contained in a form of prospectus filed by the Registrant under Rule 424(b) (1) under the Securities Act shall be deemed to be part of this registration statement as of the time it was declared effective; and (b)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21" w:lineRule="exact"/>
        <w:rPr>
          <w:rFonts w:ascii="Times New Roman" w:cs="Times New Roman" w:eastAsia="Times New Roman" w:hAnsi="Times New Roman"/>
          <w:sz w:val="18"/>
          <w:szCs w:val="18"/>
          <w:color w:val="auto"/>
        </w:rPr>
      </w:pPr>
    </w:p>
    <w:p>
      <w:pPr>
        <w:ind w:left="1000" w:hanging="547"/>
        <w:spacing w:after="0" w:line="289" w:lineRule="auto"/>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20"/>
          </w:cols>
          <w:pgMar w:left="320" w:top="290" w:right="359" w:bottom="1440" w:gutter="0" w:footer="0" w:header="0"/>
        </w:sectPr>
      </w:pPr>
    </w:p>
    <w:bookmarkStart w:id="93" w:name="page94"/>
    <w:bookmarkEnd w:id="93"/>
    <w:p>
      <w:pPr>
        <w:jc w:val="both"/>
        <w:ind w:left="547"/>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8" w:lineRule="exact"/>
        <w:rPr>
          <w:sz w:val="20"/>
          <w:szCs w:val="20"/>
          <w:color w:val="auto"/>
        </w:rPr>
      </w:pPr>
    </w:p>
    <w:p>
      <w:pPr>
        <w:ind w:left="547" w:right="260" w:hanging="547"/>
        <w:spacing w:after="0" w:line="268" w:lineRule="auto"/>
        <w:tabs>
          <w:tab w:leader="none" w:pos="5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send by first class mail or other means designed to ensure equally prompt delivery, within two business days of receipt of a written or oral request, any prospectus or Statement of Additional Information.</w:t>
      </w:r>
    </w:p>
    <w:p>
      <w:pPr>
        <w:spacing w:after="0" w:line="104" w:lineRule="exact"/>
        <w:rPr>
          <w:sz w:val="20"/>
          <w:szCs w:val="20"/>
          <w:color w:val="auto"/>
        </w:rPr>
      </w:pPr>
    </w:p>
    <w:p>
      <w:pPr>
        <w:jc w:val="center"/>
        <w:ind w:right="31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667"/>
          </w:cols>
          <w:pgMar w:left="773" w:top="292" w:right="45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SIGNATURES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Pre-Effective Amendment No. 1 to the Registration Statement on Form N-2 to be signed on its behalf by the undersigned, thereunto duly authorized, in the City of New York, and State of New York, on the 21st day of June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197"/>
        </w:trPr>
        <w:tc>
          <w:tcPr>
            <w:tcW w:w="68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Name:</w:t>
            </w:r>
          </w:p>
        </w:tc>
        <w:tc>
          <w:tcPr>
            <w:tcW w:w="38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Arthur H. Penn</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 of the</w:t>
            </w:r>
          </w:p>
        </w:tc>
      </w:tr>
      <w:tr>
        <w:trPr>
          <w:trHeight w:val="230"/>
        </w:trPr>
        <w:tc>
          <w:tcPr>
            <w:tcW w:w="6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r>
    </w:tbl>
    <w:p>
      <w:pPr>
        <w:spacing w:after="0" w:line="19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Pre-Effective Amendment No. 1 to the Registrant’s Registration Statement on Form N-2 has been signed by the following persons in the capacities set forth below on the 21st day of June 2024.</w:t>
      </w:r>
    </w:p>
    <w:p>
      <w:pPr>
        <w:sectPr>
          <w:pgSz w:w="11900" w:h="16838" w:orient="portrait"/>
          <w:cols w:equalWidth="0" w:num="1">
            <w:col w:w="11240"/>
          </w:cols>
          <w:pgMar w:left="320" w:top="290" w:right="339" w:bottom="1440" w:gutter="0" w:footer="0" w:header="0"/>
        </w:sectPr>
      </w:pPr>
    </w:p>
    <w:p>
      <w:pPr>
        <w:spacing w:after="0" w:line="1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2753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8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2753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Arthur H. Penn</w:t>
      </w:r>
    </w:p>
    <w:p>
      <w:pPr>
        <w:spacing w:after="0" w:line="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2753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1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Richard T. Allorto, Jr.</w:t>
      </w:r>
    </w:p>
    <w:p>
      <w:pPr>
        <w:spacing w:after="0" w:line="4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8"/>
          <w:szCs w:val="18"/>
          <w:b w:val="1"/>
          <w:bCs w:val="1"/>
          <w:color w:val="auto"/>
        </w:rPr>
        <w:t>Adam K. Bernstein</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ind w:left="2140"/>
        <w:spacing w:after="0"/>
        <w:rPr>
          <w:sz w:val="20"/>
          <w:szCs w:val="20"/>
          <w:color w:val="auto"/>
        </w:rPr>
      </w:pPr>
      <w:r>
        <w:rPr>
          <w:rFonts w:ascii="Times New Roman" w:cs="Times New Roman" w:eastAsia="Times New Roman" w:hAnsi="Times New Roman"/>
          <w:sz w:val="18"/>
          <w:szCs w:val="18"/>
          <w:b w:val="1"/>
          <w:bCs w:val="1"/>
          <w:color w:val="auto"/>
        </w:rPr>
        <w:t>Jeffrey Flug</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ind w:left="1940"/>
        <w:spacing w:after="0"/>
        <w:rPr>
          <w:sz w:val="20"/>
          <w:szCs w:val="20"/>
          <w:color w:val="auto"/>
        </w:rPr>
      </w:pPr>
      <w:r>
        <w:rPr>
          <w:rFonts w:ascii="Times New Roman" w:cs="Times New Roman" w:eastAsia="Times New Roman" w:hAnsi="Times New Roman"/>
          <w:sz w:val="18"/>
          <w:szCs w:val="18"/>
          <w:b w:val="1"/>
          <w:bCs w:val="1"/>
          <w:color w:val="auto"/>
        </w:rPr>
        <w:t>Marshall Brozost</w:t>
      </w:r>
    </w:p>
    <w:p>
      <w:pPr>
        <w:spacing w:after="0" w:line="2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ind w:left="2000"/>
        <w:spacing w:after="0"/>
        <w:rPr>
          <w:sz w:val="20"/>
          <w:szCs w:val="20"/>
          <w:color w:val="auto"/>
        </w:rPr>
      </w:pPr>
      <w:r>
        <w:rPr>
          <w:rFonts w:ascii="Times New Roman" w:cs="Times New Roman" w:eastAsia="Times New Roman" w:hAnsi="Times New Roman"/>
          <w:sz w:val="18"/>
          <w:szCs w:val="18"/>
          <w:b w:val="1"/>
          <w:bCs w:val="1"/>
          <w:color w:val="auto"/>
        </w:rPr>
        <w:t>Samuel L. Katz</w:t>
      </w:r>
    </w:p>
    <w:p>
      <w:pPr>
        <w:spacing w:after="0" w:line="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2753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José A. Briones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37185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371856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Chief Financial Officer and Treasurer (Principal Financial and Accounting Officer)</w:t>
      </w:r>
    </w:p>
    <w:p>
      <w:pPr>
        <w:spacing w:after="0" w:line="26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24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25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Director</w:t>
      </w:r>
    </w:p>
    <w:p>
      <w:pPr>
        <w:spacing w:after="0" w:line="316" w:lineRule="exact"/>
        <w:rPr>
          <w:sz w:val="20"/>
          <w:szCs w:val="20"/>
          <w:color w:val="auto"/>
        </w:rPr>
      </w:pPr>
    </w:p>
    <w:p>
      <w:pPr>
        <w:sectPr>
          <w:pgSz w:w="11900" w:h="16838" w:orient="portrait"/>
          <w:cols w:equalWidth="0" w:num="2">
            <w:col w:w="4680" w:space="720"/>
            <w:col w:w="5840"/>
          </w:cols>
          <w:pgMar w:left="320" w:top="290" w:right="339" w:bottom="1440" w:gutter="0" w:footer="0" w:header="0"/>
          <w:type w:val="continuous"/>
        </w:sectPr>
      </w:pPr>
    </w:p>
    <w:p>
      <w:pPr>
        <w:spacing w:after="0" w:line="42" w:lineRule="exact"/>
        <w:rPr>
          <w:sz w:val="20"/>
          <w:szCs w:val="20"/>
          <w:color w:val="auto"/>
        </w:rPr>
      </w:pPr>
    </w:p>
    <w:p>
      <w:pPr>
        <w:ind w:left="5540" w:right="1220" w:hanging="5535"/>
        <w:spacing w:after="0" w:line="436" w:lineRule="auto"/>
        <w:tabs>
          <w:tab w:leader="none" w:pos="4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by Richard T. Allorto, Jr. on behalf of those identified pursuant to his designation as an attorney-in-fact signed on May 24, 2024. 92</w:t>
      </w:r>
    </w:p>
    <w:p>
      <w:pPr>
        <w:sectPr>
          <w:pgSz w:w="11900" w:h="16838" w:orient="portrait"/>
          <w:cols w:equalWidth="0" w:num="1">
            <w:col w:w="11240"/>
          </w:cols>
          <w:pgMar w:left="320" w:top="290" w:right="33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AMENDED AND RESTATED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 ADVISORY MANAGEMENT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BETWEEN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PENNANTPARK FLOATING RATE CAPITAL LTD.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PENNANTPARK INVESTMENT ADVISERS, LLC</w:t>
      </w:r>
    </w:p>
    <w:p>
      <w:pPr>
        <w:spacing w:after="0" w:line="216" w:lineRule="exact"/>
        <w:rPr>
          <w:sz w:val="20"/>
          <w:szCs w:val="20"/>
          <w:color w:val="auto"/>
        </w:rPr>
      </w:pPr>
    </w:p>
    <w:p>
      <w:pPr>
        <w:jc w:val="both"/>
        <w:ind w:right="240"/>
        <w:spacing w:after="0" w:line="218" w:lineRule="auto"/>
        <w:rPr>
          <w:sz w:val="20"/>
          <w:szCs w:val="20"/>
          <w:color w:val="auto"/>
        </w:rPr>
      </w:pPr>
      <w:r>
        <w:rPr>
          <w:rFonts w:ascii="Times New Roman" w:cs="Times New Roman" w:eastAsia="Times New Roman" w:hAnsi="Times New Roman"/>
          <w:sz w:val="18"/>
          <w:szCs w:val="18"/>
          <w:color w:val="auto"/>
        </w:rPr>
        <w:t>THIRD AMENDED AND RESTATED AGREEMENT (this “Agreement”) made this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May 2024, by and between PENNANTPARK FLOATING RATE CAPITAL LTD., a Maryland corporation (the “Corporation”), and PENNANTPARK INVESTMENT ADVISERS, LLC, a Delaware limited liability company (the “Adviser”).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Corporation operates as a closed-end management investment company;</w:t>
      </w:r>
    </w:p>
    <w:p>
      <w:pPr>
        <w:spacing w:after="0" w:line="21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WHEREAS, the Corporation has filed an election to be treated as a business development company under the Investment Company Act of 1940, as amended (the “1940 Act”);</w:t>
      </w:r>
    </w:p>
    <w:p>
      <w:pPr>
        <w:spacing w:after="0" w:line="169"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color w:val="auto"/>
        </w:rPr>
        <w:t>WHEREAS, the Corporation and the Adviser are parties to that certain investment advisory management agreement dated April 7, 2011, as amended and restated on August 7, 2012, by and between the Corporation and the Adviser (the “Prior Agreement”);</w:t>
      </w:r>
    </w:p>
    <w:p>
      <w:pPr>
        <w:spacing w:after="0" w:line="16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WHEREAS, the Corporation and the Adviser desire to amend and restate the Prior Agreement to set forth the terms and conditions for the continued provision by the Adviser of investment advisory services to the Corporation; and</w:t>
      </w:r>
    </w:p>
    <w:p>
      <w:pPr>
        <w:spacing w:after="0" w:line="16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WHEREAS, the Corporation’s board of directors has determined that such amendment and restatement clarifies the intent of the Prior Agreement in a manner that is consistent with the Corporation’s public disclosures and is not detrimental to the Corporation.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parties hereby agree as follows:</w:t>
      </w:r>
    </w:p>
    <w:p>
      <w:pPr>
        <w:spacing w:after="0" w:line="214" w:lineRule="exact"/>
        <w:rPr>
          <w:sz w:val="20"/>
          <w:szCs w:val="20"/>
          <w:color w:val="auto"/>
        </w:rPr>
      </w:pPr>
    </w:p>
    <w:p>
      <w:pPr>
        <w:ind w:left="180" w:hanging="175"/>
        <w:spacing w:after="0"/>
        <w:tabs>
          <w:tab w:leader="none" w:pos="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the Adviser</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right="40" w:firstLine="5"/>
        <w:spacing w:after="0" w:line="246" w:lineRule="auto"/>
        <w:tabs>
          <w:tab w:leader="none" w:pos="2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 accordance with the investment objective, policies and restrictions that are set forth in the Corporation’s registration statement, as the same may be amended from time to time, (ii) in accordance with the 1940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 the investments made by the Corporation; (iii) 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w:t>
      </w:r>
    </w:p>
    <w:p>
      <w:pPr>
        <w:sectPr>
          <w:pgSz w:w="11900" w:h="16838" w:orient="portrait"/>
          <w:cols w:equalWidth="0" w:num="1">
            <w:col w:w="11240"/>
          </w:cols>
          <w:pgMar w:left="320" w:top="119" w:right="339" w:bottom="1440" w:gutter="0" w:footer="0" w:header="0"/>
        </w:sectPr>
      </w:pPr>
    </w:p>
    <w:bookmarkStart w:id="96" w:name="page97"/>
    <w:bookmarkEnd w:id="96"/>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1940 Act.</w:t>
      </w:r>
    </w:p>
    <w:p>
      <w:pPr>
        <w:spacing w:after="0" w:line="185" w:lineRule="exact"/>
        <w:rPr>
          <w:sz w:val="20"/>
          <w:szCs w:val="20"/>
          <w:color w:val="auto"/>
        </w:rPr>
      </w:pPr>
    </w:p>
    <w:p>
      <w:pPr>
        <w:ind w:right="380" w:firstLine="5"/>
        <w:spacing w:after="0" w:line="268" w:lineRule="auto"/>
        <w:tabs>
          <w:tab w:leader="none" w:pos="2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hereby accepts such employment and agrees during the term hereof to render the services described herein for the compensation provided herein.</w:t>
      </w:r>
    </w:p>
    <w:p>
      <w:pPr>
        <w:spacing w:after="0" w:line="169" w:lineRule="exact"/>
        <w:rPr>
          <w:rFonts w:ascii="Times New Roman" w:cs="Times New Roman" w:eastAsia="Times New Roman" w:hAnsi="Times New Roman"/>
          <w:sz w:val="18"/>
          <w:szCs w:val="18"/>
          <w:color w:val="auto"/>
        </w:rPr>
      </w:pPr>
    </w:p>
    <w:p>
      <w:pPr>
        <w:ind w:right="380" w:firstLine="5"/>
        <w:spacing w:after="0" w:line="248" w:lineRule="auto"/>
        <w:tabs>
          <w:tab w:leader="none" w:pos="2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the 1940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1940 Act and other applicable federal and state law.</w:t>
      </w:r>
    </w:p>
    <w:p>
      <w:pPr>
        <w:spacing w:after="0" w:line="187" w:lineRule="exact"/>
        <w:rPr>
          <w:rFonts w:ascii="Times New Roman" w:cs="Times New Roman" w:eastAsia="Times New Roman" w:hAnsi="Times New Roman"/>
          <w:sz w:val="18"/>
          <w:szCs w:val="18"/>
          <w:color w:val="auto"/>
        </w:rPr>
      </w:pPr>
    </w:p>
    <w:p>
      <w:pPr>
        <w:ind w:right="80" w:firstLine="5"/>
        <w:spacing w:after="0" w:line="268" w:lineRule="auto"/>
        <w:tabs>
          <w:tab w:leader="none" w:pos="2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169" w:lineRule="exact"/>
        <w:rPr>
          <w:rFonts w:ascii="Times New Roman" w:cs="Times New Roman" w:eastAsia="Times New Roman" w:hAnsi="Times New Roman"/>
          <w:sz w:val="18"/>
          <w:szCs w:val="18"/>
          <w:color w:val="auto"/>
        </w:rPr>
      </w:pPr>
    </w:p>
    <w:p>
      <w:pPr>
        <w:ind w:right="80" w:firstLine="5"/>
        <w:spacing w:after="0" w:line="250" w:lineRule="auto"/>
        <w:tabs>
          <w:tab w:leader="none" w:pos="2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shall keep and preserve, in the manner and for the period that would be applicable to investment companies registered under the 1940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185" w:lineRule="exact"/>
        <w:rPr>
          <w:sz w:val="20"/>
          <w:szCs w:val="20"/>
          <w:color w:val="auto"/>
        </w:rPr>
      </w:pPr>
    </w:p>
    <w:p>
      <w:pPr>
        <w:ind w:firstLine="5"/>
        <w:spacing w:after="0" w:line="281" w:lineRule="auto"/>
        <w:tabs>
          <w:tab w:leader="none" w:pos="17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Corporation’s Responsibilities and Expenses Payable by the Corporation</w:t>
      </w:r>
      <w:r>
        <w:rPr>
          <w:rFonts w:ascii="Times New Roman" w:cs="Times New Roman" w:eastAsia="Times New Roman" w:hAnsi="Times New Roman"/>
          <w:sz w:val="16"/>
          <w:szCs w:val="16"/>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(the “Administration Agreement”) between the Corporation and PennantPark Investment Administration, LLC (the “Administrator”), the Corporation’s administrator; fees payable to</w:t>
      </w:r>
    </w:p>
    <w:p>
      <w:pPr>
        <w:sectPr>
          <w:pgSz w:w="11900" w:h="16838" w:orient="portrait"/>
          <w:cols w:equalWidth="0" w:num="1">
            <w:col w:w="11200"/>
          </w:cols>
          <w:pgMar w:left="320" w:top="266" w:right="379" w:bottom="1440" w:gutter="0" w:footer="0" w:header="0"/>
        </w:sectPr>
      </w:pPr>
    </w:p>
    <w:bookmarkStart w:id="97" w:name="page98"/>
    <w:bookmarkEnd w:id="97"/>
    <w:p>
      <w:pPr>
        <w:ind w:right="4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93" w:lineRule="exact"/>
        <w:rPr>
          <w:sz w:val="20"/>
          <w:szCs w:val="20"/>
          <w:color w:val="auto"/>
        </w:rPr>
      </w:pPr>
    </w:p>
    <w:p>
      <w:pPr>
        <w:ind w:firstLine="5"/>
        <w:spacing w:after="0" w:line="293" w:lineRule="auto"/>
        <w:tabs>
          <w:tab w:leader="none" w:pos="17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of the Adviser</w:t>
      </w:r>
      <w:r>
        <w:rPr>
          <w:rFonts w:ascii="Times New Roman" w:cs="Times New Roman" w:eastAsia="Times New Roman" w:hAnsi="Times New Roman"/>
          <w:sz w:val="16"/>
          <w:szCs w:val="16"/>
          <w:color w:val="auto"/>
        </w:rPr>
        <w:t>.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154" w:lineRule="exact"/>
        <w:rPr>
          <w:sz w:val="20"/>
          <w:szCs w:val="20"/>
          <w:color w:val="auto"/>
        </w:rPr>
      </w:pPr>
    </w:p>
    <w:p>
      <w:pPr>
        <w:ind w:right="40" w:firstLine="5"/>
        <w:spacing w:after="0" w:line="248" w:lineRule="auto"/>
        <w:tabs>
          <w:tab w:leader="none" w:pos="2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Management Fee shall be calculated at an annual rate of 1.00% of the Corporation’s “average adjusted gross assets,” which equals the Corporation’s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For services rendered under this Agreement, the Base Management Fee will be payable quarterly in arrears. The Base Management Fee will be calculated based on the average adjusted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87"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shall consist of two parts, as follows:</w:t>
      </w:r>
    </w:p>
    <w:p>
      <w:pPr>
        <w:spacing w:after="0" w:line="108" w:lineRule="exact"/>
        <w:rPr>
          <w:rFonts w:ascii="Times New Roman" w:cs="Times New Roman" w:eastAsia="Times New Roman" w:hAnsi="Times New Roman"/>
          <w:sz w:val="18"/>
          <w:szCs w:val="18"/>
          <w:color w:val="auto"/>
        </w:rPr>
      </w:pPr>
    </w:p>
    <w:p>
      <w:pPr>
        <w:ind w:left="460" w:right="100" w:hanging="5"/>
        <w:spacing w:after="0" w:line="247" w:lineRule="auto"/>
        <w:tabs>
          <w:tab w:leader="none" w:pos="66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part will be calculated and payable quarterly in arrears based on the Corporation’s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prepayment penalties, diligence and consulting fees or other fees that the Corporation receives from portfolio companies, accrued during the calendar quarter, minus the Corporation’s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that the Corporation has not yet received in cash. Pre-Incentive Fee</w:t>
      </w:r>
    </w:p>
    <w:p>
      <w:pPr>
        <w:sectPr>
          <w:pgSz w:w="11900" w:h="16838" w:orient="portrait"/>
          <w:cols w:equalWidth="0" w:num="1">
            <w:col w:w="11220"/>
          </w:cols>
          <w:pgMar w:left="320" w:top="266" w:right="359" w:bottom="1440" w:gutter="0" w:footer="0" w:header="0"/>
        </w:sectPr>
      </w:pPr>
    </w:p>
    <w:bookmarkStart w:id="98" w:name="page99"/>
    <w:bookmarkEnd w:id="98"/>
    <w:p>
      <w:pPr>
        <w:ind w:left="455"/>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investment income does not include any realized capital gains, computed net of all realized capital losses or unrealized capital appreciation or depreciation. Pre-Incentive Fee net investment income, expressed as a percentage of the value of the Corporation’s net assets at the end of the immediately preceding calendar quarter, will be compared to a “hurdle rate” of 1.75% per quarter (7.00% annualized). The Corporation’s net investment income used to calculate this part of the Incentive Fee is also included in the amount of its gross assets used to calculate the 1.00% Base Management Fee.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of 1.75%; (2) 50% of the Corporation’s pre-Incentive Fee net investment income with respect to that portion of such pre-Incentive Fee net investment income, if any, that exceeds the hurdle rate but is less than 2.9167% in any calendar quarter (11.67% annualized) (this portion of the pre-Incentive Fee net investment income (which exceeds the hurdle but is less than 2.9167%) is referred to herein as the “catch-up,” which is meant to provide the Adviser with 20% of the Corporation’s pre-Incentive Fee net investment income, as if a hurdle did not apply, if this net investment income exceeds 2.9167% in any calendar quarter); and (3) 20% of the amount of the Corporation’s pre-Incentive Fee net investment income, if any, that exceeds 2.9167% in any calendar quarter. These calculations will be appropriately pro-rated for any period of less than three months and adjusted for any share issuances or repurchases during the relevant quarter.</w:t>
      </w:r>
    </w:p>
    <w:p>
      <w:pPr>
        <w:spacing w:after="0" w:line="84" w:lineRule="exact"/>
        <w:rPr>
          <w:sz w:val="20"/>
          <w:szCs w:val="20"/>
          <w:color w:val="auto"/>
        </w:rPr>
      </w:pPr>
    </w:p>
    <w:p>
      <w:pPr>
        <w:ind w:left="455" w:hanging="5"/>
        <w:spacing w:after="0" w:line="249" w:lineRule="auto"/>
        <w:tabs>
          <w:tab w:leader="none" w:pos="71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part of the Incentive Fee (the “Capital Gains Fee”) will be determined and payable in arrears as of the end of each calendar year (or upon termination of this Agreement as set forth below), commencing with December 31, 2011, and will equal 20.0% of the Corporation’s realized capital gains, if any, on a cumulative basis from inception through the end of each calendar year, computed net of all realized capital losses and unrealized capital depreciation on a cumulative basis, less the aggregate amount of any previously paid Capital Gains Fees. In the event that this Agreement shall terminate as of a date that is not a calendar year end, the termination date shall be treated as though it were a calendar year end for purposes of calculating and paying a Capital Gains Fee.</w:t>
      </w:r>
    </w:p>
    <w:p>
      <w:pPr>
        <w:spacing w:after="0" w:line="185" w:lineRule="exact"/>
        <w:rPr>
          <w:rFonts w:ascii="Times New Roman" w:cs="Times New Roman" w:eastAsia="Times New Roman" w:hAnsi="Times New Roman"/>
          <w:sz w:val="18"/>
          <w:szCs w:val="18"/>
          <w:color w:val="auto"/>
        </w:rPr>
      </w:pPr>
    </w:p>
    <w:p>
      <w:pPr>
        <w:ind w:left="-5" w:right="60" w:firstLine="5"/>
        <w:spacing w:after="0" w:line="268" w:lineRule="auto"/>
        <w:tabs>
          <w:tab w:leader="none" w:pos="1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Adviser</w:t>
      </w:r>
      <w:r>
        <w:rPr>
          <w:rFonts w:ascii="Times New Roman" w:cs="Times New Roman" w:eastAsia="Times New Roman" w:hAnsi="Times New Roman"/>
          <w:sz w:val="18"/>
          <w:szCs w:val="18"/>
          <w:color w:val="auto"/>
        </w:rPr>
        <w:t>.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169" w:lineRule="exact"/>
        <w:rPr>
          <w:rFonts w:ascii="Times New Roman" w:cs="Times New Roman" w:eastAsia="Times New Roman" w:hAnsi="Times New Roman"/>
          <w:sz w:val="18"/>
          <w:szCs w:val="18"/>
          <w:color w:val="auto"/>
        </w:rPr>
      </w:pPr>
    </w:p>
    <w:p>
      <w:pPr>
        <w:ind w:left="-5" w:right="20" w:firstLine="5"/>
        <w:spacing w:after="0" w:line="248" w:lineRule="auto"/>
        <w:tabs>
          <w:tab w:leader="none" w:pos="1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Brokerage Commissions</w:t>
      </w:r>
      <w:r>
        <w:rPr>
          <w:rFonts w:ascii="Times New Roman" w:cs="Times New Roman" w:eastAsia="Times New Roman" w:hAnsi="Times New Roman"/>
          <w:sz w:val="18"/>
          <w:szCs w:val="18"/>
          <w:color w:val="auto"/>
        </w:rPr>
        <w:t>.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87" w:lineRule="exact"/>
        <w:rPr>
          <w:rFonts w:ascii="Times New Roman" w:cs="Times New Roman" w:eastAsia="Times New Roman" w:hAnsi="Times New Roman"/>
          <w:sz w:val="18"/>
          <w:szCs w:val="18"/>
          <w:color w:val="auto"/>
        </w:rPr>
      </w:pPr>
    </w:p>
    <w:p>
      <w:pPr>
        <w:ind w:left="-5" w:right="160" w:firstLine="5"/>
        <w:spacing w:after="0" w:line="256" w:lineRule="auto"/>
        <w:tabs>
          <w:tab w:leader="none" w:pos="1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the Employment of the Adviser</w:t>
      </w:r>
      <w:r>
        <w:rPr>
          <w:rFonts w:ascii="Times New Roman" w:cs="Times New Roman" w:eastAsia="Times New Roman" w:hAnsi="Times New Roman"/>
          <w:sz w:val="18"/>
          <w:szCs w:val="18"/>
          <w:color w:val="auto"/>
        </w:rPr>
        <w:t>.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w:t>
      </w:r>
    </w:p>
    <w:p>
      <w:pPr>
        <w:sectPr>
          <w:pgSz w:w="11900" w:h="16838" w:orient="portrait"/>
          <w:cols w:equalWidth="0" w:num="1">
            <w:col w:w="11155"/>
          </w:cols>
          <w:pgMar w:left="325" w:top="266" w:right="419" w:bottom="1440" w:gutter="0" w:footer="0" w:header="0"/>
        </w:sectPr>
      </w:pPr>
    </w:p>
    <w:bookmarkStart w:id="99" w:name="page100"/>
    <w:bookmarkEnd w:id="99"/>
    <w:p>
      <w:pPr>
        <w:ind w:right="40"/>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67" w:lineRule="exact"/>
        <w:rPr>
          <w:sz w:val="20"/>
          <w:szCs w:val="20"/>
          <w:color w:val="auto"/>
        </w:rPr>
      </w:pPr>
    </w:p>
    <w:p>
      <w:pPr>
        <w:ind w:right="140" w:firstLine="5"/>
        <w:spacing w:after="0" w:line="250" w:lineRule="auto"/>
        <w:tabs>
          <w:tab w:leader="none" w:pos="1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of Dual Directors, Officers and/or Employees</w:t>
      </w:r>
      <w:r>
        <w:rPr>
          <w:rFonts w:ascii="Times New Roman" w:cs="Times New Roman" w:eastAsia="Times New Roman" w:hAnsi="Times New Roman"/>
          <w:sz w:val="18"/>
          <w:szCs w:val="18"/>
          <w:color w:val="auto"/>
        </w:rPr>
        <w:t>.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85" w:lineRule="exact"/>
        <w:rPr>
          <w:rFonts w:ascii="Times New Roman" w:cs="Times New Roman" w:eastAsia="Times New Roman" w:hAnsi="Times New Roman"/>
          <w:sz w:val="18"/>
          <w:szCs w:val="18"/>
          <w:color w:val="auto"/>
        </w:rPr>
      </w:pPr>
    </w:p>
    <w:p>
      <w:pPr>
        <w:ind w:firstLine="5"/>
        <w:spacing w:after="0" w:line="278" w:lineRule="auto"/>
        <w:tabs>
          <w:tab w:leader="none" w:pos="17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of Liability of the Adviser; Indemnification</w:t>
      </w:r>
      <w:r>
        <w:rPr>
          <w:rFonts w:ascii="Times New Roman" w:cs="Times New Roman" w:eastAsia="Times New Roman" w:hAnsi="Times New Roman"/>
          <w:sz w:val="16"/>
          <w:szCs w:val="16"/>
          <w:color w:val="auto"/>
        </w:rPr>
        <w:t>.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 Section 36(b) of the 1940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1940 Act and any interpretations or guidance by the Securities and Exchange Commission or its staff thereunder).</w:t>
      </w:r>
    </w:p>
    <w:p>
      <w:pPr>
        <w:sectPr>
          <w:pgSz w:w="11900" w:h="16838" w:orient="portrait"/>
          <w:cols w:equalWidth="0" w:num="1">
            <w:col w:w="11240"/>
          </w:cols>
          <w:pgMar w:left="320" w:top="266" w:right="339" w:bottom="1440" w:gutter="0" w:footer="0" w:header="0"/>
        </w:sectPr>
      </w:pPr>
    </w:p>
    <w:bookmarkStart w:id="100" w:name="page101"/>
    <w:bookmarkEnd w:id="100"/>
    <w:p>
      <w:pPr>
        <w:ind w:left="-5" w:firstLine="5"/>
        <w:spacing w:after="0" w:line="246" w:lineRule="auto"/>
        <w:tabs>
          <w:tab w:leader="none" w:pos="17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Effectiveness, Duration and Termination of Agreement</w:t>
      </w:r>
      <w:r>
        <w:rPr>
          <w:rFonts w:ascii="Times New Roman" w:cs="Times New Roman" w:eastAsia="Times New Roman" w:hAnsi="Times New Roman"/>
          <w:sz w:val="18"/>
          <w:szCs w:val="18"/>
          <w:color w:val="auto"/>
        </w:rPr>
        <w:t>. This Agreement shall become effective as of the first date above written. This Agreement shall continue automatically for successive annual periods, provided that such continuance is specifically approved at least annually by (a) the vote of the Corporation’s Board of Directors, or by the vote of a majority of the outstanding voting securities of the Corporation and (b) the vote of a majority of the Corporation’s directors who are not parties to this Agreement or “interested persons” (as such term is defined in Section 2(a)(19) of the 1940 Act) of any such party, in accordance with the requirements of the 1940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1940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92" w:lineRule="exact"/>
        <w:rPr>
          <w:rFonts w:ascii="Times New Roman" w:cs="Times New Roman" w:eastAsia="Times New Roman" w:hAnsi="Times New Roman"/>
          <w:sz w:val="18"/>
          <w:szCs w:val="18"/>
          <w:color w:val="auto"/>
        </w:rPr>
      </w:pPr>
    </w:p>
    <w:p>
      <w:pPr>
        <w:ind w:left="-5" w:right="160" w:firstLine="5"/>
        <w:spacing w:after="0" w:line="268" w:lineRule="auto"/>
        <w:tabs>
          <w:tab w:leader="none" w:pos="2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under this Agreement shall be given in writing, addressed and delivered or mailed, postage prepaid, to the other party at its principal office.</w:t>
      </w:r>
    </w:p>
    <w:p>
      <w:pPr>
        <w:spacing w:after="0" w:line="169" w:lineRule="exact"/>
        <w:rPr>
          <w:rFonts w:ascii="Times New Roman" w:cs="Times New Roman" w:eastAsia="Times New Roman" w:hAnsi="Times New Roman"/>
          <w:sz w:val="18"/>
          <w:szCs w:val="18"/>
          <w:color w:val="auto"/>
        </w:rPr>
      </w:pPr>
    </w:p>
    <w:p>
      <w:pPr>
        <w:ind w:left="-5" w:right="840" w:firstLine="5"/>
        <w:spacing w:after="0" w:line="268" w:lineRule="auto"/>
        <w:tabs>
          <w:tab w:leader="none" w:pos="2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mutual consent, but the consent of the Corporation must be obtained in conformity with the requirements of the 1940 Act.</w:t>
      </w:r>
    </w:p>
    <w:p>
      <w:pPr>
        <w:spacing w:after="0" w:line="169" w:lineRule="exact"/>
        <w:rPr>
          <w:rFonts w:ascii="Times New Roman" w:cs="Times New Roman" w:eastAsia="Times New Roman" w:hAnsi="Times New Roman"/>
          <w:sz w:val="18"/>
          <w:szCs w:val="18"/>
          <w:color w:val="auto"/>
        </w:rPr>
      </w:pPr>
    </w:p>
    <w:p>
      <w:pPr>
        <w:ind w:left="-5" w:right="80" w:firstLine="5"/>
        <w:spacing w:after="0" w:line="252" w:lineRule="auto"/>
        <w:tabs>
          <w:tab w:leader="none" w:pos="2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1940 Act. To the extent the applicable laws of the State of New York, or any of the provisions herein, conflict with the provisions of the 1940 Act, the latter shall control.</w:t>
      </w:r>
    </w:p>
    <w:p>
      <w:pPr>
        <w:spacing w:after="0" w:line="181"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w:t>
      </w:r>
    </w:p>
    <w:p>
      <w:pPr>
        <w:sectPr>
          <w:pgSz w:w="11900" w:h="16838" w:orient="portrait"/>
          <w:cols w:equalWidth="0" w:num="1">
            <w:col w:w="11155"/>
          </w:cols>
          <w:pgMar w:left="325" w:top="266" w:right="4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 WITNESS WHEREOF, the parties hereto have caused this Agreement to be duly executed on the date above written.</w:t>
      </w:r>
    </w:p>
    <w:p>
      <w:pPr>
        <w:spacing w:after="0" w:line="2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16" w:lineRule="exact"/>
        <w:rPr>
          <w:sz w:val="20"/>
          <w:szCs w:val="20"/>
          <w:color w:val="auto"/>
        </w:rPr>
      </w:pPr>
    </w:p>
    <w:tbl>
      <w:tblPr>
        <w:tblLayout w:type="fixed"/>
        <w:tblInd w:w="67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/s/Arthur Penn</w:t>
            </w:r>
          </w:p>
        </w:tc>
      </w:tr>
      <w:tr>
        <w:trPr>
          <w:trHeight w:val="199"/>
        </w:trPr>
        <w:tc>
          <w:tcPr>
            <w:tcW w:w="5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Arthur Penn</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w w:val="98"/>
              </w:rPr>
              <w:t>Chief Executive Officer and Chairman of the Board of</w:t>
            </w:r>
          </w:p>
        </w:tc>
      </w:tr>
      <w:tr>
        <w:trPr>
          <w:trHeight w:val="228"/>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r>
        <w:trPr>
          <w:trHeight w:val="421"/>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/s/Arthur Penn</w:t>
            </w:r>
          </w:p>
        </w:tc>
      </w:tr>
      <w:tr>
        <w:trPr>
          <w:trHeight w:val="199"/>
        </w:trPr>
        <w:tc>
          <w:tcPr>
            <w:tcW w:w="5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Arthur Penn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ectPr>
          <w:pgSz w:w="11900" w:h="16838" w:orient="portrait"/>
          <w:cols w:equalWidth="0" w:num="1">
            <w:col w:w="11240"/>
          </w:cols>
          <w:pgMar w:left="320" w:top="266"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wp:posOffset>
            </wp:positionV>
            <wp:extent cx="2389505" cy="4762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2389505"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CUSTODY AGREEMENT</w:t>
      </w:r>
    </w:p>
    <w:p>
      <w:pPr>
        <w:spacing w:after="0" w:line="216"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AGREEMENT, dated as of April 7, 2011, between PennantPark Floating Rate Capital Ltd. (the “Fund”) and The Bank of New York Mellon, a New York corporation authorized to do a banking business having its principal office and place of business at One Wall Street, New York, New York 10286 (“Custodian”).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for and in consideration of the mutual promises hereinafter set forth the Fund and Custodian agree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used in this Agreement, the following words shall have the meanings set forth below:</w:t>
      </w:r>
    </w:p>
    <w:p>
      <w:pPr>
        <w:spacing w:after="0" w:line="107" w:lineRule="exact"/>
        <w:rPr>
          <w:sz w:val="20"/>
          <w:szCs w:val="20"/>
          <w:color w:val="auto"/>
        </w:rPr>
      </w:pPr>
    </w:p>
    <w:p>
      <w:pPr>
        <w:jc w:val="both"/>
        <w:ind w:right="220" w:firstLine="450"/>
        <w:spacing w:after="0" w:line="257"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“Authorized Person”</w:t>
      </w:r>
      <w:r>
        <w:rPr>
          <w:rFonts w:ascii="Times New Roman" w:cs="Times New Roman" w:eastAsia="Times New Roman" w:hAnsi="Times New Roman"/>
          <w:sz w:val="18"/>
          <w:szCs w:val="18"/>
          <w:color w:val="auto"/>
        </w:rPr>
        <w:t xml:space="preserve"> shall be any person, whether or not an officer or employee of the Fund, duly authorized by the Fund’s board to execute any Certificate or to give any Oral Instruction with respect to one or more Accounts, such persons to be designated in a Certificate annexed hereto as Schedule I hereto or such other Certificate as may be received by Custodian from time to time.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 xml:space="preserve">   “BNY Affiliate”</w:t>
      </w:r>
      <w:r>
        <w:rPr>
          <w:rFonts w:ascii="Times New Roman" w:cs="Times New Roman" w:eastAsia="Times New Roman" w:hAnsi="Times New Roman"/>
          <w:sz w:val="18"/>
          <w:szCs w:val="18"/>
          <w:color w:val="auto"/>
        </w:rPr>
        <w:t xml:space="preserve"> shall mean any office, branch or subsidiary of The Bank of New York Mellon Corporation.</w:t>
      </w:r>
    </w:p>
    <w:p>
      <w:pPr>
        <w:spacing w:after="0" w:line="214" w:lineRule="exact"/>
        <w:rPr>
          <w:sz w:val="20"/>
          <w:szCs w:val="20"/>
          <w:color w:val="auto"/>
        </w:rPr>
      </w:pPr>
    </w:p>
    <w:p>
      <w:pPr>
        <w:ind w:right="560" w:firstLine="450"/>
        <w:spacing w:after="0" w:line="271"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 xml:space="preserve">  “Book-Entry System”</w:t>
      </w:r>
      <w:r>
        <w:rPr>
          <w:rFonts w:ascii="Times New Roman" w:cs="Times New Roman" w:eastAsia="Times New Roman" w:hAnsi="Times New Roman"/>
          <w:sz w:val="18"/>
          <w:szCs w:val="18"/>
          <w:color w:val="auto"/>
        </w:rPr>
        <w:t xml:space="preserve"> shall mean the Federal Reserve/Treasury book-entry system for receiving and delivering securities, its successors and nominees.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shall mean any day on which Custodian and relevant Depositories are open for business.</w:t>
      </w:r>
    </w:p>
    <w:p>
      <w:pPr>
        <w:spacing w:after="0" w:line="214" w:lineRule="exact"/>
        <w:rPr>
          <w:sz w:val="20"/>
          <w:szCs w:val="20"/>
          <w:color w:val="auto"/>
        </w:rPr>
      </w:pPr>
    </w:p>
    <w:p>
      <w:pPr>
        <w:ind w:right="140" w:firstLine="450"/>
        <w:spacing w:after="0" w:line="257"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xml:space="preserve"> shall mean any notice, instruction, or other instrument in writing, authorized or required by this Agreement to be given to Custodian, which is actually received by Custodian by letter or facsimile transmission and signed on behalf of the Fund by an Authorized Person or a person reasonably believed by Custodian to be an Authorized Person.</w:t>
      </w:r>
    </w:p>
    <w:p>
      <w:pPr>
        <w:spacing w:after="0" w:line="177" w:lineRule="exact"/>
        <w:rPr>
          <w:sz w:val="20"/>
          <w:szCs w:val="20"/>
          <w:color w:val="auto"/>
        </w:rPr>
      </w:pPr>
    </w:p>
    <w:p>
      <w:pPr>
        <w:ind w:right="680" w:firstLine="450"/>
        <w:spacing w:after="0" w:line="271"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“Composite Currency Unit”</w:t>
      </w:r>
      <w:r>
        <w:rPr>
          <w:rFonts w:ascii="Times New Roman" w:cs="Times New Roman" w:eastAsia="Times New Roman" w:hAnsi="Times New Roman"/>
          <w:sz w:val="18"/>
          <w:szCs w:val="18"/>
          <w:color w:val="auto"/>
        </w:rPr>
        <w:t xml:space="preserve"> shall mean the Euro or any other composite currency unit consisting of the aggregate of specified amounts of specified currencies, as such unit may be constituted from time to time.</w:t>
      </w:r>
    </w:p>
    <w:p>
      <w:pPr>
        <w:spacing w:after="0" w:line="164" w:lineRule="exact"/>
        <w:rPr>
          <w:sz w:val="20"/>
          <w:szCs w:val="20"/>
          <w:color w:val="auto"/>
        </w:rPr>
      </w:pPr>
    </w:p>
    <w:p>
      <w:pPr>
        <w:ind w:right="320" w:firstLine="450"/>
        <w:spacing w:after="0" w:line="257"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xml:space="preserve"> shall include (a) the Book-Entry System, (b) the Depository Trust Company, (c) any other clearing agency or securities depository registered with the Securities and Exchange Commission identified to the Fund from time to time, and (d) the respective successors and nominees of the foregoing.</w:t>
      </w:r>
    </w:p>
    <w:p>
      <w:pPr>
        <w:sectPr>
          <w:pgSz w:w="11900" w:h="16838" w:orient="portrait"/>
          <w:cols w:equalWidth="0" w:num="1">
            <w:col w:w="11240"/>
          </w:cols>
          <w:pgMar w:left="320" w:top="119" w:right="339" w:bottom="1440" w:gutter="0" w:footer="0" w:header="0"/>
        </w:sectPr>
      </w:pPr>
    </w:p>
    <w:bookmarkStart w:id="103" w:name="page104"/>
    <w:bookmarkEnd w:id="103"/>
    <w:p>
      <w:pPr>
        <w:ind w:right="160" w:firstLine="45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8.  </w:t>
      </w:r>
      <w:r>
        <w:rPr>
          <w:rFonts w:ascii="Times New Roman" w:cs="Times New Roman" w:eastAsia="Times New Roman" w:hAnsi="Times New Roman"/>
          <w:sz w:val="18"/>
          <w:szCs w:val="18"/>
          <w:b w:val="1"/>
          <w:bCs w:val="1"/>
          <w:color w:val="auto"/>
        </w:rPr>
        <w:t>“Foreign Depository”</w:t>
      </w:r>
      <w:r>
        <w:rPr>
          <w:rFonts w:ascii="Times New Roman" w:cs="Times New Roman" w:eastAsia="Times New Roman" w:hAnsi="Times New Roman"/>
          <w:sz w:val="18"/>
          <w:szCs w:val="18"/>
          <w:color w:val="auto"/>
        </w:rPr>
        <w:t xml:space="preserve"> shall mean (a) Euroclear, (b) Clearstream Banking, societe anonyme, (c) each Eligible Securities Depository as defined in Rule 17f-7 under the Investment Company Act of 1940, as amended, identified to the Fund from time to time, and (d) the respective successors and nominees of the foregoing.</w:t>
      </w:r>
    </w:p>
    <w:p>
      <w:pPr>
        <w:spacing w:after="0" w:line="177" w:lineRule="exact"/>
        <w:rPr>
          <w:sz w:val="20"/>
          <w:szCs w:val="20"/>
          <w:color w:val="auto"/>
        </w:rPr>
      </w:pPr>
    </w:p>
    <w:p>
      <w:pPr>
        <w:ind w:right="180" w:firstLine="450"/>
        <w:spacing w:after="0" w:line="271"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“Hedge Fund Investments”</w:t>
      </w:r>
      <w:r>
        <w:rPr>
          <w:rFonts w:ascii="Times New Roman" w:cs="Times New Roman" w:eastAsia="Times New Roman" w:hAnsi="Times New Roman"/>
          <w:sz w:val="18"/>
          <w:szCs w:val="18"/>
          <w:color w:val="auto"/>
        </w:rPr>
        <w:t xml:space="preserve"> shall mean investments by any Customer in hedge funds, mutual funds and other investment or collective investment vehicles.</w:t>
      </w:r>
    </w:p>
    <w:p>
      <w:pPr>
        <w:spacing w:after="0" w:line="164" w:lineRule="exact"/>
        <w:rPr>
          <w:sz w:val="20"/>
          <w:szCs w:val="20"/>
          <w:color w:val="auto"/>
        </w:rPr>
      </w:pPr>
    </w:p>
    <w:p>
      <w:pPr>
        <w:ind w:right="500" w:firstLine="450"/>
        <w:spacing w:after="0" w:line="271"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xml:space="preserve"> shall mean communications actually received by Custodian by S.W.I.F.T., tested telex, letter, facsimile transmission, or other method or system specified by Custodian as available for use in connection with the services hereunder.</w:t>
      </w:r>
    </w:p>
    <w:p>
      <w:pPr>
        <w:spacing w:after="0" w:line="164" w:lineRule="exact"/>
        <w:rPr>
          <w:sz w:val="20"/>
          <w:szCs w:val="20"/>
          <w:color w:val="auto"/>
        </w:rPr>
      </w:pPr>
    </w:p>
    <w:p>
      <w:pPr>
        <w:ind w:right="340" w:firstLine="450"/>
        <w:spacing w:after="0" w:line="27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“Oral Instructions”</w:t>
      </w:r>
      <w:r>
        <w:rPr>
          <w:rFonts w:ascii="Times New Roman" w:cs="Times New Roman" w:eastAsia="Times New Roman" w:hAnsi="Times New Roman"/>
          <w:sz w:val="18"/>
          <w:szCs w:val="18"/>
          <w:color w:val="auto"/>
        </w:rPr>
        <w:t xml:space="preserve"> shall mean verbal instructions received by Custodian from an Authorized Person or from a person reasonably believed by Custodian to be an Authorized Person.</w:t>
      </w:r>
    </w:p>
    <w:p>
      <w:pPr>
        <w:spacing w:after="0" w:line="164" w:lineRule="exact"/>
        <w:rPr>
          <w:sz w:val="20"/>
          <w:szCs w:val="20"/>
          <w:color w:val="auto"/>
        </w:rPr>
      </w:pPr>
    </w:p>
    <w:p>
      <w:pPr>
        <w:ind w:right="520" w:firstLine="450"/>
        <w:spacing w:after="0" w:line="27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“Series”</w:t>
      </w:r>
      <w:r>
        <w:rPr>
          <w:rFonts w:ascii="Times New Roman" w:cs="Times New Roman" w:eastAsia="Times New Roman" w:hAnsi="Times New Roman"/>
          <w:sz w:val="18"/>
          <w:szCs w:val="18"/>
          <w:color w:val="auto"/>
        </w:rPr>
        <w:t xml:space="preserve"> shall mean the various portfolios, if any, of the Fund listed on Schedule II hereto, and if none are listed references to Series shall be references to the Fund.</w:t>
      </w:r>
    </w:p>
    <w:p>
      <w:pPr>
        <w:spacing w:after="0" w:line="164"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shall include, without limitation, any common stock and other equity securities, bonds, debentures and other debt securities, notes, loans, mortgages or other obligations, and any instruments representing rights to receive, purchase, or subscribe for the same, or representing any other rights or interests therein (whether represented by a certificate or held in a Depository or by a Subcustodian).</w:t>
      </w:r>
    </w:p>
    <w:p>
      <w:pPr>
        <w:spacing w:after="0" w:line="177" w:lineRule="exact"/>
        <w:rPr>
          <w:sz w:val="20"/>
          <w:szCs w:val="20"/>
          <w:color w:val="auto"/>
        </w:rPr>
      </w:pPr>
    </w:p>
    <w:p>
      <w:pPr>
        <w:jc w:val="both"/>
        <w:ind w:right="200" w:firstLine="450"/>
        <w:spacing w:after="0" w:line="257"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“Subcustodian”</w:t>
      </w:r>
      <w:r>
        <w:rPr>
          <w:rFonts w:ascii="Times New Roman" w:cs="Times New Roman" w:eastAsia="Times New Roman" w:hAnsi="Times New Roman"/>
          <w:sz w:val="18"/>
          <w:szCs w:val="18"/>
          <w:color w:val="auto"/>
        </w:rPr>
        <w:t xml:space="preserve"> shall mean a bank (including any branch thereof) or other financial institution (other than a Foreign Depository) located outside the U.S. which is utilized by Custodian in connection with the purchase, sale or custody of Securities hereunder and identified to the Fund from time to time, and their respective successors and nominees.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CUSTODIAN; ACCOUNTS;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196"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1.  (a) The Fund hereby appoints Custodian as custodian of all Securities and cash at any time delivered to Custodian during the term of this Agreement, and authorizes Custodian to hold Securities in registered form in its name or the name of its nominees. Custodian hereby accepts such appointment and agrees to establish and maintain one or more securities accounts and cash accounts for each Series in which Custodian will hold Securities and cash as provided herein. Custodian shall maintain books and records segregating the assets of each Series from the assets of any other Series. Such accounts (each, an “Account”; collectively, the “Accounts”) shall be in the name of the Fund.</w:t>
      </w:r>
    </w:p>
    <w:p>
      <w:pPr>
        <w:spacing w:after="0" w:line="185" w:lineRule="exact"/>
        <w:rPr>
          <w:sz w:val="20"/>
          <w:szCs w:val="20"/>
          <w:color w:val="auto"/>
        </w:rPr>
      </w:pPr>
    </w:p>
    <w:p>
      <w:pPr>
        <w:ind w:right="160" w:firstLine="1017"/>
        <w:spacing w:after="0" w:line="268" w:lineRule="auto"/>
        <w:tabs>
          <w:tab w:leader="none" w:pos="1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 may from time to time establish on its books and records such sub-accounts within each Account as the Fund and Custodian may agree upon (each a “Special Account”), and Custodian shall reflect therein such assets as the Fund may specify in a Certificate or Instructions.</w:t>
      </w:r>
    </w:p>
    <w:p>
      <w:pPr>
        <w:spacing w:after="0" w:line="103" w:lineRule="exact"/>
        <w:rPr>
          <w:rFonts w:ascii="Times New Roman" w:cs="Times New Roman" w:eastAsia="Times New Roman" w:hAnsi="Times New Roman"/>
          <w:sz w:val="18"/>
          <w:szCs w:val="18"/>
          <w:color w:val="auto"/>
        </w:rPr>
      </w:pPr>
    </w:p>
    <w:p>
      <w:pPr>
        <w:ind w:left="5580" w:hanging="102"/>
        <w:spacing w:after="0"/>
        <w:tabs>
          <w:tab w:leader="none" w:pos="55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240"/>
          </w:cols>
          <w:pgMar w:left="320" w:top="264" w:right="339" w:bottom="1440" w:gutter="0" w:footer="0" w:header="0"/>
        </w:sectPr>
      </w:pPr>
    </w:p>
    <w:bookmarkStart w:id="104" w:name="page105"/>
    <w:bookmarkEnd w:id="104"/>
    <w:p>
      <w:pPr>
        <w:ind w:right="160" w:firstLine="1017"/>
        <w:spacing w:after="0" w:line="256" w:lineRule="auto"/>
        <w:tabs>
          <w:tab w:leader="none" w:pos="125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Custodian may from time to time establish pursuant to a written agreement with and for the benefit of a broker, dealer, future commission merchant or other third party identified in a Certificate or Instructions such accounts on such terms and conditions as the Fund and Custodian shall agree, and Custodian shall transfer to such account such Securities and money as the Fund may specify in a Certificate or Instructions.</w:t>
      </w:r>
    </w:p>
    <w:p>
      <w:pPr>
        <w:spacing w:after="0" w:line="180"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8"/>
          <w:szCs w:val="18"/>
          <w:color w:val="auto"/>
        </w:rPr>
        <w:t>2.  The Fund hereby represents and warrants, which representations and warranties shall be continuing and shall be deemed to be reaffirmed upon each delivery of a Certificate or each giving of Oral Instructions or Instructions by the Fund, that:</w:t>
      </w:r>
    </w:p>
    <w:p>
      <w:pPr>
        <w:spacing w:after="0" w:line="64" w:lineRule="exact"/>
        <w:rPr>
          <w:sz w:val="20"/>
          <w:szCs w:val="20"/>
          <w:color w:val="auto"/>
        </w:rPr>
      </w:pPr>
    </w:p>
    <w:p>
      <w:pPr>
        <w:ind w:right="680" w:firstLine="1017"/>
        <w:spacing w:after="0" w:line="268" w:lineRule="auto"/>
        <w:tabs>
          <w:tab w:leader="none" w:pos="12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existing under the laws of the jurisdiction of its organization, with full power to carry on its business as now conducted, to enter into this Agreement, and to perform its obligations hereunder;</w:t>
      </w:r>
    </w:p>
    <w:p>
      <w:pPr>
        <w:spacing w:after="0" w:line="169" w:lineRule="exact"/>
        <w:rPr>
          <w:rFonts w:ascii="Times New Roman" w:cs="Times New Roman" w:eastAsia="Times New Roman" w:hAnsi="Times New Roman"/>
          <w:sz w:val="18"/>
          <w:szCs w:val="18"/>
          <w:color w:val="auto"/>
        </w:rPr>
      </w:pPr>
    </w:p>
    <w:p>
      <w:pPr>
        <w:ind w:firstLine="1017"/>
        <w:spacing w:after="0" w:line="252" w:lineRule="auto"/>
        <w:tabs>
          <w:tab w:leader="none" w:pos="1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Fund, approved by a resolution of its board, constitutes a valid and legally binding obligation of the Fund, enforceable in accordance with its terms, and there is no statute, regulation, rule, order or judgment binding on it, and no provision of its charter or by-laws, nor of any mortgage, indenture, credit agreement or other contract binding on it or affecting its property, which would prohibit its execution or performance of this Agreement;</w:t>
      </w:r>
    </w:p>
    <w:p>
      <w:pPr>
        <w:spacing w:after="0" w:line="183" w:lineRule="exact"/>
        <w:rPr>
          <w:rFonts w:ascii="Times New Roman" w:cs="Times New Roman" w:eastAsia="Times New Roman" w:hAnsi="Times New Roman"/>
          <w:sz w:val="18"/>
          <w:szCs w:val="18"/>
          <w:color w:val="auto"/>
        </w:rPr>
      </w:pPr>
    </w:p>
    <w:p>
      <w:pPr>
        <w:ind w:right="160" w:firstLine="1017"/>
        <w:spacing w:after="0" w:line="268" w:lineRule="auto"/>
        <w:tabs>
          <w:tab w:leader="none" w:pos="12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conducting its business in substantial compliance with all applicable laws and requirements, both state and federal, and has obtained all regulatory licenses, approvals and consents necessary to carry on its business as now conducted;</w:t>
      </w:r>
    </w:p>
    <w:p>
      <w:pPr>
        <w:spacing w:after="0" w:line="169" w:lineRule="exact"/>
        <w:rPr>
          <w:rFonts w:ascii="Times New Roman" w:cs="Times New Roman" w:eastAsia="Times New Roman" w:hAnsi="Times New Roman"/>
          <w:sz w:val="18"/>
          <w:szCs w:val="18"/>
          <w:color w:val="auto"/>
        </w:rPr>
      </w:pPr>
    </w:p>
    <w:p>
      <w:pPr>
        <w:ind w:right="140" w:firstLine="1017"/>
        <w:spacing w:after="0" w:line="268" w:lineRule="auto"/>
        <w:tabs>
          <w:tab w:leader="none" w:pos="1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use the services provided by Custodian hereunder in any manner that is, or will result in, a violation of any law, rule or regulation applicable to the Fund;</w:t>
      </w:r>
    </w:p>
    <w:p>
      <w:pPr>
        <w:spacing w:after="0" w:line="169" w:lineRule="exact"/>
        <w:rPr>
          <w:rFonts w:ascii="Times New Roman" w:cs="Times New Roman" w:eastAsia="Times New Roman" w:hAnsi="Times New Roman"/>
          <w:sz w:val="18"/>
          <w:szCs w:val="18"/>
          <w:color w:val="auto"/>
        </w:rPr>
      </w:pPr>
    </w:p>
    <w:p>
      <w:pPr>
        <w:ind w:right="80" w:firstLine="1017"/>
        <w:spacing w:after="0" w:line="256" w:lineRule="auto"/>
        <w:tabs>
          <w:tab w:leader="none" w:pos="12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board or its foreign custody manager, as defined in Rule 17f-5 under the Investment Company Act of 1940, as amended (the ‘“40 Act”), has determined that use of each Subcustodian (including any Replacement Custodian) which Custodian is authorized to utilize in accordance with Section 1(a) of Article III hereof satisfies the applicable requirements of the ‘40 Act and Rule 17f-5 thereunder;</w:t>
      </w:r>
    </w:p>
    <w:p>
      <w:pPr>
        <w:spacing w:after="0" w:line="179" w:lineRule="exact"/>
        <w:rPr>
          <w:rFonts w:ascii="Times New Roman" w:cs="Times New Roman" w:eastAsia="Times New Roman" w:hAnsi="Times New Roman"/>
          <w:sz w:val="18"/>
          <w:szCs w:val="18"/>
          <w:color w:val="auto"/>
        </w:rPr>
      </w:pPr>
    </w:p>
    <w:p>
      <w:pPr>
        <w:ind w:right="160" w:firstLine="1017"/>
        <w:spacing w:after="0" w:line="332" w:lineRule="auto"/>
        <w:tabs>
          <w:tab w:leader="none" w:pos="123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or its investment adviser has determined that the custody arrangements of each Foreign Depository provide reasonable safeguards against the custody risks associated with maintaining assets with such Foreign Depository within the meaning of Rule 17f-7 under the ‘40 Act;</w:t>
      </w:r>
    </w:p>
    <w:p>
      <w:pPr>
        <w:spacing w:after="0" w:line="122" w:lineRule="exact"/>
        <w:rPr>
          <w:rFonts w:ascii="Times New Roman" w:cs="Times New Roman" w:eastAsia="Times New Roman" w:hAnsi="Times New Roman"/>
          <w:sz w:val="16"/>
          <w:szCs w:val="16"/>
          <w:color w:val="auto"/>
        </w:rPr>
      </w:pPr>
    </w:p>
    <w:p>
      <w:pPr>
        <w:ind w:right="60" w:firstLine="1017"/>
        <w:spacing w:after="0" w:line="249" w:lineRule="auto"/>
        <w:tabs>
          <w:tab w:leader="none" w:pos="1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fully informed of the protections and risks associated with various methods of transmitting Instructions and Oral Instructions and delivering Certificates to Custodian, shall, and shall cause each Authorized Person, to safeguard and treat with extreme care any user and authorization codes, passwords and/or authentication keys, understands that there may be more secure methods of transmitting or delivering the same than the methods selected by the Fund, agrees that the security procedures (if any) to be followed in connection therewith provide a commercially reasonable degree of protection in light of its particular needs and circumstances, and acknowledges and agrees that Instructions need not be reviewed by Custodian, may conclusively be presumed by Custodian to have been given by person(s) duly authorized, and may be acted upon as given;</w:t>
      </w:r>
    </w:p>
    <w:p>
      <w:pPr>
        <w:spacing w:after="0" w:line="119" w:lineRule="exact"/>
        <w:rPr>
          <w:rFonts w:ascii="Times New Roman" w:cs="Times New Roman" w:eastAsia="Times New Roman" w:hAnsi="Times New Roman"/>
          <w:sz w:val="18"/>
          <w:szCs w:val="18"/>
          <w:color w:val="auto"/>
        </w:rPr>
      </w:pPr>
    </w:p>
    <w:p>
      <w:pPr>
        <w:ind w:left="5580" w:hanging="102"/>
        <w:spacing w:after="0"/>
        <w:tabs>
          <w:tab w:leader="none" w:pos="55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220"/>
          </w:cols>
          <w:pgMar w:left="320" w:top="266" w:right="359" w:bottom="1440" w:gutter="0" w:footer="0" w:header="0"/>
        </w:sectPr>
      </w:pPr>
    </w:p>
    <w:bookmarkStart w:id="105" w:name="page106"/>
    <w:bookmarkEnd w:id="105"/>
    <w:p>
      <w:pPr>
        <w:ind w:left="-5" w:firstLine="1017"/>
        <w:spacing w:after="0" w:line="268" w:lineRule="auto"/>
        <w:tabs>
          <w:tab w:leader="none" w:pos="1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It shall manage its borrowings, including, without limitation, any advance or overdraft (including any day-light overdraft) in the Accounts, so that the aggregate of its total borrowings for each Series does not exceed the amount such Series is permitted to borrow under the ‘40 Act;</w:t>
      </w:r>
    </w:p>
    <w:p>
      <w:pPr>
        <w:spacing w:after="0" w:line="169" w:lineRule="exact"/>
        <w:rPr>
          <w:rFonts w:ascii="Times New Roman" w:cs="Times New Roman" w:eastAsia="Times New Roman" w:hAnsi="Times New Roman"/>
          <w:sz w:val="18"/>
          <w:szCs w:val="18"/>
          <w:color w:val="auto"/>
        </w:rPr>
      </w:pPr>
    </w:p>
    <w:p>
      <w:pPr>
        <w:ind w:left="-5" w:right="340" w:firstLine="1017"/>
        <w:spacing w:after="0" w:line="268" w:lineRule="auto"/>
        <w:tabs>
          <w:tab w:leader="none" w:pos="12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transmission or giving of, and Custodian acting upon and in reliance on, Certificates, Instructions, or Oral Instructions pursuant to this Agreement shall at all times comply with the ‘40 Act;</w:t>
      </w:r>
    </w:p>
    <w:p>
      <w:pPr>
        <w:spacing w:after="0" w:line="169" w:lineRule="exact"/>
        <w:rPr>
          <w:rFonts w:ascii="Times New Roman" w:cs="Times New Roman" w:eastAsia="Times New Roman" w:hAnsi="Times New Roman"/>
          <w:sz w:val="18"/>
          <w:szCs w:val="18"/>
          <w:color w:val="auto"/>
        </w:rPr>
      </w:pPr>
    </w:p>
    <w:p>
      <w:pPr>
        <w:ind w:left="-5" w:right="100" w:firstLine="1017"/>
        <w:spacing w:after="0" w:line="268" w:lineRule="auto"/>
        <w:tabs>
          <w:tab w:leader="none" w:pos="12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impose and maintain restrictions on the destinations to which cash may be disbursed by Instructions to ensure that each disbursement is for a proper purpose;</w:t>
      </w:r>
    </w:p>
    <w:p>
      <w:pPr>
        <w:spacing w:after="0" w:line="169" w:lineRule="exact"/>
        <w:rPr>
          <w:rFonts w:ascii="Times New Roman" w:cs="Times New Roman" w:eastAsia="Times New Roman" w:hAnsi="Times New Roman"/>
          <w:sz w:val="18"/>
          <w:szCs w:val="18"/>
          <w:color w:val="auto"/>
        </w:rPr>
      </w:pPr>
    </w:p>
    <w:p>
      <w:pPr>
        <w:ind w:left="-5" w:right="320" w:firstLine="1017"/>
        <w:spacing w:after="0" w:line="268" w:lineRule="auto"/>
        <w:tabs>
          <w:tab w:leader="none" w:pos="1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 has established and presently maintains policies and procedures requiring it to obtain and verify information about the identity of its customers and which are reasonably designed to ensure that it is not being used as a conduit for money laundering or other illicit purposes; and</w:t>
      </w:r>
    </w:p>
    <w:p>
      <w:pPr>
        <w:spacing w:after="0" w:line="169" w:lineRule="exact"/>
        <w:rPr>
          <w:rFonts w:ascii="Times New Roman" w:cs="Times New Roman" w:eastAsia="Times New Roman" w:hAnsi="Times New Roman"/>
          <w:sz w:val="18"/>
          <w:szCs w:val="18"/>
          <w:color w:val="auto"/>
        </w:rPr>
      </w:pPr>
    </w:p>
    <w:p>
      <w:pPr>
        <w:ind w:left="-5" w:right="540" w:firstLine="1466"/>
        <w:spacing w:after="0" w:line="268" w:lineRule="auto"/>
        <w:tabs>
          <w:tab w:leader="none" w:pos="171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verified the identity of each such third party and made reasonable inquiries regarding the source of funds credited to such Account, and to the best of its knowledge, no transaction through any Account is prohibited by applicable law, regulation or rule; and</w:t>
      </w:r>
    </w:p>
    <w:p>
      <w:pPr>
        <w:spacing w:after="0" w:line="169" w:lineRule="exact"/>
        <w:rPr>
          <w:sz w:val="20"/>
          <w:szCs w:val="20"/>
          <w:color w:val="auto"/>
        </w:rPr>
      </w:pPr>
    </w:p>
    <w:p>
      <w:pPr>
        <w:ind w:left="-5" w:right="120" w:firstLine="1017"/>
        <w:spacing w:after="0" w:line="303" w:lineRule="auto"/>
        <w:tabs>
          <w:tab w:leader="none" w:pos="1255"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has the right to make the pledge and grant the security interest and security entitlement to Custodian contained in Section 1 of Article V hereof, free of any right of redemption or prior claim of any other person or entity, such pledge and such grants shall have a first priority subject to no setoffs, counterclaims, or other liens or grants prior to or on a parity therewith, and it shall take such additional steps as Custodian may require to assure such priority.</w:t>
      </w:r>
    </w:p>
    <w:p>
      <w:pPr>
        <w:spacing w:after="0" w:line="145" w:lineRule="exact"/>
        <w:rPr>
          <w:rFonts w:ascii="Times New Roman" w:cs="Times New Roman" w:eastAsia="Times New Roman" w:hAnsi="Times New Roman"/>
          <w:sz w:val="16"/>
          <w:szCs w:val="16"/>
          <w:color w:val="auto"/>
        </w:rPr>
      </w:pPr>
    </w:p>
    <w:p>
      <w:pPr>
        <w:ind w:left="-5" w:right="300" w:firstLine="5"/>
        <w:spacing w:after="0" w:line="268" w:lineRule="auto"/>
        <w:tabs>
          <w:tab w:leader="none" w:pos="17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hereby represents and warrants, which representations and warranties shall be continuing and shall be deemed to be reaffirmed upon each receipt of a Certificate or of Oral Instructions or Instruction by the Fund, that:</w:t>
      </w:r>
    </w:p>
    <w:p>
      <w:pPr>
        <w:spacing w:after="0" w:line="64" w:lineRule="exact"/>
        <w:rPr>
          <w:sz w:val="20"/>
          <w:szCs w:val="20"/>
          <w:color w:val="auto"/>
        </w:rPr>
      </w:pPr>
    </w:p>
    <w:p>
      <w:pPr>
        <w:ind w:left="-5" w:right="660" w:firstLine="1017"/>
        <w:spacing w:after="0" w:line="268" w:lineRule="auto"/>
        <w:tabs>
          <w:tab w:leader="none" w:pos="12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organized and existing under the laws of the jurisdiction of its organization, with full power to carry on its business as now conducted, to enter into this Agreement, and to perform its obligations hereunder;</w:t>
      </w:r>
    </w:p>
    <w:p>
      <w:pPr>
        <w:spacing w:after="0" w:line="169" w:lineRule="exact"/>
        <w:rPr>
          <w:rFonts w:ascii="Times New Roman" w:cs="Times New Roman" w:eastAsia="Times New Roman" w:hAnsi="Times New Roman"/>
          <w:sz w:val="18"/>
          <w:szCs w:val="18"/>
          <w:color w:val="auto"/>
        </w:rPr>
      </w:pPr>
    </w:p>
    <w:p>
      <w:pPr>
        <w:ind w:left="-5" w:right="380" w:firstLine="1017"/>
        <w:spacing w:after="0" w:line="268" w:lineRule="auto"/>
        <w:tabs>
          <w:tab w:leader="none" w:pos="1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Custodian, constitutes a valid and legally binding obligation of Custodian, enforceable in accordance with its terms;;</w:t>
      </w:r>
    </w:p>
    <w:p>
      <w:pPr>
        <w:spacing w:after="0" w:line="169" w:lineRule="exact"/>
        <w:rPr>
          <w:rFonts w:ascii="Times New Roman" w:cs="Times New Roman" w:eastAsia="Times New Roman" w:hAnsi="Times New Roman"/>
          <w:sz w:val="18"/>
          <w:szCs w:val="18"/>
          <w:color w:val="auto"/>
        </w:rPr>
      </w:pPr>
    </w:p>
    <w:p>
      <w:pPr>
        <w:ind w:left="-5" w:right="140" w:firstLine="1017"/>
        <w:spacing w:after="0" w:line="268" w:lineRule="auto"/>
        <w:tabs>
          <w:tab w:leader="none" w:pos="12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conducting its business in substantial compliance with all applicable laws and requirements, both state and federal, and has obtained all regulatory licenses, approvals and consents necessary to carry on its business as now conducted; and</w:t>
      </w:r>
    </w:p>
    <w:p>
      <w:pPr>
        <w:spacing w:after="0" w:line="103" w:lineRule="exact"/>
        <w:rPr>
          <w:rFonts w:ascii="Times New Roman" w:cs="Times New Roman" w:eastAsia="Times New Roman" w:hAnsi="Times New Roman"/>
          <w:sz w:val="18"/>
          <w:szCs w:val="18"/>
          <w:color w:val="auto"/>
        </w:rPr>
      </w:pPr>
    </w:p>
    <w:p>
      <w:pPr>
        <w:ind w:left="5575" w:hanging="102"/>
        <w:spacing w:after="0"/>
        <w:tabs>
          <w:tab w:leader="none" w:pos="557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195"/>
          </w:cols>
          <w:pgMar w:left="325" w:top="266" w:right="379" w:bottom="1440" w:gutter="0" w:footer="0" w:header="0"/>
        </w:sectPr>
      </w:pPr>
    </w:p>
    <w:bookmarkStart w:id="106" w:name="page107"/>
    <w:bookmarkEnd w:id="106"/>
    <w:p>
      <w:pPr>
        <w:ind w:right="180" w:firstLine="1017"/>
        <w:spacing w:after="0" w:line="256" w:lineRule="auto"/>
        <w:tabs>
          <w:tab w:leader="none" w:pos="1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It has at least the minimum qualifications required by Section 17(f)(1) of the Investment Company Act of 1940, as amended (the “40 Act”), to act as custodian of the portfolio securities and cash of the Fund, and has indicated its willingness to so act, subject to the terms and conditions of this agreement.</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4.  The Fund hereby covenants that it shall from time to time complete and execute and deliver to Custodian upon Custodian’s request a Form FR U-1 (or successor form) whenever the Fund borrows from Custodian any money to be used for the purchase or carrying of margin stock as defined in Federal Reserve Regulation U.</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CUSTODY AND RELATED SERVICES</w:t>
      </w:r>
    </w:p>
    <w:p>
      <w:pPr>
        <w:spacing w:after="0" w:line="196" w:lineRule="exact"/>
        <w:rPr>
          <w:sz w:val="20"/>
          <w:szCs w:val="20"/>
          <w:color w:val="auto"/>
        </w:rPr>
      </w:pPr>
    </w:p>
    <w:p>
      <w:pPr>
        <w:ind w:right="60" w:firstLine="450"/>
        <w:spacing w:after="0" w:line="279" w:lineRule="auto"/>
        <w:rPr>
          <w:sz w:val="20"/>
          <w:szCs w:val="20"/>
          <w:color w:val="auto"/>
        </w:rPr>
      </w:pPr>
      <w:r>
        <w:rPr>
          <w:rFonts w:ascii="Times New Roman" w:cs="Times New Roman" w:eastAsia="Times New Roman" w:hAnsi="Times New Roman"/>
          <w:sz w:val="16"/>
          <w:szCs w:val="16"/>
          <w:color w:val="auto"/>
        </w:rPr>
        <w:t>1.  (a) Subject to the terms hereof, the Fund hereby authorizes Custodian to hold any Securities received by it from time to time for the Fund’s account. Custodian shall be entitled to utilize, subject to subsection (c) of this Section 1, Depositories, Subcustodians, and, subject to subsection (d) of this Section 1, Foreign Depositories, to the extent possible in connection with its performance hereunder. Securities and cash held in a Depository or Foreign Depository will be held subject to the rules, terms and conditions of such entity. Securities and cash held through Subcustodians shall be held subject to the terms and conditions of Custodian’s agreements with such Subcustodians. Subcustodians may be authorized to hold Securities in Foreign Depositories in which such Subcustodians participate. Unless otherwise required by local law or practice or a particular subcustodian agreement, Securities deposited with a Subcustodian, a Depository or a Foreign Depository will be held in a commingled account, in the name of Custodian, holding only Securities held by Custodian as custodian for its customers. Custodian shall identify on its books and records the Securities and cash belonging to the Fund, whether held directly or indirectly through Depositories, Foreign Depositories, or Subcustodians. Custodian shall, directly or indirectly through Subcustodians, Depositories, or Foreign Depositories, endeavor, to the extent feasible, to hold Securities in the country or other jurisdiction in which the principal trading market for such Securities is located, where such Securities are to be presented for cancellation and/or payment and/or registration, or where such Securities are acquired. Custodian at any time may cease utilizing any Subcustodian and/or may replace a Subcustodian with a different Subcustodian (the “Replacement Subcustodian”). In the event Custodian selects a Replacement Subcustodian, Custodian shall not utilize such Replacement Subcustodian until after the Fund’s board or foreign custody manager has determined that utilization of such Replacement Subcustodian satisfies the requirements of the ‘40 Act and Rule 17f-5 thereunder.</w:t>
      </w:r>
    </w:p>
    <w:p>
      <w:pPr>
        <w:spacing w:after="0" w:line="378" w:lineRule="exact"/>
        <w:rPr>
          <w:sz w:val="20"/>
          <w:szCs w:val="20"/>
          <w:color w:val="auto"/>
        </w:rPr>
      </w:pPr>
    </w:p>
    <w:p>
      <w:pPr>
        <w:ind w:firstLine="1017"/>
        <w:spacing w:after="0" w:line="250" w:lineRule="auto"/>
        <w:tabs>
          <w:tab w:leader="none" w:pos="1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Custodian has received a Certificate or Instructions to the contrary, Custodian shall hold Securities indirectly through a Subcustodian only if (i) the Securities are not subject to any right, charge, security interest, lien or claim of any kind in favor of such Subcustodian or its creditors or operators, including a receiver or trustee in bankruptcy or similar authority, except for a claim of payment for the safe custody or administration of Securities on behalf of the Fund by such Subcustodian, and (ii) beneficial ownership of the Securities is freely transferable without the payment of money or value other than for safe custody or administration.</w:t>
      </w:r>
    </w:p>
    <w:p>
      <w:pPr>
        <w:spacing w:after="0" w:line="119" w:lineRule="exact"/>
        <w:rPr>
          <w:rFonts w:ascii="Times New Roman" w:cs="Times New Roman" w:eastAsia="Times New Roman" w:hAnsi="Times New Roman"/>
          <w:sz w:val="18"/>
          <w:szCs w:val="18"/>
          <w:color w:val="auto"/>
        </w:rPr>
      </w:pPr>
    </w:p>
    <w:p>
      <w:pPr>
        <w:ind w:left="5580" w:hanging="102"/>
        <w:spacing w:after="0"/>
        <w:tabs>
          <w:tab w:leader="none" w:pos="55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240"/>
          </w:cols>
          <w:pgMar w:left="320" w:top="266" w:right="339" w:bottom="1440" w:gutter="0" w:footer="0" w:header="0"/>
        </w:sectPr>
      </w:pPr>
    </w:p>
    <w:bookmarkStart w:id="107" w:name="page108"/>
    <w:bookmarkEnd w:id="107"/>
    <w:p>
      <w:pPr>
        <w:ind w:right="100" w:firstLine="1017"/>
        <w:spacing w:after="0" w:line="303" w:lineRule="auto"/>
        <w:tabs>
          <w:tab w:leader="none" w:pos="125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With respect to each Depository, Custodian (i) shall exercise due care in accordance with reasonable commercial standards in discharging its duties as a securities intermediary to obtain and thereafter maintain Securities or financial assets deposited or held in such Depository, and (ii) will provide, promptly upon request by the Fund, such reports as are available concerning the internal accounting controls and financial strength of Depository.</w:t>
      </w:r>
    </w:p>
    <w:p>
      <w:pPr>
        <w:spacing w:after="0" w:line="145" w:lineRule="exact"/>
        <w:rPr>
          <w:rFonts w:ascii="Times New Roman" w:cs="Times New Roman" w:eastAsia="Times New Roman" w:hAnsi="Times New Roman"/>
          <w:sz w:val="16"/>
          <w:szCs w:val="16"/>
          <w:color w:val="auto"/>
        </w:rPr>
      </w:pPr>
    </w:p>
    <w:p>
      <w:pPr>
        <w:ind w:firstLine="1017"/>
        <w:spacing w:after="0" w:line="247" w:lineRule="auto"/>
        <w:tabs>
          <w:tab w:leader="none" w:pos="1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Foreign Depository, Custodian shall exercise reasonable care, prudence, and diligence (i) to provide the Fund with an analysis of the custody risks associated with maintaining assets with the Foreign Depository, and (ii) to monitor such custody risks on a continuing basis and promptly notify the Fund of any material change in such risks. The Fund acknowledges and agrees that such analysis and monitoring shall be made on the basis of, and limited by, information gathered from Subcustodians or through publicly available information otherwise obtained by Custodian, and shall not include any evaluation of Country Risks. As used herein the term “Country Risks” shall mean with respect to any Foreign Depository: (a) the financial infrastructure of the country in which it is organized, (b) such country’s prevailing custody and settlement practices, (c) nationalization, expropriation or other governmental actions, (d) such country’s regulation of the banking or securities industry, (e) currency controls, restrictions, devaluations or fluctuations, and (f) market conditions which affect the order execution of securities transactions or affect the value of securities.</w:t>
      </w:r>
    </w:p>
    <w:p>
      <w:pPr>
        <w:spacing w:after="0" w:line="191" w:lineRule="exact"/>
        <w:rPr>
          <w:sz w:val="20"/>
          <w:szCs w:val="20"/>
          <w:color w:val="auto"/>
        </w:rPr>
      </w:pPr>
    </w:p>
    <w:p>
      <w:pPr>
        <w:ind w:right="640" w:firstLine="450"/>
        <w:spacing w:after="0" w:line="268" w:lineRule="auto"/>
        <w:rPr>
          <w:sz w:val="20"/>
          <w:szCs w:val="20"/>
          <w:color w:val="auto"/>
        </w:rPr>
      </w:pPr>
      <w:r>
        <w:rPr>
          <w:rFonts w:ascii="Times New Roman" w:cs="Times New Roman" w:eastAsia="Times New Roman" w:hAnsi="Times New Roman"/>
          <w:sz w:val="18"/>
          <w:szCs w:val="18"/>
          <w:color w:val="auto"/>
        </w:rPr>
        <w:t>2.  Custodian shall furnish the Fund with an advice of daily transactions (including a confirmation of each transfer of Securities) and a monthly summary of all transfers to or from the Accounts.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3.   With respect to all Securities held hereunder, Custodian shall, unless otherwise instructed to the contrary:</w:t>
      </w:r>
    </w:p>
    <w:p>
      <w:pPr>
        <w:spacing w:after="0" w:line="109" w:lineRule="exact"/>
        <w:rPr>
          <w:sz w:val="20"/>
          <w:szCs w:val="20"/>
          <w:color w:val="auto"/>
        </w:rPr>
      </w:pPr>
    </w:p>
    <w:p>
      <w:pPr>
        <w:ind w:left="1260" w:hanging="243"/>
        <w:spacing w:after="0"/>
        <w:tabs>
          <w:tab w:leader="none" w:pos="1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all income and other payments and advise the Fund as promptly as practicable of any such amounts due but not paid;</w:t>
      </w:r>
    </w:p>
    <w:p>
      <w:pPr>
        <w:spacing w:after="0" w:line="214" w:lineRule="exact"/>
        <w:rPr>
          <w:rFonts w:ascii="Times New Roman" w:cs="Times New Roman" w:eastAsia="Times New Roman" w:hAnsi="Times New Roman"/>
          <w:sz w:val="18"/>
          <w:szCs w:val="18"/>
          <w:color w:val="auto"/>
        </w:rPr>
      </w:pPr>
    </w:p>
    <w:p>
      <w:pPr>
        <w:ind w:firstLine="1017"/>
        <w:spacing w:after="0" w:line="268" w:lineRule="auto"/>
        <w:tabs>
          <w:tab w:leader="none" w:pos="1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for payment and receive the amount paid upon all Securities which may mature and advise the Fund as promptly as practicable of any such amounts due but not paid;</w:t>
      </w:r>
    </w:p>
    <w:p>
      <w:pPr>
        <w:spacing w:after="0" w:line="169" w:lineRule="exact"/>
        <w:rPr>
          <w:rFonts w:ascii="Times New Roman" w:cs="Times New Roman" w:eastAsia="Times New Roman" w:hAnsi="Times New Roman"/>
          <w:sz w:val="18"/>
          <w:szCs w:val="18"/>
          <w:color w:val="auto"/>
        </w:rPr>
      </w:pPr>
    </w:p>
    <w:p>
      <w:pPr>
        <w:ind w:right="120" w:firstLine="1017"/>
        <w:spacing w:after="0" w:line="268" w:lineRule="auto"/>
        <w:tabs>
          <w:tab w:leader="none" w:pos="125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to the Fund copies of all information or documents that it may actually receive from an issuer of Securities which, in the opinion of Custodian, are intended for the beneficial owner of Securities;</w:t>
      </w:r>
    </w:p>
    <w:p>
      <w:pPr>
        <w:spacing w:after="0" w:line="169" w:lineRule="exact"/>
        <w:rPr>
          <w:rFonts w:ascii="Times New Roman" w:cs="Times New Roman" w:eastAsia="Times New Roman" w:hAnsi="Times New Roman"/>
          <w:sz w:val="18"/>
          <w:szCs w:val="18"/>
          <w:color w:val="auto"/>
        </w:rPr>
      </w:pPr>
    </w:p>
    <w:p>
      <w:pPr>
        <w:ind w:right="40" w:firstLine="1017"/>
        <w:spacing w:after="0" w:line="268" w:lineRule="auto"/>
        <w:tabs>
          <w:tab w:leader="none" w:pos="1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as custodian, any certificates of ownership, affidavits, declarations or other certificates under any tax laws now or hereafter in effect in connection with the collection of bond and note coupons;</w:t>
      </w:r>
    </w:p>
    <w:p>
      <w:pPr>
        <w:spacing w:after="0" w:line="169" w:lineRule="exact"/>
        <w:rPr>
          <w:rFonts w:ascii="Times New Roman" w:cs="Times New Roman" w:eastAsia="Times New Roman" w:hAnsi="Times New Roman"/>
          <w:sz w:val="18"/>
          <w:szCs w:val="18"/>
          <w:color w:val="auto"/>
        </w:rPr>
      </w:pPr>
    </w:p>
    <w:p>
      <w:pPr>
        <w:ind w:right="320" w:firstLine="1017"/>
        <w:spacing w:after="0" w:line="268" w:lineRule="auto"/>
        <w:tabs>
          <w:tab w:leader="none" w:pos="125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directly or through a Depository, a Foreign Depository, or a Subcustodian all rights and similar Securities issued with respect to any Securities credited to an Account hereunder; and</w:t>
      </w:r>
    </w:p>
    <w:p>
      <w:pPr>
        <w:spacing w:after="0" w:line="169" w:lineRule="exact"/>
        <w:rPr>
          <w:rFonts w:ascii="Times New Roman" w:cs="Times New Roman" w:eastAsia="Times New Roman" w:hAnsi="Times New Roman"/>
          <w:sz w:val="18"/>
          <w:szCs w:val="18"/>
          <w:color w:val="auto"/>
        </w:rPr>
      </w:pPr>
    </w:p>
    <w:p>
      <w:pPr>
        <w:ind w:left="1240" w:hanging="223"/>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 for collection checks, drafts or other negotiable instruments.</w:t>
      </w:r>
    </w:p>
    <w:p>
      <w:pPr>
        <w:spacing w:after="0" w:line="148" w:lineRule="exact"/>
        <w:rPr>
          <w:rFonts w:ascii="Times New Roman" w:cs="Times New Roman" w:eastAsia="Times New Roman" w:hAnsi="Times New Roman"/>
          <w:sz w:val="18"/>
          <w:szCs w:val="18"/>
          <w:color w:val="auto"/>
        </w:rPr>
      </w:pPr>
    </w:p>
    <w:p>
      <w:pPr>
        <w:ind w:left="5580" w:hanging="102"/>
        <w:spacing w:after="0"/>
        <w:tabs>
          <w:tab w:leader="none" w:pos="55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220"/>
          </w:cols>
          <w:pgMar w:left="320" w:top="266" w:right="359" w:bottom="1440" w:gutter="0" w:footer="0" w:header="0"/>
        </w:sectPr>
      </w:pPr>
    </w:p>
    <w:bookmarkStart w:id="108" w:name="page109"/>
    <w:bookmarkEnd w:id="108"/>
    <w:p>
      <w:pPr>
        <w:ind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4.  (a) Custodian shall notify the Fund of rights or discretionary actions with respect to Securities held hereunder, and of the date or dates by when such rights must be exercised or such action must be taken, provided that Custodian has actually received, from the issuer or the relevant Depository (with respect to Securities issued in the United States) or from the relevant Subcustodian, Foreign Depository, or a nationally or internationally recognized bond or corporate action service to which Custodian subscribes, timely notice of such rights or discretionary corporate action or of the date or dates such rights must be exercised or such action must be taken. Absent actual receipt of such notice, Custodian shall have no liability for failing to so notify the Fund.</w:t>
      </w:r>
    </w:p>
    <w:p>
      <w:pPr>
        <w:spacing w:after="0" w:line="185" w:lineRule="exact"/>
        <w:rPr>
          <w:sz w:val="20"/>
          <w:szCs w:val="20"/>
          <w:color w:val="auto"/>
        </w:rPr>
      </w:pPr>
    </w:p>
    <w:p>
      <w:pPr>
        <w:ind w:right="160" w:firstLine="1017"/>
        <w:spacing w:after="0" w:line="286" w:lineRule="auto"/>
        <w:tabs>
          <w:tab w:leader="none" w:pos="12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Securities (including, but not limited to, warrants, options, tenders, options to tender or non-mandatory puts or calls) confer discretionary rights on the Fund or provide for discretionary action or alternative courses of action by the Fund, the Fund shall be responsible for making any decisions relating thereto and for directing Custodian to act. In order for Custodian to act, it must receive the Fund’s Certificate or Instructions at Custodian’s offices, addressed as Custodian may from time to time request, not later than noon (New York time) at least two (2) Business Days prior to the last scheduled date to act with respect to such Securities (or such earlier date or time as Custodian may specify to the Fund). Absent Custodian’s timely receipt of such Certificate or Instructions, Custodian shall not be liable for failure to take any action relating to or to exercise any rights conferred by such Securities.</w:t>
      </w:r>
    </w:p>
    <w:p>
      <w:pPr>
        <w:spacing w:after="0" w:line="158" w:lineRule="exact"/>
        <w:rPr>
          <w:sz w:val="20"/>
          <w:szCs w:val="20"/>
          <w:color w:val="auto"/>
        </w:rPr>
      </w:pPr>
    </w:p>
    <w:p>
      <w:pPr>
        <w:jc w:val="both"/>
        <w:ind w:right="120" w:firstLine="450"/>
        <w:spacing w:after="0" w:line="256" w:lineRule="auto"/>
        <w:rPr>
          <w:sz w:val="20"/>
          <w:szCs w:val="20"/>
          <w:color w:val="auto"/>
        </w:rPr>
      </w:pPr>
      <w:r>
        <w:rPr>
          <w:rFonts w:ascii="Times New Roman" w:cs="Times New Roman" w:eastAsia="Times New Roman" w:hAnsi="Times New Roman"/>
          <w:sz w:val="18"/>
          <w:szCs w:val="18"/>
          <w:color w:val="auto"/>
        </w:rPr>
        <w:t>5.  All voting rights with respect to Securities, however registered, shall be exercised by the Fund or its designee. Custodian will make available to the Fund proxy voting services upon the request of, and for the jurisdictions selected by, the Fund in accordance with terms and conditions to be mutually agreed upon by Custodian and the Fund.</w:t>
      </w:r>
    </w:p>
    <w:p>
      <w:pPr>
        <w:spacing w:after="0" w:line="180" w:lineRule="exact"/>
        <w:rPr>
          <w:sz w:val="20"/>
          <w:szCs w:val="20"/>
          <w:color w:val="auto"/>
        </w:rPr>
      </w:pPr>
    </w:p>
    <w:p>
      <w:pPr>
        <w:ind w:right="40" w:firstLine="450"/>
        <w:spacing w:after="0" w:line="293" w:lineRule="auto"/>
        <w:rPr>
          <w:sz w:val="20"/>
          <w:szCs w:val="20"/>
          <w:color w:val="auto"/>
        </w:rPr>
      </w:pPr>
      <w:r>
        <w:rPr>
          <w:rFonts w:ascii="Times New Roman" w:cs="Times New Roman" w:eastAsia="Times New Roman" w:hAnsi="Times New Roman"/>
          <w:sz w:val="16"/>
          <w:szCs w:val="16"/>
          <w:color w:val="auto"/>
        </w:rPr>
        <w:t>6.  Custodian shall promptly advise the Fund upon Custodian’s actual receipt of notification of the partial redemption, partial payment or other action affecting less than all Securities of the relevant class. If Custodian, any Subcustodian, any Depository, or any Foreign Depository holds any Securities in which the Fund has an interest as part of a fungible mass, Custodian, such Subcustodian, Depository, or Foreign Depository may select the Securities to participate in such partial redemption, partial payment or other action in any non-discriminatory manner that it customarily uses to make such selection.</w:t>
      </w:r>
    </w:p>
    <w:p>
      <w:pPr>
        <w:spacing w:after="0" w:line="154" w:lineRule="exact"/>
        <w:rPr>
          <w:sz w:val="20"/>
          <w:szCs w:val="20"/>
          <w:color w:val="auto"/>
        </w:rPr>
      </w:pPr>
    </w:p>
    <w:p>
      <w:pPr>
        <w:ind w:right="440" w:firstLine="450"/>
        <w:spacing w:after="0" w:line="268" w:lineRule="auto"/>
        <w:rPr>
          <w:sz w:val="20"/>
          <w:szCs w:val="20"/>
          <w:color w:val="auto"/>
        </w:rPr>
      </w:pPr>
      <w:r>
        <w:rPr>
          <w:rFonts w:ascii="Times New Roman" w:cs="Times New Roman" w:eastAsia="Times New Roman" w:hAnsi="Times New Roman"/>
          <w:sz w:val="18"/>
          <w:szCs w:val="18"/>
          <w:color w:val="auto"/>
        </w:rPr>
        <w:t>7.  Custodian shall not under any circumstances accept bearer interest coupons which have been stripped from United States federal, state or local government or agency securities unless explicitly agreed to by Custodian in writing.</w:t>
      </w:r>
    </w:p>
    <w:p>
      <w:pPr>
        <w:spacing w:after="0" w:line="169" w:lineRule="exact"/>
        <w:rPr>
          <w:sz w:val="20"/>
          <w:szCs w:val="20"/>
          <w:color w:val="auto"/>
        </w:rPr>
      </w:pPr>
    </w:p>
    <w:p>
      <w:pPr>
        <w:ind w:right="120" w:firstLine="450"/>
        <w:spacing w:after="0" w:line="249" w:lineRule="auto"/>
        <w:rPr>
          <w:sz w:val="20"/>
          <w:szCs w:val="20"/>
          <w:color w:val="auto"/>
        </w:rPr>
      </w:pPr>
      <w:r>
        <w:rPr>
          <w:rFonts w:ascii="Times New Roman" w:cs="Times New Roman" w:eastAsia="Times New Roman" w:hAnsi="Times New Roman"/>
          <w:sz w:val="18"/>
          <w:szCs w:val="18"/>
          <w:color w:val="auto"/>
        </w:rPr>
        <w:t>8.  The Fund shall be liable for all taxes, assessments, duties and other governmental charges, including any interest or penalty with respect thereto (“Taxes”), with respect to any cash or Securities held on behalf of the Fund or any transaction related thereto. The Fund shall indemnify Custodian and each Subcustodian for the amount of any Tax that Custodian, any such Subcustodian or any other withholding agent is required under applicable laws (whether by assessment or otherwise) to pay on behalf of, or in respect of income earned by or payments or distributions made to or for the account of the Fund (including any payment of Tax required by reason of an earlier failure to withhold). Custodian shall, or shall instruct the applicable Subcustodian or other withholding agent to, withhold the amount of any Tax which is required to</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200"/>
          </w:cols>
          <w:pgMar w:left="320" w:top="266" w:right="379" w:bottom="1440" w:gutter="0" w:footer="0" w:header="0"/>
        </w:sectPr>
      </w:pPr>
    </w:p>
    <w:bookmarkStart w:id="109" w:name="page110"/>
    <w:bookmarkEnd w:id="109"/>
    <w:p>
      <w:pPr>
        <w:ind w:right="6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be withheld under applicable law upon collection of any dividend, interest or other distribution made with respect to any Security and any proceeds or income from the sale, loan or other transfer of any Security. In the event that Custodian or any Subcustodian is required under applicable law to pay any Tax on behalf of the Fund, Custodian is hereby authorized to withdraw cash from any cash account in the amount required to pay such Tax and to use such cash, or to remit such cash to the appropriate Subcustodian or other withholding agent, for the timely payment of such Tax in the manner required by applicable law. If the aggregate amount of cash in all cash accounts is not sufficient to pay such Tax, Custodian shall promptly notify the Fund of the additional amount of cash (in the appropriate currency) required, and the Fund shall directly deposit such additional amount in the appropriate cash account promptly after receipt of such notice, for use by Custodian as specified herein. In the event that Custodian reasonably believes that Fund is eligible, pursuant to applicable law or to the provisions of any tax treaty, for a reduced rate of, or exemption from, any Tax which is otherwise required to be withheld or paid on behalf of the Fund under any applicable law, Custodian shall, or shall instruct the applicable Subcustodian or withholding agent to, either withhold or pay such Tax at such reduced rate or refrain from withholding or paying such Tax, as appropriate;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Custodian shall have received from the Fund all documentary evidence of residence or other qualification for such reduced rate or exemption required to be received under such applicable law or treaty. In the event that Custodian reasonably believes that a reduced rate of, or exemption from, any Tax is obtainable only by means of an application for refund, Custodian and the applicable Subcustodian shall have no responsibility for the accuracy or validity of any forms or documentation provided by the Fund to Custodian hereunder. The Fund hereby agrees to indemnify and hold harmless Custodian and each Subcustodian in respect of any liability arising from any underwithholding or underpayment of any Tax which results from the inaccuracy or invalidity of any such forms or other documentation, and such obligation to indemnify shall be a continuing obligation of the Fund, its successors and assigns notwithstanding the termination of this Agreement.</w:t>
      </w:r>
    </w:p>
    <w:p>
      <w:pPr>
        <w:spacing w:after="0" w:line="382"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8"/>
          <w:szCs w:val="18"/>
          <w:color w:val="auto"/>
        </w:rPr>
        <w:t>9.  (a) For the purpose of settling Securities and foreign exchange transactions, the Fund shall provide Custodian with sufficient immediately available funds for all transactions by such time and date as conditions in the relevant market dictate. As used herein, “sufficient immediately available funds” shall mean either (i) sufficient cash denominated in U.S. dollars to purchase the necessary foreign currency, or (ii) sufficient applicable foreign currency, to settle the transaction. Custodian shall provide the Fund with immediately available funds each day which result from the actual settlement of all sale transactions, based upon advices received by Custodian from Subcustodians, Depositories, and Foreign Depositories. Such funds shall be in U.S. dollars or such other currency as the Fund may specify to Custodian.</w:t>
      </w:r>
    </w:p>
    <w:p>
      <w:pPr>
        <w:spacing w:after="0" w:line="185" w:lineRule="exact"/>
        <w:rPr>
          <w:sz w:val="20"/>
          <w:szCs w:val="20"/>
          <w:color w:val="auto"/>
        </w:rPr>
      </w:pPr>
    </w:p>
    <w:p>
      <w:pPr>
        <w:ind w:right="40" w:firstLine="1017"/>
        <w:spacing w:after="0" w:line="252" w:lineRule="auto"/>
        <w:tabs>
          <w:tab w:leader="none" w:pos="12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transaction effected by Custodian in connection with this Agreement may be entered with Custodian or a BNY Affiliate acting as principal or otherwise through customary banking channels. The Fund may issue a standing Certificate or Instructions with respect to foreign exchange transactions, but Custodian may establish rules or limitations concerning any foreign exchange facility made available to the Fund. The Fund shall bear all risks of investing in Securities or holding cash denominated in a foreign currency.</w:t>
      </w:r>
    </w:p>
    <w:p>
      <w:pPr>
        <w:spacing w:after="0" w:line="183" w:lineRule="exact"/>
        <w:rPr>
          <w:rFonts w:ascii="Times New Roman" w:cs="Times New Roman" w:eastAsia="Times New Roman" w:hAnsi="Times New Roman"/>
          <w:sz w:val="18"/>
          <w:szCs w:val="18"/>
          <w:color w:val="auto"/>
        </w:rPr>
      </w:pPr>
    </w:p>
    <w:p>
      <w:pPr>
        <w:ind w:right="40" w:firstLine="455"/>
        <w:spacing w:after="0" w:line="256" w:lineRule="auto"/>
        <w:tabs>
          <w:tab w:leader="none" w:pos="71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such time as Custodian receives a certificate to the contrary with respect to a particular Security, Custodian may release the identity of the Fund to an issuer which requests such information pursuant to the Shareholder Communications Act of 1985 for the specific purpose of direct communications between such issuer and shareholder.</w:t>
      </w:r>
    </w:p>
    <w:p>
      <w:pPr>
        <w:spacing w:after="0" w:line="114" w:lineRule="exact"/>
        <w:rPr>
          <w:rFonts w:ascii="Times New Roman" w:cs="Times New Roman" w:eastAsia="Times New Roman" w:hAnsi="Times New Roman"/>
          <w:sz w:val="18"/>
          <w:szCs w:val="18"/>
          <w:color w:val="auto"/>
        </w:rPr>
      </w:pPr>
    </w:p>
    <w:p>
      <w:pPr>
        <w:ind w:left="5580" w:hanging="102"/>
        <w:spacing w:after="0"/>
        <w:tabs>
          <w:tab w:leader="none" w:pos="558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240"/>
          </w:cols>
          <w:pgMar w:left="320" w:top="266" w:right="339" w:bottom="1440" w:gutter="0" w:footer="0" w:header="0"/>
        </w:sectPr>
      </w:pPr>
    </w:p>
    <w:bookmarkStart w:id="110" w:name="page111"/>
    <w:bookmarkEnd w:id="1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IV</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PURCHASE, SALE AND REDEMPTION OF SECURITIES;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CREDITS TO ACCOUNT</w:t>
      </w:r>
    </w:p>
    <w:p>
      <w:pPr>
        <w:spacing w:after="0" w:line="196"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1.  (a) Promptly after each purchase or sale of Securities by the Fund, the Fund shall deliver to Custodian a Certificate or Instructions, or with respect to a purchase or sale of a Security generally required to be settled on the same day the purchase or sale is made, Oral Instructions specifying all information Custodian may reasonably request to settle such purchase or sale. Custodian shall account for all purchases and sales of Securities on the actual settlement date unless otherwise agreed by Custodian.</w:t>
      </w:r>
    </w:p>
    <w:p>
      <w:pPr>
        <w:spacing w:after="0" w:line="183" w:lineRule="exact"/>
        <w:rPr>
          <w:sz w:val="20"/>
          <w:szCs w:val="20"/>
          <w:color w:val="auto"/>
        </w:rPr>
      </w:pPr>
    </w:p>
    <w:p>
      <w:pPr>
        <w:ind w:firstLine="1017"/>
        <w:spacing w:after="0" w:line="247" w:lineRule="auto"/>
        <w:tabs>
          <w:tab w:leader="none" w:pos="1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purchases and redemptions of Hedge Fund Investments, upon the Written Instructions of an Authorized Person, Custodian (or its nominee) will as agent for the Fund subscribe for and redeem shares, units or other interests and complete, execute and submit all relevant subscription and redemption documentation required by the relevant issuer; provided that any Written Instructions given to Custodian hereunder shall be in accordance with Custodian’s procedures notified to the Customer from time to time; and provided further, that the applicable Fund’s delivery to Custodian of any such Written Instructions to purchase Hedge Fund Investments shall constitute the applicable Fund’s representation and warranty that the applicable Fund has reviewed and understands the terms of the relevant offering memorandum or subscription agreement (or similar document) and other document(s) related thereto and agreement to be bound by the terms and conditions thereof (including all representations and warranties to which the applicable Fund will be bound as beneficial owner of such Hedge Fund Investment).</w:t>
      </w:r>
    </w:p>
    <w:p>
      <w:pPr>
        <w:spacing w:after="0" w:line="191" w:lineRule="exact"/>
        <w:rPr>
          <w:sz w:val="20"/>
          <w:szCs w:val="20"/>
          <w:color w:val="auto"/>
        </w:rPr>
      </w:pPr>
    </w:p>
    <w:p>
      <w:pPr>
        <w:ind w:right="180" w:firstLine="450"/>
        <w:spacing w:after="0" w:line="249" w:lineRule="auto"/>
        <w:rPr>
          <w:sz w:val="20"/>
          <w:szCs w:val="20"/>
          <w:color w:val="auto"/>
        </w:rPr>
      </w:pPr>
      <w:r>
        <w:rPr>
          <w:rFonts w:ascii="Times New Roman" w:cs="Times New Roman" w:eastAsia="Times New Roman" w:hAnsi="Times New Roman"/>
          <w:sz w:val="18"/>
          <w:szCs w:val="18"/>
          <w:color w:val="auto"/>
        </w:rPr>
        <w:t>2.  The Fund understands that when Custodian is instructed to deliver Securities against payment, delivery of such Securities and receipt of payment therefor may not be completed simultaneously. Notwithstanding any provision in this Agreement to the contrary, settlements, payments and deliveries of Securities may be effected by Custodian or any Subcustodian in accordance with the customary or established securities trading or securities processing practices and procedures in the jurisdiction in which the transaction occurs, including, without limitation, delivery to a purchaser or dealer therefor (or agent) against receipt with the expectation of receiving later payment for such Securities. The Fund assumes full responsibility for all risks, including, without limitation, credit risks, involved in connection with such deliveries of Securities.</w:t>
      </w:r>
    </w:p>
    <w:p>
      <w:pPr>
        <w:spacing w:after="0" w:line="185"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8"/>
          <w:szCs w:val="18"/>
          <w:color w:val="auto"/>
        </w:rPr>
        <w:t>3.  Custodian may, as a matter of bookkeeping convenience or by separate agreement with the Fund, credit the Account with the proceeds from the sale, redemption or other disposition of Securities or interest, dividends or other distributions payable on Securities prior to its actual receipt of final payment therefor. All such credits shall be conditional until Custodian’s actual receipt of final payment and may be reversed by Custodian to the extent that final payment is not received. Payment with respect to a transaction will not be “final” until Custodian shall have received immediately available funds which under applicable local law, rule and/or practice are irreversible and not subject to any security interest, levy or other encumbrance, and which are specifically applicable to such transaction.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200"/>
          </w:cols>
          <w:pgMar w:left="320" w:top="264" w:right="37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OVERDRAFTS OR INDEBTEDNESS</w:t>
      </w:r>
    </w:p>
    <w:p>
      <w:pPr>
        <w:spacing w:after="0" w:line="196"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1.  If Custodian should in its sole discretion advance funds on behalf of any Series which results in an overdraft (including, without limitation, any day-light overdraft) because the money held by Custodian in an Account for such Series shall be insufficient to pay the total amount payable upon a purchase of Securities specifically allocated to such Series, as set forth in a Certificate, Instructions or Oral Instructions, or if an overdraft arises in the separate account of a Series for some other reason, including, without limitation, because of a reversal of a conditional credit or the purchase of any currency, or if the Fund is for any other reason indebted to Custodian with respect to a Series, including any indebtedness to The Bank of New York Mellon under the Fund’s Cash Management and Related Services Agreement (except a borrowing for investment or for temporary or emergency purposes using Securities as collateral pursuant to a separate agreement and subject to the provisions of Section 2 of this Article), such overdraft or indebtedness shall be deemed to be a loan made by Custodian to the Fund for such Series payable on demand and shall bear interest from the date incurred at a rate per annum ordinarily charged by Custodian to its institutional customers, as such rate may be adjusted from time to time. In addition, the Fund hereby agrees that Custodian shall to the maximum extent permitted by law have a continuing lien, security interest, and security entitlement in and to any property, including, without limitation, any investment property or any financial asset, of such Series at any time held by Custodian for the benefit of such Series or in which such Series may have an interest which is then in Custodian’s possession or control or in possession or control of any third party acting in Custodian’s behalf. The Fund authorizes Custodian, in its sole discretion, at any time to charge any such overdraft or indebtedness together with interest due thereon against any balance of account standing to such Series’ credit on Custodian’s books.</w:t>
      </w:r>
    </w:p>
    <w:p>
      <w:pPr>
        <w:spacing w:after="0" w:line="188" w:lineRule="exact"/>
        <w:rPr>
          <w:sz w:val="20"/>
          <w:szCs w:val="20"/>
          <w:color w:val="auto"/>
        </w:rPr>
      </w:pPr>
    </w:p>
    <w:p>
      <w:pPr>
        <w:ind w:right="20" w:firstLine="450"/>
        <w:spacing w:after="0" w:line="280" w:lineRule="auto"/>
        <w:rPr>
          <w:sz w:val="20"/>
          <w:szCs w:val="20"/>
          <w:color w:val="auto"/>
        </w:rPr>
      </w:pPr>
      <w:r>
        <w:rPr>
          <w:rFonts w:ascii="Times New Roman" w:cs="Times New Roman" w:eastAsia="Times New Roman" w:hAnsi="Times New Roman"/>
          <w:sz w:val="16"/>
          <w:szCs w:val="16"/>
          <w:color w:val="auto"/>
        </w:rPr>
        <w:t>2.  If the Fund borrows money from any bank (including Custodian if the borrowing is pursuant to a separate agreement) for investment or for temporary or emergency purposes using Securities held by Custodian hereunder as collateral for such borrowings, the Fund shall deliver to Custodian a Certificate specifying with respect to each such borrowing: (a) the Series to which such borrowing relates; (b) the name of the bank, (c) the amount of the borrowing, (d) the time and date, if known, on which the loan is to be entered into, (e) the total amount payable to the Fund on the borrowing date, (f) the Securities to be delivered as collateral for such loan, including the name of the issuer, the title and the number of shares or the principal amount of any particular Securities, and (g) a statement specifying whether such loan is for investment purposes or for temporary or emergency purposes and that such loan is in conformance with the ‘40 Act and the Fund’s prospectus. Custodian shall deliver on the borrowing date specified in a Certificate the specified collateral against payment by the lending bank of the total amount of the loan payable, provided that the same conforms to the total amount payable as set forth in the Certificate. Custodian may, at the option of the lending bank, keep such collateral in its possession, but such collateral shall be subject to all rights therein given the lending bank by virtue of any promissory note or loan agreement. Custodian shall deliver such Securities-as additional collateral as may be specified in a Certificate to collateralize further any transaction described in this Section. The Fund shall cause all Securities released from collateral status to be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240"/>
          </w:cols>
          <w:pgMar w:left="320" w:top="264" w:right="339" w:bottom="1440" w:gutter="0" w:footer="0" w:header="0"/>
        </w:sectPr>
      </w:pPr>
    </w:p>
    <w:bookmarkStart w:id="112" w:name="page113"/>
    <w:bookmarkEnd w:id="11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returned directly to Custodian, and Custodian shall receive from time to time such return of collateral as may be tendered to it. In the event that the Fund fails to specify in a Certificate the Series, the name of the issuer, the title and number of shares or the principal amount of any particular Securities to be delivered as collateral by Custodian, Custodian shall not be under any obligation to deliver any Securities.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AND REDEMPTION OF SHARES</w:t>
      </w:r>
    </w:p>
    <w:p>
      <w:pPr>
        <w:spacing w:after="0" w:line="196" w:lineRule="exact"/>
        <w:rPr>
          <w:sz w:val="20"/>
          <w:szCs w:val="20"/>
          <w:color w:val="auto"/>
        </w:rPr>
      </w:pPr>
    </w:p>
    <w:p>
      <w:pPr>
        <w:ind w:right="520" w:firstLine="450"/>
        <w:spacing w:after="0" w:line="332" w:lineRule="auto"/>
        <w:rPr>
          <w:sz w:val="20"/>
          <w:szCs w:val="20"/>
          <w:color w:val="auto"/>
        </w:rPr>
      </w:pPr>
      <w:r>
        <w:rPr>
          <w:rFonts w:ascii="Times New Roman" w:cs="Times New Roman" w:eastAsia="Times New Roman" w:hAnsi="Times New Roman"/>
          <w:sz w:val="16"/>
          <w:szCs w:val="16"/>
          <w:color w:val="auto"/>
        </w:rPr>
        <w:t>1.  Whenever the Fund shall sell any shares issued by the Fund (“Shares”) it shall deliver to Custodian a Certificate or Instructions specifying the amount of money and/or Securities to be received by Custodian for the sale of such Shares and specifically allocated to an Account for such Series.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Upon receipt of such money, Custodian shall credit such money to an Account in the name of the Series for which such money was received.</w:t>
      </w:r>
    </w:p>
    <w:p>
      <w:pPr>
        <w:spacing w:after="0" w:line="214" w:lineRule="exact"/>
        <w:rPr>
          <w:sz w:val="20"/>
          <w:szCs w:val="20"/>
          <w:color w:val="auto"/>
        </w:rPr>
      </w:pPr>
    </w:p>
    <w:p>
      <w:pPr>
        <w:ind w:right="80" w:firstLine="450"/>
        <w:spacing w:after="0" w:line="286" w:lineRule="auto"/>
        <w:rPr>
          <w:sz w:val="20"/>
          <w:szCs w:val="20"/>
          <w:color w:val="auto"/>
        </w:rPr>
      </w:pPr>
      <w:r>
        <w:rPr>
          <w:rFonts w:ascii="Times New Roman" w:cs="Times New Roman" w:eastAsia="Times New Roman" w:hAnsi="Times New Roman"/>
          <w:sz w:val="16"/>
          <w:szCs w:val="16"/>
          <w:color w:val="auto"/>
        </w:rPr>
        <w:t>3.  Except as provided hereinafter, whenever the Fund desires Custodian to make payment out of the money held by Custodian hereunder in connection with a redemption of any Shares, it shall furnish to Custodian (a) a resolution of the Fund’s board directing the Fund’s transfer agent to redeem the Shares, and</w:t>
      </w:r>
    </w:p>
    <w:p>
      <w:pPr>
        <w:ind w:right="80" w:firstLine="5"/>
        <w:spacing w:after="0" w:line="248" w:lineRule="auto"/>
        <w:tabs>
          <w:tab w:leader="none" w:pos="2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or Instructions specifying the total amount to be paid for such Shares. Custodian shall make payment of such total amount to the transfer agent specified in such Certificate or Instructions out of the money held in an Account of the appropriate Series.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 OF DIVIDENDS OR DISTRIBUTIONS</w:t>
      </w:r>
    </w:p>
    <w:p>
      <w:pPr>
        <w:spacing w:after="0" w:line="196" w:lineRule="exact"/>
        <w:rPr>
          <w:sz w:val="20"/>
          <w:szCs w:val="20"/>
          <w:color w:val="auto"/>
        </w:rPr>
      </w:pPr>
    </w:p>
    <w:p>
      <w:pPr>
        <w:ind w:right="100" w:firstLine="450"/>
        <w:spacing w:after="0" w:line="332" w:lineRule="auto"/>
        <w:rPr>
          <w:sz w:val="20"/>
          <w:szCs w:val="20"/>
          <w:color w:val="auto"/>
        </w:rPr>
      </w:pPr>
      <w:r>
        <w:rPr>
          <w:rFonts w:ascii="Times New Roman" w:cs="Times New Roman" w:eastAsia="Times New Roman" w:hAnsi="Times New Roman"/>
          <w:sz w:val="16"/>
          <w:szCs w:val="16"/>
          <w:color w:val="auto"/>
        </w:rPr>
        <w:t>1.  Whenever the Fund shall determine to pay a dividend or distribution on Shares it shall furnish to Custodian Instructions or a Certificate setting forth with respect to the Series specified therein the date of the declaration of such dividend or distribution, the total amount payable, and the payment date.</w:t>
      </w:r>
    </w:p>
    <w:p>
      <w:pPr>
        <w:spacing w:after="0" w:line="123" w:lineRule="exact"/>
        <w:rPr>
          <w:sz w:val="20"/>
          <w:szCs w:val="20"/>
          <w:color w:val="auto"/>
        </w:rPr>
      </w:pPr>
    </w:p>
    <w:p>
      <w:pPr>
        <w:ind w:right="340" w:firstLine="450"/>
        <w:spacing w:after="0" w:line="268" w:lineRule="auto"/>
        <w:rPr>
          <w:sz w:val="20"/>
          <w:szCs w:val="20"/>
          <w:color w:val="auto"/>
        </w:rPr>
      </w:pPr>
      <w:r>
        <w:rPr>
          <w:rFonts w:ascii="Times New Roman" w:cs="Times New Roman" w:eastAsia="Times New Roman" w:hAnsi="Times New Roman"/>
          <w:sz w:val="18"/>
          <w:szCs w:val="18"/>
          <w:color w:val="auto"/>
        </w:rPr>
        <w:t>2.  Upon the payment date specified in such Instructions or Certificate, Custodian shall pay out of the money held for the account of such Series the total amount payable to the dividend agent of the Fund specified therein.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CUSTODIAN</w:t>
      </w:r>
    </w:p>
    <w:p>
      <w:pPr>
        <w:spacing w:after="0" w:line="19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    Custodian shall exercise good faith in carrying out all of these duties and obligations. Except as otherwise expressly provided herein, Custodian shall not be liable for any costs, expenses, damages, liabilities or claims, including attorneys’ and accountants’ fees (collectively, “Losses”), incurred by or asserted against the Fund, except those Losses arising out of Custodian’s own negligence or willful misconduct. Custodian shall have no liability whatsoever for the action or inaction of any Depositories or of any Foreign Depositories, except in each case to the extent such action or inaction is a direct result of the Custodian’s failure to fulfill its duties hereunder. With respect to any Losses incurred by the Fund as a result of the acts or any failures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240"/>
          </w:cols>
          <w:pgMar w:left="320" w:top="266" w:right="339" w:bottom="1440" w:gutter="0" w:footer="0" w:header="0"/>
        </w:sectPr>
      </w:pPr>
    </w:p>
    <w:bookmarkStart w:id="113" w:name="page114"/>
    <w:bookmarkEnd w:id="113"/>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act by any Subcustodian (other than a BNY Affiliate), Custodian shall take appropriate action to recover such Losses from such Subcustodian; and Custodian’s sole responsibility and liability to the Fund shall be limited to amounts so received from such Subcustodian (exclusive of costs and expenses incurred by Custodian). In no event shall Custodian be liable to the Fund or any third party for special, indirect or consequential damages, or lost profits or loss of business, arising in connection with this Agreement, nor shall BNY or any Subcustodian be liable: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for acting in accordance with any Certificate or Oral Instructions actually received by Custodian and reasonably believed by Custodian to be given by an Authorized Person;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for acting in accordance with Instructions without reviewing the same;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conclusively presuming that all Instructions are given only by person(s) duly authorized;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for conclusively presuming that all disbursements of cash directed by the Fund, whether by a Certificate, an Oral Instruction, or an Instruction, are in accordance with Section 2(i) of Article II hereof;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for holding property in any particular country, including, but not limited to, Losses resulting from nationalization, expropriation or other governmental actions; regulation of the banking or securities industry; exchange or currency controls or restrictions, devaluations or fluctuations; availability of cash or Securities or market conditions which prevent the transfer of property or execution of Securities transactions or affect the value of property;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for any Losses due to forces beyond the control of Custodian, including without limitation strikes, work stoppages, acts of war or terrorism, insurrection, revolution, nuclear or natural catastrophes or acts of God, or interruptions, loss or malfunctions of utilities, communications or computer (software and hardware) services; (vii) for the insolvency of any Subcustodian (other than a BNY Affiliate), any Depository, or, except to the extent such action or inaction is a direct result of the Custodian’s failure to fulfill its duties hereunder, any Foreign Depository;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for any Losses arising from the applicability of any law or regulation now or hereafter in effect, or from the occurrence of any event, including, without limitation, implementation or adoption of any rules or procedures of a Foreign Depository, which may affect, limit, prevent or impose costs or burdens on, the transferability, convertibility, or availability of any currency or Composite Currency Unit in any country or on the transfer of any Securities, and in no event shall Custodian be obligated to substitute another currency for a currency (including a currency that is a component of a Composite Currency Unit) whose transferability, convertibility or availability has been affected, limited, or prevented by such law, regulation or event, and to the extent that any such law, regulation or event imposes a cost or charge upon Custodian in relation to the transferability, convertibility, or availability of any cash currency or Composite Currency Unit, such cost or charge shall be for the account of the Fund, and Custodian may treat any account denominated in an affected currency as a group of separate accounts denominated in the relevant component currencies.</w:t>
      </w:r>
    </w:p>
    <w:p>
      <w:pPr>
        <w:spacing w:after="0" w:line="194" w:lineRule="exact"/>
        <w:rPr>
          <w:sz w:val="20"/>
          <w:szCs w:val="20"/>
          <w:color w:val="auto"/>
        </w:rPr>
      </w:pPr>
    </w:p>
    <w:p>
      <w:pPr>
        <w:ind w:right="120" w:firstLine="1017"/>
        <w:spacing w:after="0" w:line="256" w:lineRule="auto"/>
        <w:tabs>
          <w:tab w:leader="none" w:pos="1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 may enter into subcontracts, agreements and understandings with any BNY Affiliate, whenever and on such terms and conditions as it deems necessary or appropriate to perform its services hereunder. No such subcontract, agreement or understanding shall discharge Custodian from its obligations hereunder.</w:t>
      </w:r>
    </w:p>
    <w:p>
      <w:pPr>
        <w:spacing w:after="0" w:line="18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Fund agrees to indemnify Custodian and hold Custodian harmless from and against any and all Losses sustained or incurred by or asserted against Custodian by reason of or as a result of any action or inaction, or arising out of Custodian’s performance hereunder, including reasonable fees and expenses of counsel incurred by Custodian in a successful defense of claims by the Fund; provided however, that the Fund shall not indemnify Custodian for those Losses arising out of Custodian’s own negligence or willful misconduct or for any Losses which constitute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220"/>
          </w:cols>
          <w:pgMar w:left="320" w:top="266" w:right="359" w:bottom="1440" w:gutter="0" w:footer="0" w:header="0"/>
        </w:sectPr>
      </w:pPr>
    </w:p>
    <w:bookmarkStart w:id="114" w:name="page115"/>
    <w:bookmarkEnd w:id="114"/>
    <w:p>
      <w:pPr>
        <w:ind w:right="3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indirect, special or consequential damages or lost profits or loss of business. This indemnity shall be a continuing obligation of the Fund, its successors and assigns, notwithstanding the termination of this Agreement.</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Without limiting the generality of the foregoing, Custodian shall be under no obligation to inquire into, and shall not be liable for:</w:t>
      </w:r>
    </w:p>
    <w:p>
      <w:pPr>
        <w:spacing w:after="0" w:line="109" w:lineRule="exact"/>
        <w:rPr>
          <w:sz w:val="20"/>
          <w:szCs w:val="20"/>
          <w:color w:val="auto"/>
        </w:rPr>
      </w:pPr>
    </w:p>
    <w:p>
      <w:pPr>
        <w:ind w:right="340" w:firstLine="1017"/>
        <w:spacing w:after="0" w:line="268" w:lineRule="auto"/>
        <w:tabs>
          <w:tab w:leader="none" w:pos="12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incurred by the Fund or any other person as a result of the receipt or acceptance of fraudulent, forged or invalid Securities, or Securities which are otherwise not freely transferable or deliverable without encumbrance in any relevant market;</w:t>
      </w:r>
    </w:p>
    <w:p>
      <w:pPr>
        <w:spacing w:after="0" w:line="169" w:lineRule="exact"/>
        <w:rPr>
          <w:rFonts w:ascii="Times New Roman" w:cs="Times New Roman" w:eastAsia="Times New Roman" w:hAnsi="Times New Roman"/>
          <w:sz w:val="18"/>
          <w:szCs w:val="18"/>
          <w:color w:val="auto"/>
        </w:rPr>
      </w:pPr>
    </w:p>
    <w:p>
      <w:pPr>
        <w:ind w:right="160" w:firstLine="1017"/>
        <w:spacing w:after="0" w:line="268" w:lineRule="auto"/>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of the issue of any Securities purchased, sold, or written by or for the Fund, the legality of the purchase, sale or writing thereof, or the propriety of the amount paid or received therefor;</w:t>
      </w:r>
    </w:p>
    <w:p>
      <w:pPr>
        <w:spacing w:after="0" w:line="169" w:lineRule="exact"/>
        <w:rPr>
          <w:rFonts w:ascii="Times New Roman" w:cs="Times New Roman" w:eastAsia="Times New Roman" w:hAnsi="Times New Roman"/>
          <w:sz w:val="18"/>
          <w:szCs w:val="18"/>
          <w:color w:val="auto"/>
        </w:rPr>
      </w:pPr>
    </w:p>
    <w:p>
      <w:pPr>
        <w:ind w:left="1260" w:hanging="243"/>
        <w:spacing w:after="0"/>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of the sale or redemption of any Shares, or the propriety of the amount to be received or paid therefor;</w:t>
      </w:r>
    </w:p>
    <w:p>
      <w:pPr>
        <w:spacing w:after="0" w:line="214" w:lineRule="exact"/>
        <w:rPr>
          <w:rFonts w:ascii="Times New Roman" w:cs="Times New Roman" w:eastAsia="Times New Roman" w:hAnsi="Times New Roman"/>
          <w:sz w:val="18"/>
          <w:szCs w:val="18"/>
          <w:color w:val="auto"/>
        </w:rPr>
      </w:pPr>
    </w:p>
    <w:p>
      <w:pPr>
        <w:ind w:left="1260" w:hanging="243"/>
        <w:spacing w:after="0"/>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of the declaration or payment of any dividend or distribution by the Fund;</w:t>
      </w:r>
    </w:p>
    <w:p>
      <w:pPr>
        <w:spacing w:after="0" w:line="214" w:lineRule="exact"/>
        <w:rPr>
          <w:rFonts w:ascii="Times New Roman" w:cs="Times New Roman" w:eastAsia="Times New Roman" w:hAnsi="Times New Roman"/>
          <w:sz w:val="18"/>
          <w:szCs w:val="18"/>
          <w:color w:val="auto"/>
        </w:rPr>
      </w:pPr>
    </w:p>
    <w:p>
      <w:pPr>
        <w:ind w:left="1260" w:hanging="243"/>
        <w:spacing w:after="0"/>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of any borrowing by the Fund;</w:t>
      </w:r>
    </w:p>
    <w:p>
      <w:pPr>
        <w:spacing w:after="0" w:line="214" w:lineRule="exact"/>
        <w:rPr>
          <w:rFonts w:ascii="Times New Roman" w:cs="Times New Roman" w:eastAsia="Times New Roman" w:hAnsi="Times New Roman"/>
          <w:sz w:val="18"/>
          <w:szCs w:val="18"/>
          <w:color w:val="auto"/>
        </w:rPr>
      </w:pPr>
    </w:p>
    <w:p>
      <w:pPr>
        <w:ind w:right="20" w:firstLine="1017"/>
        <w:spacing w:after="0" w:line="249" w:lineRule="auto"/>
        <w:tabs>
          <w:tab w:leader="none" w:pos="12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of any loan of portfolio Securities, nor shall Custodian be under any duty or obligation to see to it that any cash or collateral delivered to it by a broker, dealer or financial institution or held by it at any time as a result of such loan of portfolio Securities is adequate security for the Fund against any loss it might sustain as a result of such loan, which duty or obligation shall be the sole responsibility of the Fund. In addition, Custodian’ shall be under no duty or obligation to see that any broker, dealer or financial institution to which portfolio Securities of the Fund are lent makes payment to it of any dividends or interest which are payable to or for the account of the Fund during the period of such loan or at the termination of such loan, provided, however that Custodian shall promptly notify the Fund in the event that such dividends or interest are not paid and received when due;</w:t>
      </w:r>
    </w:p>
    <w:p>
      <w:pPr>
        <w:spacing w:after="0" w:line="185" w:lineRule="exact"/>
        <w:rPr>
          <w:rFonts w:ascii="Times New Roman" w:cs="Times New Roman" w:eastAsia="Times New Roman" w:hAnsi="Times New Roman"/>
          <w:sz w:val="18"/>
          <w:szCs w:val="18"/>
          <w:color w:val="auto"/>
        </w:rPr>
      </w:pPr>
    </w:p>
    <w:p>
      <w:pPr>
        <w:ind w:right="20" w:firstLine="1017"/>
        <w:spacing w:after="0" w:line="250" w:lineRule="auto"/>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or value of any amounts of money and/or Securities held in any Special Account in connection with transactions by the Fund; whether any broker, dealer, futures commission merchant or clearing member makes payment to the Fund of any variation margin payment or similar payment which the Fund may be entitled to receive from such broker, dealer, futures commission merchant or clearing member, or whether any payment received by Custodian from any broker, dealer, futures commission merchant or clearing member is the amount the Fund is entitled to receive, or to notify the Fund of Custodian’s receipt or non-receipt of any such payment; or</w:t>
      </w:r>
    </w:p>
    <w:p>
      <w:pPr>
        <w:spacing w:after="0" w:line="185" w:lineRule="exact"/>
        <w:rPr>
          <w:rFonts w:ascii="Times New Roman" w:cs="Times New Roman" w:eastAsia="Times New Roman" w:hAnsi="Times New Roman"/>
          <w:sz w:val="18"/>
          <w:szCs w:val="18"/>
          <w:color w:val="auto"/>
        </w:rPr>
      </w:pPr>
    </w:p>
    <w:p>
      <w:pPr>
        <w:jc w:val="both"/>
        <w:ind w:firstLine="1017"/>
        <w:spacing w:after="0" w:line="303" w:lineRule="auto"/>
        <w:tabs>
          <w:tab w:leader="none" w:pos="125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any Securities at any time delivered to, or held by it or by any Subcustodian, for the account of the Fund and specifically allocated to a Series are such as properly may be held by the Fund or such Series under the provisions of its then current prospectus and statement of additional information, or to ascertain whether any transactions by the Fund, whether or not involving Custodian, are such transactions as may properly be engaged in by the Fund.</w:t>
      </w:r>
    </w:p>
    <w:p>
      <w:pPr>
        <w:spacing w:after="0" w:line="79" w:lineRule="exact"/>
        <w:rPr>
          <w:rFonts w:ascii="Times New Roman" w:cs="Times New Roman" w:eastAsia="Times New Roman" w:hAnsi="Times New Roman"/>
          <w:sz w:val="16"/>
          <w:szCs w:val="16"/>
          <w:color w:val="auto"/>
        </w:rPr>
      </w:pPr>
    </w:p>
    <w:p>
      <w:pPr>
        <w:ind w:left="5540" w:hanging="106"/>
        <w:spacing w:after="0"/>
        <w:tabs>
          <w:tab w:leader="none" w:pos="5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240"/>
          </w:cols>
          <w:pgMar w:left="320" w:top="266" w:right="339" w:bottom="1440" w:gutter="0" w:footer="0" w:header="0"/>
        </w:sectPr>
      </w:pPr>
    </w:p>
    <w:bookmarkStart w:id="115" w:name="page116"/>
    <w:bookmarkEnd w:id="115"/>
    <w:p>
      <w:pPr>
        <w:ind w:right="34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3.  Custodian may, with respect to questions of law specifically regarding an Account, obtain the advice of counsel and shall be fully protected with respect to anything done or omitted by it in good faith in conformity with such advice.</w:t>
      </w:r>
    </w:p>
    <w:p>
      <w:pPr>
        <w:spacing w:after="0" w:line="169" w:lineRule="exact"/>
        <w:rPr>
          <w:sz w:val="20"/>
          <w:szCs w:val="20"/>
          <w:color w:val="auto"/>
        </w:rPr>
      </w:pPr>
    </w:p>
    <w:p>
      <w:pPr>
        <w:ind w:right="540" w:firstLine="450"/>
        <w:spacing w:after="0" w:line="268" w:lineRule="auto"/>
        <w:rPr>
          <w:sz w:val="20"/>
          <w:szCs w:val="20"/>
          <w:color w:val="auto"/>
        </w:rPr>
      </w:pPr>
      <w:r>
        <w:rPr>
          <w:rFonts w:ascii="Times New Roman" w:cs="Times New Roman" w:eastAsia="Times New Roman" w:hAnsi="Times New Roman"/>
          <w:sz w:val="18"/>
          <w:szCs w:val="18"/>
          <w:color w:val="auto"/>
        </w:rPr>
        <w:t>4.  Custodian shall be under no obligation to take action to collect any amount payable on Securities in default, or if payment is refused after due demand and presentment.</w:t>
      </w:r>
    </w:p>
    <w:p>
      <w:pPr>
        <w:spacing w:after="0" w:line="169" w:lineRule="exact"/>
        <w:rPr>
          <w:sz w:val="20"/>
          <w:szCs w:val="20"/>
          <w:color w:val="auto"/>
        </w:rPr>
      </w:pPr>
    </w:p>
    <w:p>
      <w:pPr>
        <w:ind w:right="360" w:firstLine="450"/>
        <w:spacing w:after="0" w:line="268" w:lineRule="auto"/>
        <w:rPr>
          <w:sz w:val="20"/>
          <w:szCs w:val="20"/>
          <w:color w:val="auto"/>
        </w:rPr>
      </w:pPr>
      <w:r>
        <w:rPr>
          <w:rFonts w:ascii="Times New Roman" w:cs="Times New Roman" w:eastAsia="Times New Roman" w:hAnsi="Times New Roman"/>
          <w:sz w:val="18"/>
          <w:szCs w:val="18"/>
          <w:color w:val="auto"/>
        </w:rPr>
        <w:t>5.  Custodian shall have no duty or responsibility to inquire into, make recommendations, supervise, or determine the suitability of any transactions affecting any Account.</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6.  The Fund shall pay to Custodian the fees and charges as may be specifically agreed upon from time to time and such other fees and charges at Custodian’s standard rates for such services as may be applicable. The Fund shall reimburse Custodian for all costs associated with the conversion of the Fund’s Securities hereunder and the transfer of Securities and records kept in connection with this Agreement. The Fund shall also reimburse Custodian for out-of-pocket expenses which are a normal incident of the services provided hereunder.</w:t>
      </w:r>
    </w:p>
    <w:p>
      <w:pPr>
        <w:spacing w:after="0" w:line="183"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7.  Custodian has the right to debit any cash account for any amount payable by the Fund in connection with any and all obligations of the Fund to Custodian. In addition to the rights of Custodian under applicable law and other agreements, at any time when the Fund shall not have honored any of its obligations to Custodian, Custodian shall have the right without notice to the Fund to retain or set-off, against such obligations of the Fund, any Securities or cash Custodian may directly or indirectly hold for the account of the Fund, and any obligations (whether matured or unmatured) that Custodian may have to the Fund in any currency or Composite Currency Unit. Any such asset of, or obligation to, the Fund may be transferred to Custodian in order to effect the above rights.</w:t>
      </w:r>
    </w:p>
    <w:p>
      <w:pPr>
        <w:spacing w:after="0" w:line="185" w:lineRule="exact"/>
        <w:rPr>
          <w:sz w:val="20"/>
          <w:szCs w:val="20"/>
          <w:color w:val="auto"/>
        </w:rPr>
      </w:pPr>
    </w:p>
    <w:p>
      <w:pPr>
        <w:ind w:right="20" w:firstLine="450"/>
        <w:spacing w:after="0" w:line="246" w:lineRule="auto"/>
        <w:rPr>
          <w:sz w:val="20"/>
          <w:szCs w:val="20"/>
          <w:color w:val="auto"/>
        </w:rPr>
      </w:pPr>
      <w:r>
        <w:rPr>
          <w:rFonts w:ascii="Times New Roman" w:cs="Times New Roman" w:eastAsia="Times New Roman" w:hAnsi="Times New Roman"/>
          <w:sz w:val="18"/>
          <w:szCs w:val="18"/>
          <w:color w:val="auto"/>
        </w:rPr>
        <w:t>8.  The Fund agrees to forward to Custodian a Certificate or Instructions confirming Oral Instructions by the close of business of the same day that such Oral Instructions are given to Custodian. The Fund agrees that the fact that such confirming Certificate or Instructions are not received or that a contrary Certificate or contrary Instructions are received by Custodian shall in no way affect the validity or enforceability of transactions authorized by such Oral Instructions and effected by Custodian. If the Fund elects to transmit Instructions through an on-line communications system offered by Custodian, the Fund’s use thereof shall be subject to the Terms and Conditions attached as Appendix I hereto. If Custodian receives Instructions which reasonably appear on their face to have been transmitted by an Authorized Person via (i) computer facsimile, email, the Internet or other insecure electronic method, or (ii) secure electronic transmission containing applicable authorization codes, passwords and/or authentication keys, the Fund understands and agrees that Custodian cannot determine the identity of the actual sender of such Instructions and that Custodian shall conclusively presume that such Written Instructions have been sent by an Authorized Person, and the Fund shall be responsible for ensuring that only Authorized Persons transmit such Instructions to Custodian. If the Fund elects (with Custodian’s prior consent) to transmit Instructions through an on-line communications service owned or operated by a third party, the Fund agrees that Custodian shall not be responsible or liable for the reliability or availability of any such service.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240"/>
          </w:cols>
          <w:pgMar w:left="320" w:top="266" w:right="339" w:bottom="1440" w:gutter="0" w:footer="0" w:header="0"/>
        </w:sectPr>
      </w:pPr>
    </w:p>
    <w:bookmarkStart w:id="116" w:name="page117"/>
    <w:bookmarkEnd w:id="116"/>
    <w:p>
      <w:pPr>
        <w:ind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9.  The books and records pertaining to the Fund which are in possession of Custodian shall be the property of the Fund. Such books and records shall be prepared and maintained as required by the ‘40 Act and the rules thereunder. The Fund, or its authorized representatives, shall have access to such books and records during Custodian’s normal business hours. Upon the reasonable request of the Fund, copies of any such books and records shall be provided by Custodian to the Fund or its authorized representative. Upon the reasonable request of the Fund, Custodian shall provide in hard copy or on computer disc any records included in any such delivery which are maintained by Custodian on a computer disc, or are similarly maintained.</w:t>
      </w:r>
    </w:p>
    <w:p>
      <w:pPr>
        <w:spacing w:after="0" w:line="185"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10.  It is understood that Custodian is authorized to supply any information regarding the Accounts which is required by any law, regulation or rule now or hereafter in effect. The Custodian shall provide the Fund with any report obtained by the Custodian on the system of internal accounting control of a Depository, and with such reports on its own system of internal accounting control as the Fund may reasonably request from time to time.</w:t>
      </w:r>
    </w:p>
    <w:p>
      <w:pPr>
        <w:spacing w:after="0" w:line="180" w:lineRule="exact"/>
        <w:rPr>
          <w:sz w:val="20"/>
          <w:szCs w:val="20"/>
          <w:color w:val="auto"/>
        </w:rPr>
      </w:pPr>
    </w:p>
    <w:p>
      <w:pPr>
        <w:ind w:right="80" w:firstLine="450"/>
        <w:spacing w:after="0" w:line="249" w:lineRule="auto"/>
        <w:rPr>
          <w:sz w:val="20"/>
          <w:szCs w:val="20"/>
          <w:color w:val="auto"/>
        </w:rPr>
      </w:pPr>
      <w:r>
        <w:rPr>
          <w:rFonts w:ascii="Times New Roman" w:cs="Times New Roman" w:eastAsia="Times New Roman" w:hAnsi="Times New Roman"/>
          <w:sz w:val="18"/>
          <w:szCs w:val="18"/>
          <w:color w:val="auto"/>
        </w:rPr>
        <w:t>Upon reasonable request of the Fund, Custodian will provide a sub-certification to the Fund’s chief executive officer and/or chief financial officer in support of certain matters set forth in the certifications of the Fund’s chief executive officer and/or chief financial officer, which certifications are required by the Sarbanes-Oxley Act of 2002 or any rules or regulations promulgated by the Securities and Exchange Commission thereunder; such sub-certifications to be in such form and relating to such matters as agreed between the Fund and the Custodian from time to time. Custodian shall be required to provide a sub-certification only during the term of this Agreement and only if it receives such cooperation as it may reasonably request to perform its investigations with respect to the sub-certification. For clarity, the sub-certification is not itself a certification under any regulatory requirement.</w:t>
      </w:r>
    </w:p>
    <w:p>
      <w:pPr>
        <w:spacing w:after="0" w:line="185" w:lineRule="exact"/>
        <w:rPr>
          <w:sz w:val="20"/>
          <w:szCs w:val="20"/>
          <w:color w:val="auto"/>
        </w:rPr>
      </w:pPr>
    </w:p>
    <w:p>
      <w:pPr>
        <w:ind w:right="220" w:firstLine="455"/>
        <w:spacing w:after="0" w:line="268" w:lineRule="auto"/>
        <w:tabs>
          <w:tab w:leader="none" w:pos="7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 shall have no duties or responsibilities whatsoever except such duties and responsibilities as are specifically set forth in this Agreement, and no covenant or obligation shall be implied against Custodian in connection with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96"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1.  Either of the parties hereto may terminate this Agreement by giving to the other party a notice in writing specifying the date of such termination, which shall be not less than ninety (90) days after the date of giving of such notice. In the event such notice is given by the Fund, it shall be accompanied by a copy of a resolution of the board of the Fund, certified by the Secretary or any Assistant Secretary, electing to terminate this Agreement and designating a successor custodian or custodians, each of which shall be a bank or trust company eligible to serve as a custodian of a unit investment trust under the Investment Company Act of 1940, as amended. In the event such notice is given by Custodian, the Fund shall, on or before the termination date, deliver to Custodian a copy of a resolution of the board of the Fund, certified by the Secretary or any Assistant Secretary, designating a successor custodian or custodians. In the absence of such designation by the Fund, Custodian may designate a successor custodian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220"/>
          </w:cols>
          <w:pgMar w:left="320" w:top="266" w:right="359" w:bottom="1440" w:gutter="0" w:footer="0" w:header="0"/>
        </w:sectPr>
      </w:pPr>
    </w:p>
    <w:bookmarkStart w:id="117" w:name="page118"/>
    <w:bookmarkEnd w:id="117"/>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which shall be a bank or trust company eligible to serve as custodian for a unit investment trust under the Investment Company Act of 1940, as amended. Upon the date set forth in such notice this Agreement shall terminate, and Custodian shall upon receipt of a notice of acceptance by the successor custodian on that date deliver directly to the successor custodian all Securities and money then owned by the Fund and held by it as Custodian, after deducting all fees, expenses and other amounts for the payment or reimbursement of which it shall then be entitled.</w:t>
      </w:r>
    </w:p>
    <w:p>
      <w:pPr>
        <w:spacing w:after="0" w:line="183"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2.  If a successor custodian is not designated by the Fund or Custodian in accordance with the preceding Section, the Fund shall upon the date specified in the notice of termination of this Agreement and upon the delivery by Custodian of all Securities (other than Securities which cannot be delivered to the Fund) and money then owned by the Fund be deemed to be its own custodian and Custodian shall thereby be relieved of all duties and responsibilities pursuant to this Agreement, other than the duty with respect to Securities which cannot be delivered to the Fund to hold such Securities hereunder in accordance with this Agreement.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1.   The Fund agrees to furnish to Custodian a new Certificate of Authorized Persons in the event of any change in the then present Authorized Persons.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Until such new Certificate is received, Custodian shall be fully protected in acting upon Certificates or Oral Instructions of such present Authorized Persons.</w:t>
      </w:r>
    </w:p>
    <w:p>
      <w:pPr>
        <w:spacing w:after="0" w:line="219"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2.  Any notice or other instrument in writing, authorized or required by this Agreement to be given to Custodian, shall be sufficiently given if addressed to Custodian and received by it at its offices at One Wall Street, New York, New York 10286, or at such other place as Custodian may from time to time designate in writing.</w:t>
      </w:r>
    </w:p>
    <w:p>
      <w:pPr>
        <w:spacing w:after="0" w:line="180" w:lineRule="exact"/>
        <w:rPr>
          <w:sz w:val="20"/>
          <w:szCs w:val="20"/>
          <w:color w:val="auto"/>
        </w:rPr>
      </w:pPr>
    </w:p>
    <w:p>
      <w:pPr>
        <w:ind w:firstLine="450"/>
        <w:spacing w:after="0" w:line="218" w:lineRule="auto"/>
        <w:rPr>
          <w:sz w:val="20"/>
          <w:szCs w:val="20"/>
          <w:color w:val="auto"/>
        </w:rPr>
      </w:pPr>
      <w:r>
        <w:rPr>
          <w:rFonts w:ascii="Times New Roman" w:cs="Times New Roman" w:eastAsia="Times New Roman" w:hAnsi="Times New Roman"/>
          <w:sz w:val="18"/>
          <w:szCs w:val="18"/>
          <w:color w:val="auto"/>
        </w:rPr>
        <w:t>3.  Any notice or other instrument in writing, authorized or required by this Agreement to be given to the Fund shall be sufficiently given if addressed to the Fund and received by it at its offices at 590 Madision Avenue,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10022, or at such other place as the Fund may from time to time designate in writing.</w:t>
      </w:r>
    </w:p>
    <w:p>
      <w:pPr>
        <w:spacing w:after="0" w:line="195" w:lineRule="exact"/>
        <w:rPr>
          <w:sz w:val="20"/>
          <w:szCs w:val="20"/>
          <w:color w:val="auto"/>
        </w:rPr>
      </w:pPr>
    </w:p>
    <w:p>
      <w:pPr>
        <w:ind w:right="120" w:firstLine="450"/>
        <w:spacing w:after="0" w:line="252" w:lineRule="auto"/>
        <w:rPr>
          <w:sz w:val="20"/>
          <w:szCs w:val="20"/>
          <w:color w:val="auto"/>
        </w:rPr>
      </w:pPr>
      <w:r>
        <w:rPr>
          <w:rFonts w:ascii="Times New Roman" w:cs="Times New Roman" w:eastAsia="Times New Roman" w:hAnsi="Times New Roman"/>
          <w:sz w:val="18"/>
          <w:szCs w:val="18"/>
          <w:color w:val="auto"/>
        </w:rPr>
        <w:t>4.  Each and every right granted to either party hereunder or under any other document delivered hereunder or in connection herewith, or allowed it by law or equity, shall be cumulative and may be exercised from time to time. No failure on the part of either party to exercise, and no delay in exercising, any right will operate as a waiver thereof, nor will any single or partial exercise by either party of any right preclude any other or future exercise thereof or the exercise of any other right.</w:t>
      </w:r>
    </w:p>
    <w:p>
      <w:pPr>
        <w:spacing w:after="0" w:line="183" w:lineRule="exact"/>
        <w:rPr>
          <w:sz w:val="20"/>
          <w:szCs w:val="20"/>
          <w:color w:val="auto"/>
        </w:rPr>
      </w:pPr>
    </w:p>
    <w:p>
      <w:pPr>
        <w:ind w:right="140" w:firstLine="450"/>
        <w:spacing w:after="0" w:line="289" w:lineRule="auto"/>
        <w:rPr>
          <w:sz w:val="20"/>
          <w:szCs w:val="20"/>
          <w:color w:val="auto"/>
        </w:rPr>
      </w:pPr>
      <w:r>
        <w:rPr>
          <w:rFonts w:ascii="Times New Roman" w:cs="Times New Roman" w:eastAsia="Times New Roman" w:hAnsi="Times New Roman"/>
          <w:sz w:val="16"/>
          <w:szCs w:val="16"/>
          <w:color w:val="auto"/>
        </w:rPr>
        <w:t>5.  In case any provision in or obligation under this Agreement shall be invalid, illegal or unenforceable in any exclusive jurisdiction, the validity, legality and enforceability of the remaining provisions shall not in any way be affected thereby. This Agreement may not be amended or modified in any manner except by a written agreement executed by both parties, except that any amendment to the Schedule I hereto need be signed only by the Fund and any amendment to Appendix I hereto need be signed only by Custodian. This Agreement shall extend to and shall be binding upon the parties hereto, and their respective successors and assigns; provided, however, that this Agreement shall not be assignable by either party without the written consent of the other.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220"/>
          </w:cols>
          <w:pgMar w:left="320" w:top="266" w:right="359" w:bottom="1440" w:gutter="0" w:footer="0" w:header="0"/>
        </w:sectPr>
      </w:pPr>
    </w:p>
    <w:bookmarkStart w:id="118" w:name="page119"/>
    <w:bookmarkEnd w:id="118"/>
    <w:p>
      <w:pPr>
        <w:ind w:firstLine="45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6.  This Agreement shall be construed in accordance with the substantive laws of the State of New York, without regard to conflicts of laws principles thereof. The Fund and Custodian hereby consent to the jurisdiction of a state or federal court situated in New York City, New York in connection with any dispute arising hereunder. The Fund hereby irrevocably waives, to the fullest extent permitted by applicable law, any objection which it may now or hereafter have to the laying of venue of any such proceeding brought in such a court and any claim that such proceeding brought in such a court has been brought in an inconvenient forum. The Fund and Custodian each hereby irrevocably waives any and all rights to trial by jury in any legal proceeding arising out of or relating to this Agreement.</w:t>
      </w:r>
    </w:p>
    <w:p>
      <w:pPr>
        <w:spacing w:after="0" w:line="185"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8"/>
          <w:szCs w:val="18"/>
          <w:color w:val="auto"/>
        </w:rPr>
        <w:t>7.  The Fund hereby acknowledges that Custodian is subject to federal laws, including its Customer Identification Program (CIP) requirements under the USA PATRIOT Act and its implementing regulations, pursuant to which Custodian must obtain, verify and record information that allows Custodian to identify the Fund. Accordingly, prior to opening an Account hereunder Custodian will ask the Fund to provide certain information including, but not limited to, the Fund’s name, physical address, tax identification number and other information that will help Custodian to identify and verify the Fund’s identity such as organizational documents, certificate of good standing, license to do business, or other pertinent identifying information. The Fund agrees that Custodian cannot open an Account hereunder unless and until Custodian verifies the Fund’s identity in accordance with its CIP.</w:t>
      </w:r>
    </w:p>
    <w:p>
      <w:pPr>
        <w:spacing w:after="0" w:line="185" w:lineRule="exact"/>
        <w:rPr>
          <w:sz w:val="20"/>
          <w:szCs w:val="20"/>
          <w:color w:val="auto"/>
        </w:rPr>
      </w:pPr>
    </w:p>
    <w:p>
      <w:pPr>
        <w:ind w:right="480" w:firstLine="450"/>
        <w:spacing w:after="0" w:line="268" w:lineRule="auto"/>
        <w:rPr>
          <w:sz w:val="20"/>
          <w:szCs w:val="20"/>
          <w:color w:val="auto"/>
        </w:rPr>
      </w:pPr>
      <w:r>
        <w:rPr>
          <w:rFonts w:ascii="Times New Roman" w:cs="Times New Roman" w:eastAsia="Times New Roman" w:hAnsi="Times New Roman"/>
          <w:sz w:val="18"/>
          <w:szCs w:val="18"/>
          <w:color w:val="auto"/>
        </w:rPr>
        <w:t>8.  This Agreement may be executed in any number of counterparts, each of which shall be deemed to be an original, but such counterparts shall, together, constitute only one instrument.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200"/>
          </w:cols>
          <w:pgMar w:left="320" w:top="266" w:right="379" w:bottom="1440" w:gutter="0" w:footer="0" w:header="0"/>
        </w:sectPr>
      </w:pPr>
    </w:p>
    <w:bookmarkStart w:id="119" w:name="page120"/>
    <w:bookmarkEnd w:id="119"/>
    <w:p>
      <w:pPr>
        <w:ind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Fund and Custodian have caused this Agreement to be executed by their respective officers, thereunto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day and year first above written.</w:t>
      </w:r>
    </w:p>
    <w:p>
      <w:pPr>
        <w:spacing w:after="0" w:line="19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13970</wp:posOffset>
            </wp:positionV>
            <wp:extent cx="1470660" cy="459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1470660"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-1905</wp:posOffset>
            </wp:positionV>
            <wp:extent cx="25317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4582160</wp:posOffset>
            </wp:positionH>
            <wp:positionV relativeFrom="paragraph">
              <wp:posOffset>72390</wp:posOffset>
            </wp:positionV>
            <wp:extent cx="2331085" cy="5346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2331085" cy="53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4582160</wp:posOffset>
            </wp:positionH>
            <wp:positionV relativeFrom="paragraph">
              <wp:posOffset>-1905</wp:posOffset>
            </wp:positionV>
            <wp:extent cx="25571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Thomas Levings</w:t>
      </w:r>
    </w:p>
    <w:p>
      <w:pPr>
        <w:spacing w:after="0" w:line="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140"/>
          </w:cols>
          <w:pgMar w:left="320" w:top="264" w:right="4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165735</wp:posOffset>
            </wp:positionV>
            <wp:extent cx="1704340" cy="13868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1704340" cy="138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CERTIFICATE OF APPOINTMENT</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AMERICAN STOCK TRANSFER</w:t>
      </w:r>
    </w:p>
    <w:p>
      <w:pPr>
        <w:spacing w:after="0" w:line="4" w:lineRule="exact"/>
        <w:rPr>
          <w:sz w:val="20"/>
          <w:szCs w:val="20"/>
          <w:color w:val="auto"/>
        </w:rPr>
      </w:pPr>
    </w:p>
    <w:p>
      <w:pPr>
        <w:ind w:left="4420" w:right="4540" w:hanging="993"/>
        <w:spacing w:after="0" w:line="248" w:lineRule="auto"/>
        <w:tabs>
          <w:tab w:leader="none" w:pos="3611"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COMPANY, LLC as</w:t>
      </w:r>
    </w:p>
    <w:p>
      <w:pPr>
        <w:spacing w:after="0" w:line="174" w:lineRule="exact"/>
        <w:rPr>
          <w:sz w:val="20"/>
          <w:szCs w:val="20"/>
          <w:color w:val="auto"/>
        </w:rPr>
      </w:pPr>
    </w:p>
    <w:p>
      <w:pPr>
        <w:ind w:left="2160"/>
        <w:spacing w:after="0" w:line="207" w:lineRule="exact"/>
        <w:tabs>
          <w:tab w:leader="none" w:pos="2720" w:val="left"/>
          <w:tab w:leader="none" w:pos="4960" w:val="left"/>
          <w:tab w:leader="none" w:pos="55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TRANSFER AGENT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REGISTRAR</w:t>
      </w:r>
    </w:p>
    <w:p>
      <w:pPr>
        <w:sectPr>
          <w:pgSz w:w="11900" w:h="16838" w:orient="portrait"/>
          <w:cols w:equalWidth="0" w:num="1">
            <w:col w:w="10120"/>
          </w:cols>
          <w:pgMar w:left="1440" w:top="119" w:right="339" w:bottom="1440" w:gutter="0" w:footer="0" w:header="0"/>
        </w:sectPr>
      </w:pPr>
    </w:p>
    <w:bookmarkStart w:id="121" w:name="page122"/>
    <w:bookmarkEnd w:id="121"/>
    <w:p>
      <w:pPr>
        <w:ind w:left="184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4"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(the “Company”)</w:t>
      </w:r>
    </w:p>
    <w:p>
      <w:pPr>
        <w:spacing w:after="0" w:line="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24650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246507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Maryland</w:t>
      </w:r>
    </w:p>
    <w:p>
      <w:pPr>
        <w:spacing w:after="0" w:line="3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(state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175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(description of entity—e.g., corporation,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175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6">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the following shares/units: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2560" w:type="dxa"/>
            <w:vAlign w:val="bottom"/>
            <w:tcBorders>
              <w:top w:val="single" w:sz="8" w:color="auto"/>
              <w:left w:val="single" w:sz="8" w:color="auto"/>
              <w:right w:val="single" w:sz="8" w:color="auto"/>
            </w:tcBorders>
            <w:vMerge w:val="restart"/>
          </w:tcPr>
          <w:p>
            <w:pPr>
              <w:ind w:left="940"/>
              <w:spacing w:after="0"/>
              <w:rPr>
                <w:sz w:val="20"/>
                <w:szCs w:val="20"/>
                <w:color w:val="auto"/>
              </w:rPr>
            </w:pPr>
            <w:r>
              <w:rPr>
                <w:rFonts w:ascii="Times New Roman" w:cs="Times New Roman" w:eastAsia="Times New Roman" w:hAnsi="Times New Roman"/>
                <w:sz w:val="14"/>
                <w:szCs w:val="14"/>
                <w:color w:val="auto"/>
              </w:rPr>
              <w:t>Class of Stock</w:t>
            </w:r>
          </w:p>
        </w:tc>
        <w:tc>
          <w:tcPr>
            <w:tcW w:w="860" w:type="dxa"/>
            <w:vAlign w:val="bottom"/>
            <w:tcBorders>
              <w:top w:val="single" w:sz="8" w:color="auto"/>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4"/>
                <w:szCs w:val="14"/>
                <w:color w:val="auto"/>
              </w:rPr>
              <w:t>Par Value </w:t>
            </w:r>
          </w:p>
        </w:tc>
        <w:tc>
          <w:tcPr>
            <w:tcW w:w="1980" w:type="dxa"/>
            <w:vAlign w:val="bottom"/>
            <w:tcBorders>
              <w:top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17"/>
        </w:trPr>
        <w:tc>
          <w:tcPr>
            <w:tcW w:w="2560" w:type="dxa"/>
            <w:vAlign w:val="bottom"/>
            <w:tcBorders>
              <w:left w:val="single" w:sz="8" w:color="auto"/>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Shares/Units Authorized</w:t>
            </w:r>
          </w:p>
        </w:tc>
        <w:tc>
          <w:tcPr>
            <w:tcW w:w="0" w:type="dxa"/>
            <w:vAlign w:val="bottom"/>
          </w:tcPr>
          <w:p>
            <w:pPr>
              <w:spacing w:after="0"/>
              <w:rPr>
                <w:sz w:val="1"/>
                <w:szCs w:val="1"/>
                <w:color w:val="auto"/>
              </w:rPr>
            </w:pPr>
          </w:p>
        </w:tc>
      </w:tr>
      <w:tr>
        <w:trPr>
          <w:trHeight w:val="63"/>
        </w:trPr>
        <w:tc>
          <w:tcPr>
            <w:tcW w:w="256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560" w:type="dxa"/>
            <w:vAlign w:val="bottom"/>
            <w:tcBorders>
              <w:left w:val="single" w:sz="8" w:color="auto"/>
              <w:bottom w:val="single" w:sz="8" w:color="auto"/>
              <w:right w:val="single" w:sz="8" w:color="auto"/>
            </w:tcBorders>
          </w:tcPr>
          <w:p>
            <w:pPr>
              <w:ind w:left="160"/>
              <w:spacing w:after="0" w:line="204" w:lineRule="exact"/>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tcBorders>
              <w:bottom w:val="single" w:sz="8" w:color="auto"/>
              <w:right w:val="single" w:sz="8" w:color="auto"/>
            </w:tcBorders>
          </w:tcPr>
          <w:p>
            <w:pPr>
              <w:jc w:val="right"/>
              <w:ind w:right="301"/>
              <w:spacing w:after="0" w:line="204" w:lineRule="exact"/>
              <w:rPr>
                <w:sz w:val="20"/>
                <w:szCs w:val="20"/>
                <w:color w:val="auto"/>
              </w:rPr>
            </w:pPr>
            <w:r>
              <w:rPr>
                <w:rFonts w:ascii="Times New Roman" w:cs="Times New Roman" w:eastAsia="Times New Roman" w:hAnsi="Times New Roman"/>
                <w:sz w:val="18"/>
                <w:szCs w:val="18"/>
                <w:color w:val="auto"/>
              </w:rPr>
              <w:t>$.001</w:t>
            </w:r>
          </w:p>
        </w:tc>
        <w:tc>
          <w:tcPr>
            <w:tcW w:w="1980" w:type="dxa"/>
            <w:vAlign w:val="bottom"/>
            <w:tcBorders>
              <w:bottom w:val="single" w:sz="8" w:color="auto"/>
              <w:right w:val="single" w:sz="8" w:color="auto"/>
            </w:tcBorders>
          </w:tcPr>
          <w:p>
            <w:pPr>
              <w:jc w:val="right"/>
              <w:ind w:right="944"/>
              <w:spacing w:after="0" w:line="204" w:lineRule="exact"/>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04"/>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60" w:type="dxa"/>
            <w:vAlign w:val="bottom"/>
            <w:tcBorders>
              <w:left w:val="single" w:sz="8" w:color="auto"/>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Company to which Notices may be sent is:</w:t>
      </w:r>
    </w:p>
    <w:p>
      <w:pPr>
        <w:spacing w:after="0" w:line="254"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25825" cy="4260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7">
                      <a:extLst>
                        <a:ext uri="{28A0092B-C50C-407E-A947-70E740481C1C}"/>
                      </a:extLst>
                    </a:blip>
                    <a:srcRect/>
                    <a:stretch>
                      <a:fillRect/>
                    </a:stretch>
                  </pic:blipFill>
                  <pic:spPr bwMode="auto">
                    <a:xfrm>
                      <a:off x="0" y="0"/>
                      <a:ext cx="3425825" cy="426085"/>
                    </a:xfrm>
                    <a:prstGeom prst="rect">
                      <a:avLst/>
                    </a:prstGeom>
                    <a:noFill/>
                  </pic:spPr>
                </pic:pic>
              </a:graphicData>
            </a:graphic>
          </wp:anchor>
        </w:drawing>
      </w:r>
    </w:p>
    <w:p>
      <w:pPr>
        <w:spacing w:after="0" w:line="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15th Floor</w:t>
      </w:r>
    </w:p>
    <w:p>
      <w:pPr>
        <w:spacing w:after="0" w:line="4"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and address of legal counsel for the Company is:</w:t>
      </w:r>
    </w:p>
    <w:p>
      <w:pPr>
        <w:spacing w:after="0" w:line="254"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Dechert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25825" cy="426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8">
                      <a:extLst>
                        <a:ext uri="{28A0092B-C50C-407E-A947-70E740481C1C}"/>
                      </a:extLst>
                    </a:blip>
                    <a:srcRect/>
                    <a:stretch>
                      <a:fillRect/>
                    </a:stretch>
                  </pic:blipFill>
                  <pic:spPr bwMode="auto">
                    <a:xfrm>
                      <a:off x="0" y="0"/>
                      <a:ext cx="3425825" cy="426085"/>
                    </a:xfrm>
                    <a:prstGeom prst="rect">
                      <a:avLst/>
                    </a:prstGeom>
                    <a:noFill/>
                  </pic:spPr>
                </pic:pic>
              </a:graphicData>
            </a:graphic>
          </wp:anchor>
        </w:drawing>
      </w:r>
    </w:p>
    <w:p>
      <w:pPr>
        <w:spacing w:after="0" w:line="1"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1775 | Street, N.W.</w:t>
      </w:r>
    </w:p>
    <w:p>
      <w:pPr>
        <w:spacing w:after="0" w:line="4"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18"/>
          <w:szCs w:val="18"/>
          <w:color w:val="auto"/>
        </w:rPr>
        <w:t>Attached are true copies of the certificate of Incorporation and bylaws (or such other comparable documents for non-corporate entities), as amended,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-533400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spacing w:after="0" w:line="16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If any provision of the certificate of Incorporation or by-laws of the Corporation, any court or administrative order, or any other document, affects any transfer agency or registrar function or responsibility relating to the shares, attached is a statement of each such provision.</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All shares issued and outstanding as of the date hereof, or to be issued during the term of this appointment, are/shall be duly authorized, validly issued, fully paid and non-assessable. All such shares are (or, in the case of shares that have not yet been issued, will be) duly registered under the Securities Act of 1933 and the Securities Act of 1934. Any shares not so registered were or shall be issued or transferred in a transaction or series of transactions exempt from the registration provisions of the relevant Act, and in each such issuance or transfer, the Corporation was or shall be so advised by its legal counsel and all shares issued or to be issued bear or shall bear all appropriate legends.</w:t>
      </w:r>
    </w:p>
    <w:p>
      <w:pPr>
        <w:spacing w:after="0" w:line="16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American Stock Transfer &amp; Trust Company, LLC (“AST”) is hereby appointed as transfer agent and registrar for the shares/units of the Company set forth above, in accordance with the general practices of AST and its regulations set forth in the pamphlet entitled Regulations of American Stock Transfer &amp; Trust Company, LLC, a copy of which we have received and reviewed.</w:t>
      </w:r>
    </w:p>
    <w:p>
      <w:pPr>
        <w:spacing w:after="0" w:line="18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The Initial term of this Certificate of Appointment shall be one year from the date of this Certificate of Appointment and the appointment shall automatically be renewed for further one year successive terms without further action of the parties, unless written notice is provided by either party at least 90 days prior to the end of the initial or any subsequent three year period. The term of this appointment shall be governed in accordance with this paragraph, notwithstanding the cessation of active trading in the capital stock of the Company.</w:t>
      </w:r>
    </w:p>
    <w:p>
      <w:pPr>
        <w:spacing w:after="0" w:line="19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will advise AST promptly of any change in any information contained in this Certificate by a supplemental Certificate or otherwise in writing.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my hand this 7th day of April,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164465</wp:posOffset>
            </wp:positionV>
            <wp:extent cx="2097405" cy="401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0">
                      <a:extLst>
                        <a:ext uri="{28A0092B-C50C-407E-A947-70E740481C1C}"/>
                      </a:extLst>
                    </a:blip>
                    <a:srcRect/>
                    <a:stretch>
                      <a:fillRect/>
                    </a:stretch>
                  </pic:blipFill>
                  <pic:spPr bwMode="auto">
                    <a:xfrm>
                      <a:off x="0" y="0"/>
                      <a:ext cx="2097405" cy="40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8"/>
          <w:szCs w:val="18"/>
          <w:color w:val="auto"/>
        </w:rPr>
        <w:t xml:space="preserve">By:      Arthur H. Penn                                     </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-10795</wp:posOffset>
            </wp:positionV>
            <wp:extent cx="25215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1">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194" w:lineRule="exact"/>
        <w:rPr>
          <w:sz w:val="20"/>
          <w:szCs w:val="20"/>
          <w:color w:val="auto"/>
        </w:rPr>
      </w:pPr>
    </w:p>
    <w:p>
      <w:pPr>
        <w:ind w:right="1000"/>
        <w:spacing w:after="0" w:line="268" w:lineRule="auto"/>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    Chief Executive Officer and Chairman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p>
    <w:p>
      <w:pPr>
        <w:sectPr>
          <w:pgSz w:w="11900" w:h="16838" w:orient="portrait"/>
          <w:cols w:equalWidth="0" w:num="2">
            <w:col w:w="5400" w:space="340"/>
            <w:col w:w="5500"/>
          </w:cols>
          <w:pgMar w:left="320" w:top="316" w:right="339" w:bottom="1440" w:gutter="0" w:footer="0" w:header="0"/>
        </w:sectPr>
      </w:pPr>
    </w:p>
    <w:bookmarkStart w:id="122" w:name="page123"/>
    <w:bookmarkEnd w:id="122"/>
    <w:p>
      <w:pPr>
        <w:ind w:left="25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1245235" cy="10109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3">
                      <a:extLst>
                        <a:ext uri="{28A0092B-C50C-407E-A947-70E740481C1C}"/>
                      </a:extLst>
                    </a:blip>
                    <a:srcRect/>
                    <a:stretch>
                      <a:fillRect/>
                    </a:stretch>
                  </pic:blipFill>
                  <pic:spPr bwMode="auto">
                    <a:xfrm>
                      <a:off x="0" y="0"/>
                      <a:ext cx="1245235" cy="1010920"/>
                    </a:xfrm>
                    <a:prstGeom prst="rect">
                      <a:avLst/>
                    </a:prstGeom>
                    <a:noFill/>
                  </pic:spPr>
                </pic:pic>
              </a:graphicData>
            </a:graphic>
          </wp:anchor>
        </w:drawing>
      </w:r>
    </w:p>
    <w:p>
      <w:pPr>
        <w:ind w:left="2500"/>
        <w:spacing w:after="0" w:line="218" w:lineRule="auto"/>
        <w:rPr>
          <w:sz w:val="20"/>
          <w:szCs w:val="20"/>
          <w:color w:val="auto"/>
        </w:rPr>
      </w:pPr>
      <w:r>
        <w:rPr>
          <w:rFonts w:ascii="Times New Roman" w:cs="Times New Roman" w:eastAsia="Times New Roman" w:hAnsi="Times New Roman"/>
          <w:sz w:val="14"/>
          <w:szCs w:val="14"/>
          <w:color w:val="auto"/>
        </w:rPr>
        <w:t>6201 15th Avenue</w:t>
      </w:r>
    </w:p>
    <w:p>
      <w:pPr>
        <w:ind w:left="2500"/>
        <w:spacing w:after="0" w:line="216" w:lineRule="auto"/>
        <w:rPr>
          <w:sz w:val="20"/>
          <w:szCs w:val="20"/>
          <w:color w:val="auto"/>
        </w:rPr>
      </w:pPr>
      <w:r>
        <w:rPr>
          <w:rFonts w:ascii="Times New Roman" w:cs="Times New Roman" w:eastAsia="Times New Roman" w:hAnsi="Times New Roman"/>
          <w:sz w:val="14"/>
          <w:szCs w:val="14"/>
          <w:color w:val="auto"/>
        </w:rPr>
        <w:t>Brooklyn, NY 11219</w:t>
      </w:r>
    </w:p>
    <w:p>
      <w:pPr>
        <w:ind w:left="2500"/>
        <w:spacing w:after="0"/>
        <w:rPr>
          <w:sz w:val="20"/>
          <w:szCs w:val="20"/>
          <w:color w:val="auto"/>
        </w:rPr>
      </w:pPr>
      <w:r>
        <w:rPr>
          <w:rFonts w:ascii="Times New Roman" w:cs="Times New Roman" w:eastAsia="Times New Roman" w:hAnsi="Times New Roman"/>
          <w:sz w:val="14"/>
          <w:szCs w:val="14"/>
          <w:color w:val="auto"/>
        </w:rPr>
        <w:t>Tel: 718.921.8200</w:t>
      </w:r>
    </w:p>
    <w:p>
      <w:pPr>
        <w:spacing w:after="0" w:line="2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i w:val="1"/>
          <w:iCs w:val="1"/>
          <w:color w:val="auto"/>
        </w:rPr>
        <w:t>www.amstock.com</w:t>
      </w:r>
    </w:p>
    <w:p>
      <w:pPr>
        <w:spacing w:after="0" w:line="33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i w:val="1"/>
          <w:iCs w:val="1"/>
          <w:color w:val="auto"/>
        </w:rPr>
        <w:t>Global Resources • Local Service • Customized Solutions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OF TRANSFER AGENT &amp; REGISTRAR</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an officer of American Stock Transfer &amp; Trust Company, LLC (the “Agent”), authorized to make this statement on behalf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hereby certifies that:</w:t>
      </w:r>
    </w:p>
    <w:p>
      <w:pPr>
        <w:spacing w:after="0" w:line="104" w:lineRule="exact"/>
        <w:rPr>
          <w:sz w:val="20"/>
          <w:szCs w:val="20"/>
          <w:color w:val="auto"/>
        </w:rPr>
      </w:pPr>
    </w:p>
    <w:p>
      <w:pPr>
        <w:ind w:left="1000" w:right="60" w:hanging="547"/>
        <w:spacing w:after="0" w:line="268"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duly appointed and authorized to act as Transfer Agent and Registrar with respect to the common stock, par value $0.001 per share (the “Common Stock”), of PennantPark Floating Rate Capital Ltd. (the “Company”).</w:t>
      </w:r>
    </w:p>
    <w:p>
      <w:pPr>
        <w:spacing w:after="0" w:line="77" w:lineRule="exact"/>
        <w:rPr>
          <w:rFonts w:ascii="Times New Roman" w:cs="Times New Roman" w:eastAsia="Times New Roman" w:hAnsi="Times New Roman"/>
          <w:sz w:val="18"/>
          <w:szCs w:val="18"/>
          <w:color w:val="auto"/>
        </w:rPr>
      </w:pPr>
    </w:p>
    <w:p>
      <w:pPr>
        <w:ind w:left="1000" w:right="760" w:hanging="547"/>
        <w:spacing w:after="0" w:line="268"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duly registered as a transfer agent under Section 17A (c) of the Securities Exchange Act of 1934, as amended, and the rules promulgated by the Securities and Exchange Commission thereunder.</w:t>
      </w:r>
    </w:p>
    <w:p>
      <w:pPr>
        <w:spacing w:after="0" w:line="77" w:lineRule="exact"/>
        <w:rPr>
          <w:rFonts w:ascii="Times New Roman" w:cs="Times New Roman" w:eastAsia="Times New Roman" w:hAnsi="Times New Roman"/>
          <w:sz w:val="18"/>
          <w:szCs w:val="18"/>
          <w:color w:val="auto"/>
        </w:rPr>
      </w:pPr>
    </w:p>
    <w:p>
      <w:pPr>
        <w:ind w:left="1000" w:hanging="547"/>
        <w:spacing w:after="0" w:line="25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instructions of the Company, the Agent, as such Transfer Agent and Registrar, has duly issued and registered an aggregate of 6,700,000 shares of Common Stock (the “Shares”), as specified by Morgan Stanley &amp; Co. Inc. on behalf of the several underwriters (the “Underwriters”) which are registered under the Securities Act of 1933 pursuant to a Registration Statement.</w:t>
      </w:r>
    </w:p>
    <w:p>
      <w:pPr>
        <w:spacing w:after="0" w:line="87" w:lineRule="exact"/>
        <w:rPr>
          <w:rFonts w:ascii="Times New Roman" w:cs="Times New Roman" w:eastAsia="Times New Roman" w:hAnsi="Times New Roman"/>
          <w:sz w:val="18"/>
          <w:szCs w:val="18"/>
          <w:color w:val="auto"/>
        </w:rPr>
      </w:pPr>
    </w:p>
    <w:p>
      <w:pPr>
        <w:ind w:left="1000" w:right="180" w:hanging="547"/>
        <w:spacing w:after="0" w:line="25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as an officer of the Agent, issued and registered any of the Shares referred to in paragraph 3, was duly elected, appointed, qualified and acting as such officer at the respective times of the issuance and registration thereof and was duly authorized to issue and register the Shares on behalf of the Agent.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I have hereunto signed my name this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April, 2011.</w:t>
      </w:r>
    </w:p>
    <w:p>
      <w:pPr>
        <w:spacing w:after="0" w:line="1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AMERICAN STOCK TRANSFER</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10795</wp:posOffset>
            </wp:positionV>
            <wp:extent cx="1888490" cy="7270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4">
                      <a:extLst>
                        <a:ext uri="{28A0092B-C50C-407E-A947-70E740481C1C}"/>
                      </a:extLst>
                    </a:blip>
                    <a:srcRect/>
                    <a:stretch>
                      <a:fillRect/>
                    </a:stretch>
                  </pic:blipFill>
                  <pic:spPr bwMode="auto">
                    <a:xfrm>
                      <a:off x="0" y="0"/>
                      <a:ext cx="1888490" cy="72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Susan Silber</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Assistant Secretary</w:t>
      </w:r>
    </w:p>
    <w:p>
      <w:pPr>
        <w:sectPr>
          <w:pgSz w:w="11900" w:h="16838" w:orient="portrait"/>
          <w:cols w:equalWidth="0" w:num="1">
            <w:col w:w="11200"/>
          </w:cols>
          <w:pgMar w:left="320" w:top="260" w:right="37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(k)(2)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ADMINISTRATION AGREEMENT</w:t>
      </w:r>
    </w:p>
    <w:p>
      <w:pPr>
        <w:spacing w:after="0" w:line="216"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AGREEMENT (this “Agreement”) made as of May 20, 2024 by and between PennantPark Floating Rate Capital Ltd., a Maryland corporation (hereinafter referred to as the “Corporation”), and PennantPark Investment Administration, LLC, a Delaware limited liability company, (hereinafter referred to as the “Administrator”).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WHEREAS, the Corporation is a closed-end non-diversified management investment company that has filed a notice with the Securities and Exchange Commission that it intends to elect to treated as a business development company under the Investment Company Act of 1940, as amended (hereinafter referred to as the “1940 Act”);</w:t>
      </w:r>
    </w:p>
    <w:p>
      <w:pPr>
        <w:spacing w:after="0" w:line="18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WHEREAS, the Corporation has engaged the Administrator to provide administrative services to the Corporation under that Administration Agreement, most recently re-approved by the Board of Directors of the Corporation in February 2022; 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Corporation and the Administrator wish to make certain amendments to the Administration Agreement, as reflected in this Agreement.</w:t>
      </w:r>
    </w:p>
    <w:p>
      <w:pPr>
        <w:spacing w:after="0" w:line="21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NOW, THEREFORE, in consideration of the premises and the covenants hereinafter contained and for other good and valuable consideration, the receipt and adequacy of which is hereby acknowledged, the Corporation and the Administrator hereby agree as follows:</w:t>
      </w:r>
    </w:p>
    <w:p>
      <w:pPr>
        <w:spacing w:after="0" w:line="169" w:lineRule="exact"/>
        <w:rPr>
          <w:sz w:val="20"/>
          <w:szCs w:val="20"/>
          <w:color w:val="auto"/>
        </w:rPr>
      </w:pPr>
    </w:p>
    <w:p>
      <w:pPr>
        <w:ind w:left="180" w:hanging="175"/>
        <w:spacing w:after="0"/>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the Administrator</w:t>
      </w:r>
    </w:p>
    <w:p>
      <w:pPr>
        <w:spacing w:after="0" w:line="214" w:lineRule="exact"/>
        <w:rPr>
          <w:sz w:val="20"/>
          <w:szCs w:val="20"/>
          <w:color w:val="auto"/>
        </w:rPr>
      </w:pPr>
    </w:p>
    <w:p>
      <w:pPr>
        <w:ind w:right="100" w:firstLine="5"/>
        <w:spacing w:after="0" w:line="248" w:lineRule="auto"/>
        <w:tabs>
          <w:tab w:leader="none" w:pos="23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of Administrator</w:t>
      </w:r>
      <w:r>
        <w:rPr>
          <w:rFonts w:ascii="Times New Roman" w:cs="Times New Roman" w:eastAsia="Times New Roman" w:hAnsi="Times New Roman"/>
          <w:sz w:val="18"/>
          <w:szCs w:val="18"/>
          <w:color w:val="auto"/>
        </w:rPr>
        <w:t>. The Corporation hereby employs the Administrator to act as administrator of the Corporation, and to furnish, or arrange for others to furnish, the administrative services, personnel and facilities described below, subject to review by and the overall control of the Board of Directors of the Corporation,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Corporation in any way or otherwise be deemed agents of the Corporation.</w:t>
      </w:r>
    </w:p>
    <w:p>
      <w:pPr>
        <w:spacing w:after="0" w:line="187" w:lineRule="exact"/>
        <w:rPr>
          <w:rFonts w:ascii="Times New Roman" w:cs="Times New Roman" w:eastAsia="Times New Roman" w:hAnsi="Times New Roman"/>
          <w:sz w:val="18"/>
          <w:szCs w:val="18"/>
          <w:color w:val="auto"/>
        </w:rPr>
      </w:pPr>
    </w:p>
    <w:p>
      <w:pPr>
        <w:ind w:right="80" w:firstLine="5"/>
        <w:spacing w:after="0" w:line="247" w:lineRule="auto"/>
        <w:tabs>
          <w:tab w:leader="none" w:pos="24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The Administrator shall perform (or oversee, or arrange for, the performance of) the administrative services necessary for the operation of the Corporation. Without limiting the generality of the foregoing, the Administrator shall provide the Corporation with office facilities, equipment, clerical, bookkeeping and record keeping services at such facilities and such other services as the Administrator, subject to review by the Board of Directors of the Corporation, shall from time to time determine to be necessary or useful to perform its obligations under this Agreement. The Administrator shall also, on behalf of the Corporation,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Directors of its performance of obligations hereunder and furnish advice and recommendations with respect to such other aspects of the business and affairs of the Corporation as it shall determine to be desirable; provided that nothing herein shall be construed to require the Administrator to, and the Administrator shall not, provide any advice or</w:t>
      </w:r>
    </w:p>
    <w:p>
      <w:pPr>
        <w:sectPr>
          <w:pgSz w:w="11900" w:h="16838" w:orient="portrait"/>
          <w:cols w:equalWidth="0" w:num="1">
            <w:col w:w="11240"/>
          </w:cols>
          <w:pgMar w:left="320" w:top="119" w:right="339" w:bottom="1440" w:gutter="0" w:footer="0" w:header="0"/>
        </w:sectPr>
      </w:pPr>
    </w:p>
    <w:bookmarkStart w:id="124" w:name="page125"/>
    <w:bookmarkEnd w:id="124"/>
    <w:p>
      <w:pPr>
        <w:ind w:right="2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recommendation relating to the securities and other assets that the Corporation should purchase, retain or sell or any other investment advisory services to the Corporation. The Administrator shall be responsible for the financial and other records that the Corporation is required to maintain and shall prepare reports to stockholders, and reports and other materials filed with the Securities and Exchange Commission (the “SEC”). The Administrator will provide on the Corporation’s behalf significant managerial assistance to those portfolio companies to which the Corporation is required to provide such assistance. In addition, the Administrator will assist the Corporation in determining and publishing the Corporation’s net asset value, overseeing the preparation and filing of the Corporation’s tax returns, and the printing and dissemination of reports to stockholders of the Corporation, and generally overseeing the payment of the Corporation’s expenses and the performance of administrative and professional services rendered to the Corporation by others.</w:t>
      </w:r>
    </w:p>
    <w:p>
      <w:pPr>
        <w:spacing w:after="0" w:line="187" w:lineRule="exact"/>
        <w:rPr>
          <w:sz w:val="20"/>
          <w:szCs w:val="20"/>
          <w:color w:val="auto"/>
        </w:rPr>
      </w:pPr>
    </w:p>
    <w:p>
      <w:pPr>
        <w:ind w:left="180" w:hanging="175"/>
        <w:spacing w:after="0"/>
        <w:tabs>
          <w:tab w:leader="none" w:pos="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w:t>
      </w:r>
    </w:p>
    <w:p>
      <w:pPr>
        <w:spacing w:after="0" w:line="21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Administrator agrees to maintain and keep all books, accounts and other records of the Corporation that relate to activities performed by the Administrator hereunder and, if required by the 1940 Act, will maintain and keep such books, accounts and records in accordance with that Act. In compliance with the requirements of Rule 31a-3 under the 1940 Act, the Administrator agrees that all records which it maintains for the Corporation shall at all times remain the property of the Corporation, shall be readily accessible during normal business hours, and shall be promptly surrendered upon the termination of the Agreement or otherwise on written request. The Administrator further agrees that all records which it maintains for the Corporation pursuant to Rule 31a-1 under the 1940 Act will be preserved for the periods prescribed by Rule 31a-2 under the 1940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191" w:lineRule="exact"/>
        <w:rPr>
          <w:sz w:val="20"/>
          <w:szCs w:val="20"/>
          <w:color w:val="auto"/>
        </w:rPr>
      </w:pPr>
    </w:p>
    <w:p>
      <w:pPr>
        <w:ind w:left="180" w:hanging="175"/>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p>
    <w:p>
      <w:pPr>
        <w:spacing w:after="0" w:line="21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187" w:lineRule="exact"/>
        <w:rPr>
          <w:sz w:val="20"/>
          <w:szCs w:val="20"/>
          <w:color w:val="auto"/>
        </w:rPr>
      </w:pPr>
    </w:p>
    <w:p>
      <w:pPr>
        <w:ind w:left="180" w:hanging="175"/>
        <w:spacing w:after="0"/>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Allocation of Costs and Expenses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full consideration of the provision of the services of the Administrator, the Corporation shall reimburse the Administrator for the costs and expenses incurred by the Administrator in performing its obligations and providing personnel and facilities hereunder. If requested to perform significant managerial assistance to portfolio companies of the Corporation, the Administrator will be paid an additional amount based on the services provided, which shall not exceed the amount the Corporation receives from the portfolio companies for providing this assistance.</w:t>
      </w:r>
    </w:p>
    <w:p>
      <w:pPr>
        <w:sectPr>
          <w:pgSz w:w="11900" w:h="16838" w:orient="portrait"/>
          <w:cols w:equalWidth="0" w:num="1">
            <w:col w:w="11220"/>
          </w:cols>
          <w:pgMar w:left="320" w:top="266" w:right="359" w:bottom="1440" w:gutter="0" w:footer="0" w:header="0"/>
        </w:sectPr>
      </w:pPr>
    </w:p>
    <w:bookmarkStart w:id="125" w:name="page126"/>
    <w:bookmarkEnd w:id="125"/>
    <w:p>
      <w:pPr>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Corporation will bear all costs and expenses that are incurred in its operation and transactions and not specifically assumed by the Corporation’s investment adviser (the “Adviser”), pursuant to that certain Third Amended and Restated Investment Advisory Management Agreement, dated as of May 20, 2024, by and between the Corporation and the Adviser. Costs and expenses to be borne by the Corporation include, but are not limited to,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and expenses related to unsuccessful portfolio acquisition efforts; interest payable on debt, if any, incurred to finance the Corporation’s investments; offerings of the Corporation’s common stock and other securities; investment advisory and management fees; administration fees payable under this Agreement;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 costs of any reports, proxy statements or other notices to stockholders, including printing costs; costs associated with individual or groups of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legal costs; and all other expenses incurred by the Corporation or the Administrator in connection with administering the Corporation’s business, including payments under this Agreement based upon the Corporation’s allocable portion of the Administrator’s overhead in performing its obligations under this Agreement, including rent and the allocable portion of the cost of the Corporation’s chief compliance officer and chief financial officer and their respective staffs. For the avoidance of doubt, the costs and expenses to be borne by the Corporation set forth above include the costs and expenses allocable with respect to the provision of in-house legal, tax, or other professional advice and/or services to the Corporation, including performing due diligence on its prospective portfolio companies, as deemed appropriate by the Administrator, where such in-house personnel perform services that would be paid by the Corporation if outside service providers provided the same services, subject to the Board of Directors’ oversight.</w:t>
      </w:r>
    </w:p>
    <w:p>
      <w:pPr>
        <w:spacing w:after="0" w:line="200" w:lineRule="exact"/>
        <w:rPr>
          <w:sz w:val="20"/>
          <w:szCs w:val="20"/>
          <w:color w:val="auto"/>
        </w:rPr>
      </w:pPr>
    </w:p>
    <w:p>
      <w:pPr>
        <w:spacing w:after="0" w:line="39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its election, the Administrator may elect to receive payment under this Agreement in the form of a percentage of assets under management by the Corporation, rather than based on the sum of the actual expenses accrued. Such percentage shall be in an amount mutually agreed by the Administrator and the Corporation.</w:t>
      </w:r>
    </w:p>
    <w:p>
      <w:pPr>
        <w:spacing w:after="0" w:line="180" w:lineRule="exact"/>
        <w:rPr>
          <w:sz w:val="20"/>
          <w:szCs w:val="20"/>
          <w:color w:val="auto"/>
        </w:rPr>
      </w:pPr>
    </w:p>
    <w:p>
      <w:pPr>
        <w:ind w:left="180" w:hanging="175"/>
        <w:spacing w:after="0"/>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 of the Administrator; Indemnification</w:t>
      </w:r>
    </w:p>
    <w:p>
      <w:pPr>
        <w:spacing w:after="0" w:line="21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Administrator (and its officers, managers, partners, agents, employees, controlling persons, members, and any other person or entity affiliated with the Administrator, including without limitation its sole member) shall not be liable to the Corporation for any action taken or omitted to be taken by the Administrator in connection with the performance of any of its duties or obligations under this Agreement or otherwise as administrator for the Corporation, and the Corporation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Administrator’s duties or obligations under this Agreement or otherwise as administrator for the Corporation. Notwithstanding the preceding sentence of this Paragraph 5 to the</w:t>
      </w:r>
    </w:p>
    <w:p>
      <w:pPr>
        <w:sectPr>
          <w:pgSz w:w="11900" w:h="16838" w:orient="portrait"/>
          <w:cols w:equalWidth="0" w:num="1">
            <w:col w:w="11240"/>
          </w:cols>
          <w:pgMar w:left="320" w:top="266" w:right="339" w:bottom="1440" w:gutter="0" w:footer="0" w:header="0"/>
        </w:sectPr>
      </w:pPr>
    </w:p>
    <w:bookmarkStart w:id="126" w:name="page127"/>
    <w:bookmarkEnd w:id="126"/>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1940 Act and any interpretations or guidance by the SEC or its staff thereunder).</w:t>
      </w:r>
    </w:p>
    <w:p>
      <w:pPr>
        <w:spacing w:after="0" w:line="185" w:lineRule="exact"/>
        <w:rPr>
          <w:sz w:val="20"/>
          <w:szCs w:val="20"/>
          <w:color w:val="auto"/>
        </w:rPr>
      </w:pPr>
    </w:p>
    <w:p>
      <w:pPr>
        <w:ind w:left="180" w:hanging="175"/>
        <w:spacing w:after="0"/>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Activities of the Administrator</w:t>
      </w:r>
    </w:p>
    <w:p>
      <w:pPr>
        <w:spacing w:after="0" w:line="21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services of the Administrator to the Corporation are not to be deemed to be exclusive, and the Administrator and each affiliate is free to render services to others. It is understood that directors, officers, employees and stockholders of the Corporation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Corporation as stockholders or otherwise.</w:t>
      </w:r>
    </w:p>
    <w:p>
      <w:pPr>
        <w:spacing w:after="0" w:line="185" w:lineRule="exact"/>
        <w:rPr>
          <w:sz w:val="20"/>
          <w:szCs w:val="20"/>
          <w:color w:val="auto"/>
        </w:rPr>
      </w:pPr>
    </w:p>
    <w:p>
      <w:pPr>
        <w:ind w:left="180" w:hanging="175"/>
        <w:spacing w:after="0"/>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and Termination of this Agreement</w:t>
      </w:r>
    </w:p>
    <w:p>
      <w:pPr>
        <w:spacing w:after="0" w:line="214" w:lineRule="exact"/>
        <w:rPr>
          <w:sz w:val="20"/>
          <w:szCs w:val="20"/>
          <w:color w:val="auto"/>
        </w:rPr>
      </w:pPr>
    </w:p>
    <w:p>
      <w:pPr>
        <w:ind w:right="140"/>
        <w:spacing w:after="0" w:line="303" w:lineRule="auto"/>
        <w:rPr>
          <w:sz w:val="20"/>
          <w:szCs w:val="20"/>
          <w:color w:val="auto"/>
        </w:rPr>
      </w:pPr>
      <w:r>
        <w:rPr>
          <w:rFonts w:ascii="Times New Roman" w:cs="Times New Roman" w:eastAsia="Times New Roman" w:hAnsi="Times New Roman"/>
          <w:sz w:val="16"/>
          <w:szCs w:val="16"/>
          <w:color w:val="auto"/>
        </w:rPr>
        <w:t>This Agreement shall become effective as of the date hereof, and shall remain in force with respect to the Corporation for two years thereafter, and thereafter continue from year to year, but only so long as such continuance is specifically approved at least annually by (i) the Board of Directors of the Corporation and (ii) a majority of those directors who are not parties to this Agreement or “interested persons” (as defined in the 1940 Act) of any such party.</w:t>
      </w:r>
    </w:p>
    <w:p>
      <w:pPr>
        <w:spacing w:after="0" w:line="1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This Agreement may be terminated at any time, without the payment of any penalty, by vote of the directors of the Corporation, or by the Administrator, upon 60 days’ written notice to the other party. This Agreement may not be assigned by a party without the consent of the other party.</w:t>
      </w:r>
    </w:p>
    <w:p>
      <w:pPr>
        <w:spacing w:after="0" w:line="169" w:lineRule="exact"/>
        <w:rPr>
          <w:sz w:val="20"/>
          <w:szCs w:val="20"/>
          <w:color w:val="auto"/>
        </w:rPr>
      </w:pPr>
    </w:p>
    <w:p>
      <w:pPr>
        <w:ind w:left="180" w:hanging="175"/>
        <w:spacing w:after="0"/>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of this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amended pursuant to a written instrument by mutual consent of the parties.</w:t>
      </w:r>
    </w:p>
    <w:p>
      <w:pPr>
        <w:spacing w:after="0" w:line="214" w:lineRule="exact"/>
        <w:rPr>
          <w:sz w:val="20"/>
          <w:szCs w:val="20"/>
          <w:color w:val="auto"/>
        </w:rPr>
      </w:pPr>
    </w:p>
    <w:p>
      <w:pPr>
        <w:ind w:left="180" w:hanging="175"/>
        <w:spacing w:after="0"/>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1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This Agreement shall be construed in accordance with laws of the State of New York and the applicable provisions of the 1940 Act, if any. To the extent that the applicable laws of the State of New York, or any of the provisions herein, conflict with the applicable provisions of the 1940 Act, if any, the latter shall control.</w:t>
      </w:r>
    </w:p>
    <w:p>
      <w:pPr>
        <w:spacing w:after="0" w:line="180" w:lineRule="exact"/>
        <w:rPr>
          <w:sz w:val="20"/>
          <w:szCs w:val="20"/>
          <w:color w:val="auto"/>
        </w:rPr>
      </w:pPr>
    </w:p>
    <w:p>
      <w:pPr>
        <w:ind w:left="260" w:hanging="255"/>
        <w:spacing w:after="0"/>
        <w:tabs>
          <w:tab w:leader="none" w:pos="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p>
    <w:p>
      <w:pPr>
        <w:spacing w:after="0" w:line="21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This Agreement contains the entire agreement of the parties and supercedes all prior agreements, understandings and arrangements with respect to the subject matter hereof.</w:t>
      </w:r>
    </w:p>
    <w:p>
      <w:pPr>
        <w:spacing w:after="0" w:line="169" w:lineRule="exact"/>
        <w:rPr>
          <w:sz w:val="20"/>
          <w:szCs w:val="20"/>
          <w:color w:val="auto"/>
        </w:rPr>
      </w:pPr>
    </w:p>
    <w:p>
      <w:pPr>
        <w:ind w:left="260" w:hanging="255"/>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 under this Agreement shall be given in writing, addressed and delivered or mailed, postage prepaid, to the other party at its principal office.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240"/>
          </w:cols>
          <w:pgMar w:left="320" w:top="26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and delivered this Agreement as of the date first above written.</w:t>
      </w:r>
    </w:p>
    <w:p>
      <w:pPr>
        <w:spacing w:after="0" w:line="2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PENNANTPARK FLOATING RATE CAPITAL LTD.</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13970</wp:posOffset>
            </wp:positionV>
            <wp:extent cx="26155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9">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PENNANTPARK INVESTMENT ADMINISTRATION,</w:t>
      </w:r>
    </w:p>
    <w:p>
      <w:pPr>
        <w:spacing w:after="0" w:line="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13970</wp:posOffset>
            </wp:positionV>
            <wp:extent cx="26155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0">
                      <a:extLst>
                        <a:ext uri="{28A0092B-C50C-407E-A947-70E740481C1C}"/>
                      </a:extLst>
                    </a:blip>
                    <a:srcRect/>
                    <a:stretch>
                      <a:fillRect/>
                    </a:stretch>
                  </pic:blipFill>
                  <pic:spPr bwMode="auto">
                    <a:xfrm>
                      <a:off x="0" y="0"/>
                      <a:ext cx="2615565"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80"/>
          </w:cols>
          <w:pgMar w:left="320" w:top="266" w:right="5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(k)(3)</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LICENSE AGREEMENT</w:t>
      </w:r>
    </w:p>
    <w:p>
      <w:pPr>
        <w:spacing w:after="0" w:line="216" w:lineRule="exact"/>
        <w:rPr>
          <w:sz w:val="20"/>
          <w:szCs w:val="20"/>
          <w:color w:val="auto"/>
        </w:rPr>
      </w:pPr>
    </w:p>
    <w:p>
      <w:pPr>
        <w:jc w:val="both"/>
        <w:ind w:right="440" w:firstLine="1011"/>
        <w:spacing w:after="0" w:line="303" w:lineRule="auto"/>
        <w:rPr>
          <w:sz w:val="20"/>
          <w:szCs w:val="20"/>
          <w:color w:val="auto"/>
        </w:rPr>
      </w:pPr>
      <w:r>
        <w:rPr>
          <w:rFonts w:ascii="Times New Roman" w:cs="Times New Roman" w:eastAsia="Times New Roman" w:hAnsi="Times New Roman"/>
          <w:sz w:val="16"/>
          <w:szCs w:val="16"/>
          <w:color w:val="auto"/>
        </w:rPr>
        <w:t>This TRADEMARK LICENSE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effective as of April 7, 2011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by and between PennantPark Investment Advisers, LLC a Delaware limited liability company (the “</w:t>
      </w:r>
      <w:r>
        <w:rPr>
          <w:rFonts w:ascii="Times New Roman" w:cs="Times New Roman" w:eastAsia="Times New Roman" w:hAnsi="Times New Roman"/>
          <w:sz w:val="16"/>
          <w:szCs w:val="16"/>
          <w:u w:val="single" w:color="auto"/>
          <w:color w:val="auto"/>
        </w:rPr>
        <w:t>Licensor</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u w:val="single" w:color="auto"/>
          <w:color w:val="auto"/>
        </w:rPr>
        <w:t>Adviser</w:t>
      </w:r>
      <w:r>
        <w:rPr>
          <w:rFonts w:ascii="Times New Roman" w:cs="Times New Roman" w:eastAsia="Times New Roman" w:hAnsi="Times New Roman"/>
          <w:sz w:val="16"/>
          <w:szCs w:val="16"/>
          <w:color w:val="auto"/>
        </w:rPr>
        <w:t>”), and PennantPark Floating Rate Capital Ltd., a corporation organized under the laws of the State of Maryland (the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(each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16" w:lineRule="exact"/>
        <w:rPr>
          <w:sz w:val="20"/>
          <w:szCs w:val="20"/>
          <w:color w:val="auto"/>
        </w:rPr>
      </w:pPr>
    </w:p>
    <w:p>
      <w:pPr>
        <w:ind w:right="220" w:firstLine="1011"/>
        <w:spacing w:after="0" w:line="332" w:lineRule="auto"/>
        <w:rPr>
          <w:sz w:val="20"/>
          <w:szCs w:val="20"/>
          <w:color w:val="auto"/>
        </w:rPr>
      </w:pPr>
      <w:r>
        <w:rPr>
          <w:rFonts w:ascii="Times New Roman" w:cs="Times New Roman" w:eastAsia="Times New Roman" w:hAnsi="Times New Roman"/>
          <w:sz w:val="16"/>
          <w:szCs w:val="16"/>
          <w:color w:val="auto"/>
        </w:rPr>
        <w:t>WHEREAS, the Adviser is the owner of the trade name “PENNANTPARK” (the “</w:t>
      </w:r>
      <w:r>
        <w:rPr>
          <w:rFonts w:ascii="Times New Roman" w:cs="Times New Roman" w:eastAsia="Times New Roman" w:hAnsi="Times New Roman"/>
          <w:sz w:val="16"/>
          <w:szCs w:val="16"/>
          <w:u w:val="single" w:color="auto"/>
          <w:color w:val="auto"/>
        </w:rPr>
        <w:t>Licensed Mark</w:t>
      </w:r>
      <w:r>
        <w:rPr>
          <w:rFonts w:ascii="Times New Roman" w:cs="Times New Roman" w:eastAsia="Times New Roman" w:hAnsi="Times New Roman"/>
          <w:sz w:val="16"/>
          <w:szCs w:val="16"/>
          <w:color w:val="auto"/>
        </w:rPr>
        <w:t>”) and has filed an application to register the mark in the United States of America (the “</w:t>
      </w:r>
      <w:r>
        <w:rPr>
          <w:rFonts w:ascii="Times New Roman" w:cs="Times New Roman" w:eastAsia="Times New Roman" w:hAnsi="Times New Roman"/>
          <w:sz w:val="16"/>
          <w:szCs w:val="16"/>
          <w:u w:val="single" w:color="auto"/>
          <w:color w:val="auto"/>
        </w:rPr>
        <w:t>Territory</w:t>
      </w:r>
      <w:r>
        <w:rPr>
          <w:rFonts w:ascii="Times New Roman" w:cs="Times New Roman" w:eastAsia="Times New Roman" w:hAnsi="Times New Roman"/>
          <w:sz w:val="16"/>
          <w:szCs w:val="16"/>
          <w:color w:val="auto"/>
        </w:rPr>
        <w:t>”) for investment management, investment consultation and investment advisory services.</w:t>
      </w:r>
    </w:p>
    <w:p>
      <w:pPr>
        <w:spacing w:after="0" w:line="123" w:lineRule="exact"/>
        <w:rPr>
          <w:sz w:val="20"/>
          <w:szCs w:val="20"/>
          <w:color w:val="auto"/>
        </w:rPr>
      </w:pPr>
    </w:p>
    <w:p>
      <w:pPr>
        <w:ind w:right="220" w:firstLine="1011"/>
        <w:spacing w:after="0" w:line="256" w:lineRule="auto"/>
        <w:rPr>
          <w:sz w:val="20"/>
          <w:szCs w:val="20"/>
          <w:color w:val="auto"/>
        </w:rPr>
      </w:pPr>
      <w:r>
        <w:rPr>
          <w:rFonts w:ascii="Times New Roman" w:cs="Times New Roman" w:eastAsia="Times New Roman" w:hAnsi="Times New Roman"/>
          <w:sz w:val="18"/>
          <w:szCs w:val="18"/>
          <w:color w:val="auto"/>
        </w:rPr>
        <w:t>WHEREAS, the Corporation is a newly organized closed-end management investment company that has filed notice with the Securities and Exchange Commission that it intends to elect to be treated as a business development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1011"/>
        <w:spacing w:after="0" w:line="268" w:lineRule="auto"/>
        <w:rPr>
          <w:sz w:val="20"/>
          <w:szCs w:val="20"/>
          <w:color w:val="auto"/>
        </w:rPr>
      </w:pPr>
      <w:r>
        <w:rPr>
          <w:rFonts w:ascii="Times New Roman" w:cs="Times New Roman" w:eastAsia="Times New Roman" w:hAnsi="Times New Roman"/>
          <w:sz w:val="18"/>
          <w:szCs w:val="18"/>
          <w:color w:val="auto"/>
        </w:rPr>
        <w:t>WHEREAS, the Corporation is entering into an investment advisory and management agreement with the Adviser (the “</w:t>
      </w:r>
      <w:r>
        <w:rPr>
          <w:rFonts w:ascii="Times New Roman" w:cs="Times New Roman" w:eastAsia="Times New Roman" w:hAnsi="Times New Roman"/>
          <w:sz w:val="18"/>
          <w:szCs w:val="18"/>
          <w:u w:val="single" w:color="auto"/>
          <w:color w:val="auto"/>
        </w:rPr>
        <w:t>Advisory Agreement</w:t>
      </w:r>
      <w:r>
        <w:rPr>
          <w:rFonts w:ascii="Times New Roman" w:cs="Times New Roman" w:eastAsia="Times New Roman" w:hAnsi="Times New Roman"/>
          <w:sz w:val="18"/>
          <w:szCs w:val="18"/>
          <w:color w:val="auto"/>
        </w:rPr>
        <w:t>”), wherein the Corporation will engage the Adviser to act as the investment adviser to the Corporation; and</w:t>
      </w:r>
    </w:p>
    <w:p>
      <w:pPr>
        <w:spacing w:after="0" w:line="169" w:lineRule="exact"/>
        <w:rPr>
          <w:sz w:val="20"/>
          <w:szCs w:val="20"/>
          <w:color w:val="auto"/>
        </w:rPr>
      </w:pPr>
    </w:p>
    <w:p>
      <w:pPr>
        <w:ind w:right="400" w:firstLine="1011"/>
        <w:spacing w:after="0" w:line="268" w:lineRule="auto"/>
        <w:rPr>
          <w:sz w:val="20"/>
          <w:szCs w:val="20"/>
          <w:color w:val="auto"/>
        </w:rPr>
      </w:pPr>
      <w:r>
        <w:rPr>
          <w:rFonts w:ascii="Times New Roman" w:cs="Times New Roman" w:eastAsia="Times New Roman" w:hAnsi="Times New Roman"/>
          <w:sz w:val="18"/>
          <w:szCs w:val="18"/>
          <w:color w:val="auto"/>
        </w:rPr>
        <w:t>WHEREAS, the Corporation desires to use the Licensed Mark in connection with the operation of its business, and the Adviser is willing to permit the Corporation to use the Licensed Mark, subject to the terms and conditions of this Agreement.</w:t>
      </w:r>
    </w:p>
    <w:p>
      <w:pPr>
        <w:spacing w:after="0" w:line="169" w:lineRule="exact"/>
        <w:rPr>
          <w:sz w:val="20"/>
          <w:szCs w:val="20"/>
          <w:color w:val="auto"/>
        </w:rPr>
      </w:pPr>
    </w:p>
    <w:p>
      <w:pPr>
        <w:ind w:right="180" w:firstLine="1011"/>
        <w:spacing w:after="0" w:line="268"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LICENSE GRANT</w:t>
      </w:r>
    </w:p>
    <w:p>
      <w:pPr>
        <w:spacing w:after="0" w:line="196"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License</w:t>
      </w:r>
      <w:r>
        <w:rPr>
          <w:rFonts w:ascii="Times New Roman" w:cs="Times New Roman" w:eastAsia="Times New Roman" w:hAnsi="Times New Roman"/>
          <w:sz w:val="16"/>
          <w:szCs w:val="16"/>
          <w:color w:val="auto"/>
        </w:rPr>
        <w:t>. Subject to the terms and conditions of this Agreement, the Adviser hereby grants to The Corporation, and The Corporation hereby accepts from the Adviser, a personal, non-exclusive, royalty-free right and license to use the Licensed Mark solely and exclusively as an element of Corporation’s own corporate name and in connection with marketing the investment management, investment consultation and investment advisory services that the Adviser may provide to Corporation. During the term of this Agreement, the Corporation shall use the Licensed Mark only to the extent permitted under this License, and except as provided above, neither the Corporation nor any affiliate, owner, director, officer, employee, or agent thereof shall otherwise use the Licensed Mark or any derivative thereof in the Territory without the prior express written consent of the Adviser in its sole and absolute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9" w:right="339" w:bottom="1440" w:gutter="0" w:footer="0" w:header="0"/>
        </w:sectPr>
      </w:pPr>
    </w:p>
    <w:bookmarkStart w:id="129" w:name="page130"/>
    <w:bookmarkEnd w:id="129"/>
    <w:p>
      <w:pPr>
        <w:ind w:right="8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discretion and shall not use the Licensed Mark for any purpose outside the Territory. All rights not expressly granted to the Corporation hereunder shall remain the exclusive property of the Adviser.</w:t>
      </w:r>
    </w:p>
    <w:p>
      <w:pPr>
        <w:spacing w:after="0" w:line="169" w:lineRule="exact"/>
        <w:rPr>
          <w:sz w:val="20"/>
          <w:szCs w:val="20"/>
          <w:color w:val="auto"/>
        </w:rPr>
      </w:pPr>
    </w:p>
    <w:p>
      <w:pPr>
        <w:ind w:right="60" w:firstLine="450"/>
        <w:spacing w:after="0" w:line="26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Licensor’s Use</w:t>
      </w:r>
      <w:r>
        <w:rPr>
          <w:rFonts w:ascii="Times New Roman" w:cs="Times New Roman" w:eastAsia="Times New Roman" w:hAnsi="Times New Roman"/>
          <w:sz w:val="18"/>
          <w:szCs w:val="18"/>
          <w:color w:val="auto"/>
        </w:rPr>
        <w:t>. Nothing in this Agreement shall preclude Licensor or any of its successors or assigns from using or permitting other entities to use the Licensed Mark, whether or not such entity directly or indirectly competes or conflicts with the Corporation’s business in any manner.</w:t>
      </w:r>
    </w:p>
    <w:p>
      <w:pPr>
        <w:spacing w:after="0" w:line="38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2.</w:t>
      </w:r>
    </w:p>
    <w:p>
      <w:pPr>
        <w:spacing w:after="0" w:line="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OWNERSHIP</w:t>
      </w:r>
    </w:p>
    <w:p>
      <w:pPr>
        <w:spacing w:after="0" w:line="19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The Corporation acknowledges and agrees that the Adviser is the owner of all right, title, and interest in and to the Licensed Mark, and all such right, title and interest shall remain with the Adviser. The Corporation shall not contest, dispute, challenge, oppose or seek to cancel the Adviser’s right, title, and interest in and to the Licensed Mark. The Corporation shall not prosecute any application for registration of the Licensed Mark, or seek to register the Licensed Mark as a domain name or part of any domain name.</w:t>
      </w:r>
    </w:p>
    <w:p>
      <w:pPr>
        <w:spacing w:after="0" w:line="183"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The Corporation acknowledges that the Corporation shall not acquire any right, title, or interest in the Licensed Mark by virtue of this Agreement other than the license granted hereunder, and disclaims any such right, title, interest, or ownership. All goodwill and reputation generated by the Corporation’s use of the Licensed Mark shall inure to the exclusive benefit of the Adviser. The Corporation shall not by any act or omission use the Licensed Mark in any manner that disparages or reflects adversely on the Adviser or its business or reputation. The Corporation shall not take any action that would interfere with or prejudice the Adviser’s ownership or registration of the Licensed Mark, the validity of the Licensed Mark or the validity of the license granted by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COMPLIANCE</w:t>
      </w:r>
    </w:p>
    <w:p>
      <w:pPr>
        <w:spacing w:after="0" w:line="196" w:lineRule="exact"/>
        <w:rPr>
          <w:sz w:val="20"/>
          <w:szCs w:val="20"/>
          <w:color w:val="auto"/>
        </w:rPr>
      </w:pPr>
    </w:p>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 In order to preserve the inherent value of the Licensed Mark, the Corporation agrees to use reasonable efforts to ensure that it maintains the quality of the Corporation’s business and the operation thereof equal to the standards prevailing in the operation of the Adviser’s and the Corporation’s business as of the date of this Agreement. The Adviser shall oversee the quality of the services provided under the Licensed Mark by virtue of its role as investment adviser to the Corporation, and shall approve, prior to their use, all prospectuses, advertisements, and other materials upon which the Corporation uses the Licensed Mark. The Corporation further agrees to use the Licensed Mark in accordance with such quality standards as may be reasonably established by Licensor and communicated to the Corporation from time to time in writing, or as may be agreed to by Licensor and the Corporation from time to time in writing.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66" w:right="339" w:bottom="1440" w:gutter="0" w:footer="0" w:header="0"/>
        </w:sectPr>
      </w:pPr>
    </w:p>
    <w:bookmarkStart w:id="130" w:name="page131"/>
    <w:bookmarkEnd w:id="130"/>
    <w:p>
      <w:pPr>
        <w:jc w:val="both"/>
        <w:ind w:right="20" w:firstLine="450"/>
        <w:spacing w:after="0" w:line="30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3.2.  </w:t>
      </w: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The Corporation agrees that the business operated by it in connection with the Licensed Mark shall comply with all laws, rules, regulations and requirements of any governmental body in the Territory or elsewhere as may be applicable to the operation, advertising and promotion of the business and shall notify the Adviser of any action that must be taken by the Corporation to comply with such law, rules, regulations or requirements.</w:t>
      </w:r>
    </w:p>
    <w:p>
      <w:pPr>
        <w:spacing w:after="0" w:line="145" w:lineRule="exact"/>
        <w:rPr>
          <w:sz w:val="20"/>
          <w:szCs w:val="20"/>
          <w:color w:val="auto"/>
        </w:rPr>
      </w:pPr>
    </w:p>
    <w:p>
      <w:pPr>
        <w:ind w:right="60" w:firstLine="450"/>
        <w:spacing w:after="0" w:line="286"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Notification of Infringement</w:t>
      </w:r>
      <w:r>
        <w:rPr>
          <w:rFonts w:ascii="Times New Roman" w:cs="Times New Roman" w:eastAsia="Times New Roman" w:hAnsi="Times New Roman"/>
          <w:sz w:val="16"/>
          <w:szCs w:val="16"/>
          <w:color w:val="auto"/>
        </w:rPr>
        <w:t>. Each party shall immediately notify the other party and provide to the other party all relevant background facts upon becoming aware of (a) any registrations of, or applications for registration of, marks in the Territory that do or may conflict with any Licensed Mark, and</w:t>
      </w:r>
    </w:p>
    <w:p>
      <w:pPr>
        <w:ind w:right="220" w:firstLine="5"/>
        <w:spacing w:after="0" w:line="245" w:lineRule="auto"/>
        <w:tabs>
          <w:tab w:leader="none" w:pos="2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infringements, imitations, or illegal use or misuse of the Licensed Mark in the Territory. The Adviser shall have the exclusive right, but not the obligation, to prosecute, defend and/or settle in its sole discretion, all actions, proceedings and claims involving any Third Party Infringement or Third Party Claim, and to take any other action that it deems necessary or proper for the protection and preservation of its rights in the Licensed Mark. The Corporation shall cooperate with the Adviser in the prosecution, defense, or settlement of such actions, proceedings, or claims.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4.</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196"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4.1.  The Corporation acknowledges that the Adviser has applied for registration in the Territory of PENNANTPARK, that the Adviser’s application for registration has not yet been examined or approved for registration, and that the Corporation accepts this license on an “as is” basis. The Corporation acknowledges that the Adviser makes no explicit or implicit representation or warranty as to the registrability, validity, enforceability, or ownership of the Licensed Mark, or as to the Corporation’s ability to use the Licensed Mark without infringing or otherwise violating the rights of others, and the Adviser has no obligation to indemnify the Corporation with respect to any claims arising from the Corporation’s use of the Licensed Mark.</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Mutual Representations</w:t>
      </w:r>
      <w:r>
        <w:rPr>
          <w:rFonts w:ascii="Times New Roman" w:cs="Times New Roman" w:eastAsia="Times New Roman" w:hAnsi="Times New Roman"/>
          <w:sz w:val="18"/>
          <w:szCs w:val="18"/>
          <w:color w:val="auto"/>
        </w:rPr>
        <w:t>. Each party hereby represents and warrants to the other party as follows:</w:t>
      </w:r>
    </w:p>
    <w:p>
      <w:pPr>
        <w:spacing w:after="0" w:line="109" w:lineRule="exact"/>
        <w:rPr>
          <w:sz w:val="20"/>
          <w:szCs w:val="20"/>
          <w:color w:val="auto"/>
        </w:rPr>
      </w:pPr>
    </w:p>
    <w:p>
      <w:pPr>
        <w:ind w:left="460" w:right="180" w:firstLine="431"/>
        <w:spacing w:after="0" w:line="26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Such party is a corporation duly incorporated and in good standing as of the Effective Date, and the execution, delivery and performance of this Agreement by such party have been duly authorized by all necessary action on the part of such party.</w:t>
      </w:r>
    </w:p>
    <w:p>
      <w:pPr>
        <w:spacing w:after="0" w:line="64" w:lineRule="exact"/>
        <w:rPr>
          <w:sz w:val="20"/>
          <w:szCs w:val="20"/>
          <w:color w:val="auto"/>
        </w:rPr>
      </w:pPr>
    </w:p>
    <w:p>
      <w:pPr>
        <w:ind w:left="460" w:right="140" w:firstLine="431"/>
        <w:spacing w:after="0" w:line="26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Due Execution</w:t>
      </w:r>
      <w:r>
        <w:rPr>
          <w:rFonts w:ascii="Times New Roman" w:cs="Times New Roman" w:eastAsia="Times New Roman" w:hAnsi="Times New Roman"/>
          <w:sz w:val="18"/>
          <w:szCs w:val="18"/>
          <w:color w:val="auto"/>
        </w:rPr>
        <w:t>. This Agreement has been duly executed and delivered by such party and, with due authorization, execution and delivery by the other party, constitutes a legal, valid and binding obligation of such party, enforceable against such party in accordance with its terms.</w:t>
      </w:r>
    </w:p>
    <w:p>
      <w:pPr>
        <w:spacing w:after="0" w:line="64" w:lineRule="exact"/>
        <w:rPr>
          <w:sz w:val="20"/>
          <w:szCs w:val="20"/>
          <w:color w:val="auto"/>
        </w:rPr>
      </w:pPr>
    </w:p>
    <w:p>
      <w:pPr>
        <w:ind w:left="460" w:right="220" w:firstLine="431"/>
        <w:spacing w:after="0" w:line="26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Such party’s execution, delivery and performance of this Agreement do not: (i) violate, conflict with or result in the breach of any provision of the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266" w:right="379" w:bottom="1440" w:gutter="0" w:footer="0" w:header="0"/>
        </w:sectPr>
      </w:pPr>
    </w:p>
    <w:bookmarkStart w:id="131" w:name="page132"/>
    <w:bookmarkEnd w:id="131"/>
    <w:p>
      <w:pPr>
        <w:ind w:left="460" w:right="28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charter or by-laws (or similar organizational documents) of such party; (ii) conflict with or violate any law or governmental order applicable to such party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contract, agreement, lease, sublease, license, permit, franchise or other instrument or arrangement to which it is a party.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5.</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TERM AND TERMINATION</w:t>
      </w:r>
    </w:p>
    <w:p>
      <w:pPr>
        <w:spacing w:after="0" w:line="19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expire (a) upon expiration or termination of the Advisory Agreement; (b) if the Adviser ceases to serve as investment adviser to the Corporation; (c) by the Adviser or the Corporation upon sixty (60) days’ written notice to the other party, or (d) by the Adviser at any time in the event the Corporation assigns or attempts to assign or sublicense this Agreement or any of the Corporation’s rights or duties hereunder without the prior written consent of the Adviser.</w:t>
      </w:r>
    </w:p>
    <w:p>
      <w:pPr>
        <w:spacing w:after="0" w:line="183"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Upon Termination</w:t>
      </w:r>
      <w:r>
        <w:rPr>
          <w:rFonts w:ascii="Times New Roman" w:cs="Times New Roman" w:eastAsia="Times New Roman" w:hAnsi="Times New Roman"/>
          <w:sz w:val="18"/>
          <w:szCs w:val="18"/>
          <w:color w:val="auto"/>
        </w:rPr>
        <w:t>. Upon expiration or termination of this Agreement, all rights granted to the Corporation under this Agreement with respect to the Licensed Mark shall cease, and the Corporation shall immediately discontinue all use of the Licensed Mark. The Corporation shall immediately change its corporate name by deleting the term “PENNANTPARK.” For twenty- four (24) months following termination of this Agreement, the Corporation shall specify on all public-facing materials in a prominent place and in prominent typeface that the Corporation is no longer operating under the Licensed Mark and is no longer associated with Licensor.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6.</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196"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The Corporation will not sublicense, assign, pledge, grant or otherwise encumber or transfer to any third party all or any part of its rights or duties under this Agreement, in whole or in part, without the prior written consent from the Adviser, which consent the Adviser may grant or withhold in its sole and absolute discretion. Any purported transfer without such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Except as expressly provided or authorized in the Advisory Agreement, neither party shall have, or shall represent that it has, any power, right or authority to bind the other party to any obligation or liability, or to assume or create any obligation or liability on behalf of the other party.</w:t>
      </w:r>
    </w:p>
    <w:p>
      <w:pPr>
        <w:spacing w:after="0" w:line="180"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or made (and shall be deemed to have been duly given or made upon receipt) by delivery in person, by overnight courier service (with signature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266"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required), by facsimile, or by registered or certified mail (postage prepaid, return receipt requested) to the respective parties at the following addresses:</w:t>
      </w:r>
    </w:p>
    <w:p>
      <w:pPr>
        <w:sectPr>
          <w:pgSz w:w="11900" w:h="16838" w:orient="portrait"/>
          <w:cols w:equalWidth="0" w:num="1">
            <w:col w:w="11180"/>
          </w:cols>
          <w:pgMar w:left="320" w:top="266" w:right="399" w:bottom="1440" w:gutter="0" w:footer="0" w:header="0"/>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Adviser:</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Corporation:</w:t>
      </w:r>
    </w:p>
    <w:p>
      <w:pPr>
        <w:spacing w:after="0" w:line="132" w:lineRule="exact"/>
        <w:rPr>
          <w:sz w:val="20"/>
          <w:szCs w:val="20"/>
          <w:color w:val="auto"/>
        </w:rPr>
      </w:pPr>
    </w:p>
    <w:p>
      <w:pPr>
        <w:sectPr>
          <w:pgSz w:w="11900" w:h="16838" w:orient="portrait"/>
          <w:cols w:equalWidth="0" w:num="2">
            <w:col w:w="5020" w:space="720"/>
            <w:col w:w="5440"/>
          </w:cols>
          <w:pgMar w:left="320" w:top="266"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PennantPark Investment Advisers,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 , 15th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No.: (212) 905-1000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(212 ) 905-1075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Compliance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PennantPark Floating Rate Capital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 , 15th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No.: (212) 905-1000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(212 ) 905-1075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Compliance Officer</w:t>
      </w:r>
    </w:p>
    <w:p>
      <w:pPr>
        <w:spacing w:after="0" w:line="200" w:lineRule="exact"/>
        <w:rPr>
          <w:sz w:val="20"/>
          <w:szCs w:val="20"/>
          <w:color w:val="auto"/>
        </w:rPr>
      </w:pPr>
    </w:p>
    <w:p>
      <w:pPr>
        <w:sectPr>
          <w:pgSz w:w="11900" w:h="16838" w:orient="portrait"/>
          <w:cols w:equalWidth="0" w:num="2">
            <w:col w:w="5020" w:space="720"/>
            <w:col w:w="5440"/>
          </w:cols>
          <w:pgMar w:left="320" w:top="266" w:right="399" w:bottom="1440" w:gutter="0" w:footer="0" w:header="0"/>
          <w:type w:val="continuous"/>
        </w:sectPr>
      </w:pPr>
    </w:p>
    <w:p>
      <w:pPr>
        <w:spacing w:after="0" w:line="10" w:lineRule="exact"/>
        <w:rPr>
          <w:sz w:val="20"/>
          <w:szCs w:val="20"/>
          <w:color w:val="auto"/>
        </w:rPr>
      </w:pPr>
    </w:p>
    <w:p>
      <w:pPr>
        <w:ind w:right="460" w:firstLine="450"/>
        <w:spacing w:after="0" w:line="303"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 New York. The parties unconditionally and irrevocably consent to the exclusive jurisdiction of the courts located in the State of New York and waive any objection with respect thereto, for the purpose of any action, suit or proceeding arising out of or relating to this Agreement or the transactions contemplated hereby.</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or modified except by an instrument in writing signed by each party hereto.</w:t>
      </w:r>
    </w:p>
    <w:p>
      <w:pPr>
        <w:spacing w:after="0" w:line="214" w:lineRule="exact"/>
        <w:rPr>
          <w:sz w:val="20"/>
          <w:szCs w:val="20"/>
          <w:color w:val="auto"/>
        </w:rPr>
      </w:pPr>
    </w:p>
    <w:p>
      <w:pPr>
        <w:jc w:val="both"/>
        <w:ind w:right="80" w:firstLine="450"/>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either party to enforce at any time for any period the provisions of or any rights deriving from this Agreement shall not be construed to be a waiver of such provisions or rights or the right of such party thereafter to enforce such provisions, and no waiver shall be binding unless executed in writing by all parties hereto.</w:t>
      </w:r>
    </w:p>
    <w:p>
      <w:pPr>
        <w:spacing w:after="0" w:line="180" w:lineRule="exact"/>
        <w:rPr>
          <w:sz w:val="20"/>
          <w:szCs w:val="20"/>
          <w:color w:val="auto"/>
        </w:rPr>
      </w:pPr>
    </w:p>
    <w:p>
      <w:pPr>
        <w:ind w:right="80" w:firstLine="450"/>
        <w:spacing w:after="0" w:line="249"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5"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descriptive headings contained in this Agreement are for convenience of reference only and shall not affect in any way the meaning or interpretation of this Agreement.</w:t>
      </w:r>
    </w:p>
    <w:p>
      <w:pPr>
        <w:spacing w:after="0" w:line="169" w:lineRule="exact"/>
        <w:rPr>
          <w:sz w:val="20"/>
          <w:szCs w:val="20"/>
          <w:color w:val="auto"/>
        </w:rPr>
      </w:pPr>
    </w:p>
    <w:p>
      <w:pPr>
        <w:ind w:right="440" w:firstLine="450"/>
        <w:spacing w:after="0" w:line="26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when executed shall be deemed to be an original instrument and all of which taken together shall constitute one and the same agreement.</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266" w:right="399" w:bottom="1440" w:gutter="0" w:footer="0" w:header="0"/>
          <w:type w:val="continuous"/>
        </w:sectPr>
      </w:pPr>
    </w:p>
    <w:bookmarkStart w:id="133" w:name="page134"/>
    <w:bookmarkEnd w:id="133"/>
    <w:p>
      <w:pPr>
        <w:ind w:right="10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of the parties with respect to the subject matter hereof and supersedes all prior agreements and undertakings, both written and oral, between the parties with respect to such subject matter.</w:t>
      </w:r>
    </w:p>
    <w:p>
      <w:pPr>
        <w:spacing w:after="0" w:line="169"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Nothing in this Agreement, either express or implied, is intended to or shall confer upon any third party any legal or equitable right, benefit or remedy of any nature whatsoever under or by reason of this Agreement.</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320" w:top="266" w:right="6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each party has caused this Agreement to be executed as of the Effective Date by its duly authorized officer.</w:t>
      </w:r>
    </w:p>
    <w:p>
      <w:pPr>
        <w:spacing w:after="0" w:line="23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ADVISER:</w:t>
      </w:r>
    </w:p>
    <w:p>
      <w:pPr>
        <w:spacing w:after="0" w:line="2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PENNANTPARK INVESTMENT ADVISERS, LLC</w:t>
      </w:r>
    </w:p>
    <w:p>
      <w:pPr>
        <w:spacing w:after="0" w:line="216" w:lineRule="exact"/>
        <w:rPr>
          <w:sz w:val="20"/>
          <w:szCs w:val="20"/>
          <w:color w:val="auto"/>
        </w:rPr>
      </w:pPr>
    </w:p>
    <w:p>
      <w:pPr>
        <w:ind w:left="574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13970</wp:posOffset>
            </wp:positionV>
            <wp:extent cx="24479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7">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10" w:lineRule="exact"/>
        <w:rPr>
          <w:sz w:val="20"/>
          <w:szCs w:val="20"/>
          <w:color w:val="auto"/>
        </w:rPr>
      </w:pPr>
    </w:p>
    <w:p>
      <w:pPr>
        <w:ind w:left="5740"/>
        <w:spacing w:after="0"/>
        <w:tabs>
          <w:tab w:leader="none" w:pos="63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Arthur H. Penn</w:t>
      </w:r>
    </w:p>
    <w:p>
      <w:pPr>
        <w:spacing w:after="0" w:line="21" w:lineRule="exact"/>
        <w:rPr>
          <w:sz w:val="20"/>
          <w:szCs w:val="20"/>
          <w:color w:val="auto"/>
        </w:rPr>
      </w:pPr>
    </w:p>
    <w:p>
      <w:pPr>
        <w:ind w:left="5740"/>
        <w:spacing w:after="0"/>
        <w:tabs>
          <w:tab w:leader="none" w:pos="634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19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14"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16" w:lineRule="exact"/>
        <w:rPr>
          <w:sz w:val="20"/>
          <w:szCs w:val="20"/>
          <w:color w:val="auto"/>
        </w:rPr>
      </w:pPr>
    </w:p>
    <w:tbl>
      <w:tblPr>
        <w:tblLayout w:type="fixed"/>
        <w:tblInd w:w="574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H. Penn</w:t>
            </w:r>
          </w:p>
        </w:tc>
      </w:tr>
      <w:tr>
        <w:trPr>
          <w:trHeight w:val="199"/>
        </w:trPr>
        <w:tc>
          <w:tcPr>
            <w:tcW w:w="6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Arthur H. Penn</w:t>
            </w: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w w:val="97"/>
              </w:rPr>
              <w:t>Chief Executive Officer and Chairman of the Board of</w:t>
            </w:r>
          </w:p>
        </w:tc>
      </w:tr>
      <w:tr>
        <w:trPr>
          <w:trHeight w:val="228"/>
        </w:trPr>
        <w:tc>
          <w:tcPr>
            <w:tcW w:w="6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r>
    </w:tbl>
    <w:p>
      <w:pPr>
        <w:spacing w:after="0" w:line="1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i w:val="1"/>
          <w:iCs w:val="1"/>
          <w:color w:val="auto"/>
        </w:rPr>
        <w:t>[Signature Page to Trademark License Agreement]</w:t>
      </w:r>
    </w:p>
    <w:p>
      <w:pPr>
        <w:sectPr>
          <w:pgSz w:w="11900" w:h="16838" w:orient="portrait"/>
          <w:cols w:equalWidth="0" w:num="1">
            <w:col w:w="10220"/>
          </w:cols>
          <w:pgMar w:left="1340" w:top="266"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(n)(1)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We consent to the incorporation by reference in this Pre-Effective Amendment No. 1 to the Registration Statement on Form N-2 and related Prospectus of PennantPark Floating Rate Capital Ltd. (the Company) of our reports dated December 7, 2023, relating to the consolidated financial statements and the effectiveness of internal control over financial reporting (on which our report expresses an adverse opinion on the effectiveness of the Company’s internal control over financial reporting because of material weaknesses) of PennantPark Floating Rate Capital Ltd. and Subsidiaries, appearing in the Annual Report on Form 10-K of the Company for the year ended September 30, 2023. We also consent to the incorporation by reference in such Registration Statement of our report dated December 7, 2023, relating to the senior securities table appearing in the Annual Report on Form 10-K of PennantPark Floating Rate Capital Ltd. for the year ended September 30, 2023.</w:t>
      </w:r>
    </w:p>
    <w:p>
      <w:pPr>
        <w:spacing w:after="0" w:line="187"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color w:val="auto"/>
        </w:rPr>
        <w:t>We also consent to the reference to our firm under the headings “Senior Securities” and “Independent Registered Public Accounting Firm” in this Registration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2024</w:t>
      </w:r>
    </w:p>
    <w:p>
      <w:pPr>
        <w:sectPr>
          <w:pgSz w:w="11900" w:h="16838" w:orient="portrait"/>
          <w:cols w:equalWidth="0" w:num="1">
            <w:col w:w="10740"/>
          </w:cols>
          <w:pgMar w:left="580" w:top="119" w:right="57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(n)(2)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1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consent to the incorporation by reference in this Pre-Effective Amendment No. 1 to the Registration Statement on Form N-2 of PennantPark Floating Rate Capital Ltd. of our reports dated December 7, 2023 and November 17, 2022, relating to the consolidated financial statements of PennantPark Senior Secured Loan Fund I LLC, appearing in Exhibits 99.3 and 99.4 in the Annual Report on Form 10-K of PennantPark Floating Rate Capital Ltd. for the year ended September 30,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“Independent Auditor” in this Registration Statement.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2024</w:t>
      </w:r>
    </w:p>
    <w:p>
      <w:pPr>
        <w:sectPr>
          <w:pgSz w:w="11900" w:h="16838" w:orient="portrait"/>
          <w:cols w:equalWidth="0" w:num="1">
            <w:col w:w="11240"/>
          </w:cols>
          <w:pgMar w:left="320" w:top="119"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(n)(4)</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6" w:lineRule="exact"/>
        <w:rPr>
          <w:sz w:val="20"/>
          <w:szCs w:val="20"/>
          <w:color w:val="auto"/>
        </w:rPr>
      </w:pPr>
    </w:p>
    <w:p>
      <w:pPr>
        <w:ind w:right="60" w:firstLine="429"/>
        <w:spacing w:after="0" w:line="248" w:lineRule="auto"/>
        <w:rPr>
          <w:sz w:val="20"/>
          <w:szCs w:val="20"/>
          <w:color w:val="auto"/>
        </w:rPr>
      </w:pPr>
      <w:r>
        <w:rPr>
          <w:rFonts w:ascii="Times New Roman" w:cs="Times New Roman" w:eastAsia="Times New Roman" w:hAnsi="Times New Roman"/>
          <w:sz w:val="18"/>
          <w:szCs w:val="18"/>
          <w:color w:val="auto"/>
        </w:rPr>
        <w:t>KNOW ALL MEN BY THESE PRESENT, each person whose signature appears below hereby constitutes and appoints Richard T. Allorto, Jr. his true and lawful attorney-in-fact and agent, with full power of substitution and resubstitution, for him and in his name, place and stead, in any and all capacities, to sign any and all amendments to this Registration Statement on Form N-2 and any registration statement filed pursuant to Rule 462(b) under the Securities Act of 1933, as amended,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might or could do in person, hereby ratifying and confirming all that said attorney-in-fact and agent, or his substitutes, may lawfully do or cause to be done by virtue hereof.</w:t>
      </w:r>
    </w:p>
    <w:p>
      <w:pPr>
        <w:spacing w:after="0" w:line="187" w:lineRule="exact"/>
        <w:rPr>
          <w:sz w:val="20"/>
          <w:szCs w:val="20"/>
          <w:color w:val="auto"/>
        </w:rPr>
      </w:pPr>
    </w:p>
    <w:p>
      <w:pPr>
        <w:ind w:right="20" w:firstLine="429"/>
        <w:spacing w:after="0" w:line="28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N-2 has been signed by the following persons in the capacities set forth below on the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May, 2024.</w:t>
      </w:r>
    </w:p>
    <w:p>
      <w:pPr>
        <w:sectPr>
          <w:pgSz w:w="11900" w:h="16838" w:orient="portrait"/>
          <w:cols w:equalWidth="0" w:num="1">
            <w:col w:w="10740"/>
          </w:cols>
          <w:pgMar w:left="580" w:top="121" w:right="579" w:bottom="1440" w:gutter="0" w:footer="0" w:header="0"/>
        </w:sectPr>
      </w:pPr>
    </w:p>
    <w:p>
      <w:pPr>
        <w:spacing w:after="0" w:line="5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Arthur H. Penn</w:t>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6403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/s/ Richard T. Allorto, Jr.</w:t>
      </w:r>
    </w:p>
    <w:p>
      <w:pPr>
        <w:spacing w:after="0" w:line="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26403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Adam K. Bernstein</w:t>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Adam K.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6403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 Jeffrey Flug</w:t>
      </w:r>
    </w:p>
    <w:p>
      <w:pPr>
        <w:spacing w:after="0" w:line="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Jeffrey Flug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6403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 Marshall Brozost</w:t>
      </w:r>
    </w:p>
    <w:p>
      <w:pPr>
        <w:spacing w:after="0" w:line="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6403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 Samuel L. Katz</w:t>
      </w:r>
    </w:p>
    <w:p>
      <w:pPr>
        <w:spacing w:after="0" w:line="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6403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 José A. Briones</w:t>
      </w:r>
    </w:p>
    <w:p>
      <w:pPr>
        <w:spacing w:after="0" w:line="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José A. Briones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26403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24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color w:val="auto"/>
        </w:rPr>
        <w:t>Chief Executive Officer and Chairman of the Board of Directors</w:t>
      </w:r>
    </w:p>
    <w:p>
      <w:pPr>
        <w:spacing w:after="0" w:line="44"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Director</w:t>
      </w:r>
    </w:p>
    <w:sectPr>
      <w:pgSz w:w="11900" w:h="16838" w:orient="portrait"/>
      <w:cols w:equalWidth="0" w:num="2">
        <w:col w:w="4520" w:space="720"/>
        <w:col w:w="5500"/>
      </w:cols>
      <w:pgMar w:left="580" w:top="12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1)"/>
      <w:numFmt w:val="decimal"/>
      <w:start w:val="1"/>
    </w:lvl>
  </w:abstractNum>
  <w:abstractNum w:abstractNumId="2">
    <w:nsid w:val="12E685FB"/>
    <w:multiLevelType w:val="hybridMultilevel"/>
    <w:lvl w:ilvl="0">
      <w:lvlJc w:val="left"/>
      <w:lvlText w:val="(%1)"/>
      <w:numFmt w:val="decimal"/>
      <w:start w:val="7"/>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1)"/>
      <w:numFmt w:val="decimal"/>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1)"/>
      <w:numFmt w:val="decimal"/>
      <w:start w:val="1"/>
    </w:lvl>
  </w:abstractNum>
  <w:abstractNum w:abstractNumId="12">
    <w:nsid w:val="180115BE"/>
    <w:multiLevelType w:val="hybridMultilevel"/>
    <w:lvl w:ilvl="0">
      <w:lvlJc w:val="left"/>
      <w:lvlText w:val="(%1)"/>
      <w:numFmt w:val="decimal"/>
      <w:start w:val="2"/>
    </w:lvl>
  </w:abstractNum>
  <w:abstractNum w:abstractNumId="13">
    <w:nsid w:val="235BA861"/>
    <w:multiLevelType w:val="hybridMultilevel"/>
    <w:lvl w:ilvl="0">
      <w:lvlJc w:val="left"/>
      <w:lvlText w:val="(%1)"/>
      <w:numFmt w:val="decimal"/>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1)"/>
      <w:numFmt w:val="decimal"/>
      <w:start w:val="3"/>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1)"/>
      <w:numFmt w:val="lowerLetter"/>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lvl w:ilvl="1">
      <w:lvlJc w:val="left"/>
      <w:lvlText w:val="%2)"/>
      <w:numFmt w:val="decimal"/>
      <w:start w:val="1"/>
    </w:lvl>
  </w:abstractNum>
  <w:abstractNum w:abstractNumId="47">
    <w:nsid w:val="7BD3EE7B"/>
    <w:multiLevelType w:val="hybridMultilevel"/>
    <w:lvl w:ilvl="0">
      <w:lvlJc w:val="left"/>
      <w:lvlText w:val="(%1)"/>
      <w:numFmt w:val="lowerLetter"/>
      <w:start w:val="7"/>
    </w:lvl>
  </w:abstractNum>
  <w:abstractNum w:abstractNumId="48">
    <w:nsid w:val="51D9C564"/>
    <w:multiLevelType w:val="hybridMultilevel"/>
    <w:lvl w:ilvl="0">
      <w:lvlJc w:val="left"/>
      <w:lvlText w:val="(%1)"/>
      <w:numFmt w:val="decimal"/>
      <w:start w:val="2"/>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1)"/>
      <w:numFmt w:val="lowerLetter"/>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1)"/>
      <w:numFmt w:val="decimal"/>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7"/>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1)"/>
      <w:numFmt w:val="lowerLetter"/>
      <w:start w:val="1"/>
    </w:lvl>
  </w:abstractNum>
  <w:abstractNum w:abstractNumId="60">
    <w:nsid w:val="6A5EE64"/>
    <w:multiLevelType w:val="hybridMultilevel"/>
    <w:lvl w:ilvl="0">
      <w:lvlJc w:val="left"/>
      <w:lvlText w:val="(%1)"/>
      <w:numFmt w:val="lowerLetter"/>
      <w:start w:val="2"/>
    </w:lvl>
  </w:abstractNum>
  <w:abstractNum w:abstractNumId="61">
    <w:nsid w:val="14330624"/>
    <w:multiLevelType w:val="hybridMultilevel"/>
    <w:lvl w:ilvl="0">
      <w:lvlJc w:val="left"/>
      <w:lvlText w:val="%1."/>
      <w:numFmt w:val="decimal"/>
      <w:start w:val="2"/>
    </w:lvl>
  </w:abstractNum>
  <w:abstractNum w:abstractNumId="62">
    <w:nsid w:val="7FFFCA11"/>
    <w:multiLevelType w:val="hybridMultilevel"/>
    <w:lvl w:ilvl="0">
      <w:lvlJc w:val="left"/>
      <w:lvlText w:val="%1."/>
      <w:numFmt w:val="decimal"/>
      <w:start w:val="3"/>
    </w:lvl>
  </w:abstractNum>
  <w:abstractNum w:abstractNumId="63">
    <w:nsid w:val="1A27709E"/>
    <w:multiLevelType w:val="hybridMultilevel"/>
    <w:lvl w:ilvl="0">
      <w:lvlJc w:val="left"/>
      <w:lvlText w:val="(%1)"/>
      <w:numFmt w:val="lowerLetter"/>
      <w:start w:val="1"/>
    </w:lvl>
    <w:lvl w:ilvl="1">
      <w:lvlJc w:val="left"/>
      <w:lvlText w:val="(%2)"/>
      <w:numFmt w:val="lowerLetter"/>
      <w:start w:val="9"/>
    </w:lvl>
  </w:abstractNum>
  <w:abstractNum w:abstractNumId="64">
    <w:nsid w:val="71EA1109"/>
    <w:multiLevelType w:val="hybridMultilevel"/>
    <w:lvl w:ilvl="0">
      <w:lvlJc w:val="left"/>
      <w:lvlText w:val="%1"/>
      <w:numFmt w:val="decimal"/>
      <w:start w:val="1"/>
    </w:lvl>
    <w:lvl w:ilvl="1">
      <w:lvlJc w:val="left"/>
      <w:lvlText w:val="(%2)"/>
      <w:numFmt w:val="lowerRoman"/>
      <w:start w:val="2"/>
    </w:lvl>
  </w:abstractNum>
  <w:abstractNum w:abstractNumId="65">
    <w:nsid w:val="100F59DC"/>
    <w:multiLevelType w:val="hybridMultilevel"/>
    <w:lvl w:ilvl="0">
      <w:lvlJc w:val="left"/>
      <w:lvlText w:val="%1."/>
      <w:numFmt w:val="decimal"/>
      <w:start w:val="4"/>
    </w:lvl>
    <w:lvl w:ilvl="1">
      <w:lvlJc w:val="left"/>
      <w:lvlText w:val="%2"/>
      <w:numFmt w:val="lowerRoman"/>
      <w:start w:val="1"/>
    </w:lvl>
  </w:abstractNum>
  <w:abstractNum w:abstractNumId="66">
    <w:nsid w:val="7FB7E0AA"/>
    <w:multiLevelType w:val="hybridMultilevel"/>
    <w:lvl w:ilvl="0">
      <w:lvlJc w:val="left"/>
      <w:lvlText w:val="%1."/>
      <w:numFmt w:val="decimal"/>
      <w:start w:val="7"/>
    </w:lvl>
  </w:abstractNum>
  <w:abstractNum w:abstractNumId="67">
    <w:nsid w:val="6EB5BD4"/>
    <w:multiLevelType w:val="hybridMultilevel"/>
    <w:lvl w:ilvl="0">
      <w:lvlJc w:val="left"/>
      <w:lvlText w:val="%1."/>
      <w:numFmt w:val="decimal"/>
      <w:start w:val="9"/>
    </w:lvl>
  </w:abstractNum>
  <w:abstractNum w:abstractNumId="68">
    <w:nsid w:val="6F6DD9AC"/>
    <w:multiLevelType w:val="hybridMultilevel"/>
    <w:lvl w:ilvl="0">
      <w:lvlJc w:val="left"/>
      <w:lvlText w:val="(%1)"/>
      <w:numFmt w:val="lowerLetter"/>
      <w:start w:val="2"/>
    </w:lvl>
    <w:lvl w:ilvl="1">
      <w:lvlJc w:val="left"/>
      <w:lvlText w:val="-"/>
      <w:numFmt w:val="bullet"/>
      <w:start w:val="1"/>
    </w:lvl>
  </w:abstractNum>
  <w:abstractNum w:abstractNumId="69">
    <w:nsid w:val="94211F2"/>
    <w:multiLevelType w:val="hybridMultilevel"/>
    <w:lvl w:ilvl="0">
      <w:lvlJc w:val="left"/>
      <w:lvlText w:val="(%1)"/>
      <w:numFmt w:val="lowerLetter"/>
      <w:start w:val="3"/>
    </w:lvl>
  </w:abstractNum>
  <w:abstractNum w:abstractNumId="70">
    <w:nsid w:val="885E1B"/>
    <w:multiLevelType w:val="hybridMultilevel"/>
    <w:lvl w:ilvl="0">
      <w:lvlJc w:val="left"/>
      <w:lvlText w:val="(%1)"/>
      <w:numFmt w:val="lowerLetter"/>
      <w:start w:val="1"/>
    </w:lvl>
    <w:lvl w:ilvl="1">
      <w:lvlJc w:val="left"/>
      <w:lvlText w:val="-"/>
      <w:numFmt w:val="bullet"/>
      <w:start w:val="1"/>
    </w:lvl>
  </w:abstractNum>
  <w:abstractNum w:abstractNumId="71">
    <w:nsid w:val="76272110"/>
    <w:multiLevelType w:val="hybridMultilevel"/>
    <w:lvl w:ilvl="0">
      <w:lvlJc w:val="left"/>
      <w:lvlText w:val="(%1)"/>
      <w:numFmt w:val="lowerLetter"/>
      <w:start w:val="8"/>
    </w:lvl>
    <w:lvl w:ilvl="1">
      <w:lvlJc w:val="left"/>
      <w:lvlText w:val="(%2)"/>
      <w:numFmt w:val="lowerLetter"/>
      <w:start w:val="35"/>
    </w:lvl>
  </w:abstractNum>
  <w:abstractNum w:abstractNumId="72">
    <w:nsid w:val="4C04A8AF"/>
    <w:multiLevelType w:val="hybridMultilevel"/>
    <w:lvl w:ilvl="0">
      <w:lvlJc w:val="left"/>
      <w:lvlText w:val="%1"/>
      <w:numFmt w:val="decimal"/>
      <w:start w:val="1"/>
    </w:lvl>
    <w:lvl w:ilvl="1">
      <w:lvlJc w:val="left"/>
      <w:lvlText w:val="(%2)"/>
      <w:numFmt w:val="decimal"/>
      <w:start w:val="1"/>
    </w:lvl>
  </w:abstractNum>
  <w:abstractNum w:abstractNumId="73">
    <w:nsid w:val="1716703B"/>
    <w:multiLevelType w:val="hybridMultilevel"/>
    <w:lvl w:ilvl="0">
      <w:lvlJc w:val="left"/>
      <w:lvlText w:val="%1."/>
      <w:numFmt w:val="decimal"/>
      <w:start w:val="3"/>
    </w:lvl>
    <w:lvl w:ilvl="1">
      <w:lvlJc w:val="left"/>
      <w:lvlText w:val="%2"/>
      <w:numFmt w:val="decimal"/>
      <w:start w:val="1"/>
    </w:lvl>
  </w:abstractNum>
  <w:abstractNum w:abstractNumId="74">
    <w:nsid w:val="14E17E33"/>
    <w:multiLevelType w:val="hybridMultilevel"/>
    <w:lvl w:ilvl="0">
      <w:lvlJc w:val="left"/>
      <w:lvlText w:val="(%1)"/>
      <w:numFmt w:val="lowerLetter"/>
      <w:start w:val="1"/>
    </w:lvl>
    <w:lvl w:ilvl="1">
      <w:lvlJc w:val="left"/>
      <w:lvlText w:val="-"/>
      <w:numFmt w:val="bullet"/>
      <w:start w:val="1"/>
    </w:lvl>
  </w:abstractNum>
  <w:abstractNum w:abstractNumId="75">
    <w:nsid w:val="3222E7CD"/>
    <w:multiLevelType w:val="hybridMultilevel"/>
    <w:lvl w:ilvl="0">
      <w:lvlJc w:val="left"/>
      <w:lvlText w:val="(%1)"/>
      <w:numFmt w:val="lowerLetter"/>
      <w:start w:val="4"/>
    </w:lvl>
  </w:abstractNum>
  <w:abstractNum w:abstractNumId="76">
    <w:nsid w:val="74DE0EE3"/>
    <w:multiLevelType w:val="hybridMultilevel"/>
    <w:lvl w:ilvl="0">
      <w:lvlJc w:val="left"/>
      <w:lvlText w:val="(%1)"/>
      <w:numFmt w:val="lowerLetter"/>
      <w:start w:val="2"/>
    </w:lvl>
    <w:lvl w:ilvl="1">
      <w:lvlJc w:val="left"/>
      <w:lvlText w:val="-"/>
      <w:numFmt w:val="bullet"/>
      <w:start w:val="1"/>
    </w:lvl>
  </w:abstractNum>
  <w:abstractNum w:abstractNumId="77">
    <w:nsid w:val="68EBC550"/>
    <w:multiLevelType w:val="hybridMultilevel"/>
    <w:lvl w:ilvl="0">
      <w:lvlJc w:val="left"/>
      <w:lvlText w:val="(%1)"/>
      <w:numFmt w:val="lowerLetter"/>
      <w:start w:val="3"/>
    </w:lvl>
  </w:abstractNum>
  <w:abstractNum w:abstractNumId="78">
    <w:nsid w:val="2DF6D648"/>
    <w:multiLevelType w:val="hybridMultilevel"/>
    <w:lvl w:ilvl="0">
      <w:lvlJc w:val="left"/>
      <w:lvlText w:val="(%1)"/>
      <w:numFmt w:val="lowerLetter"/>
      <w:start w:val="1"/>
    </w:lvl>
    <w:lvl w:ilvl="1">
      <w:lvlJc w:val="left"/>
      <w:lvlText w:val="-"/>
      <w:numFmt w:val="bullet"/>
      <w:start w:val="1"/>
    </w:lvl>
  </w:abstractNum>
  <w:abstractNum w:abstractNumId="79">
    <w:nsid w:val="46B7D447"/>
    <w:multiLevelType w:val="hybridMultilevel"/>
    <w:lvl w:ilvl="0">
      <w:lvlJc w:val="left"/>
      <w:lvlText w:val="(%1)"/>
      <w:numFmt w:val="lowerLetter"/>
      <w:start w:val="2"/>
    </w:lvl>
  </w:abstractNum>
  <w:abstractNum w:abstractNumId="80">
    <w:nsid w:val="4A2AC31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81">
    <w:nsid w:val="39EE015C"/>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82">
    <w:nsid w:val="57FC4FBB"/>
    <w:multiLevelType w:val="hybridMultilevel"/>
    <w:lvl w:ilvl="0">
      <w:lvlJc w:val="left"/>
      <w:lvlText w:val="(%1)"/>
      <w:numFmt w:val="lowerLetter"/>
      <w:start w:val="2"/>
    </w:lvl>
  </w:abstractNum>
  <w:abstractNum w:abstractNumId="83">
    <w:nsid w:val="CC1016F"/>
    <w:multiLevelType w:val="hybridMultilevel"/>
    <w:lvl w:ilvl="0">
      <w:lvlJc w:val="left"/>
      <w:lvlText w:val="(%1)"/>
      <w:numFmt w:val="lowerLetter"/>
      <w:start w:val="2"/>
    </w:lvl>
  </w:abstractNum>
  <w:abstractNum w:abstractNumId="84">
    <w:nsid w:val="43F18422"/>
    <w:multiLevelType w:val="hybridMultilevel"/>
    <w:lvl w:ilvl="0">
      <w:lvlJc w:val="left"/>
      <w:lvlText w:val="(%1)"/>
      <w:numFmt w:val="lowerLetter"/>
      <w:start w:val="2"/>
    </w:lvl>
  </w:abstractNum>
  <w:abstractNum w:abstractNumId="85">
    <w:nsid w:val="60EF0119"/>
    <w:multiLevelType w:val="hybridMultilevel"/>
    <w:lvl w:ilvl="0">
      <w:lvlJc w:val="left"/>
      <w:lvlText w:val="(%1)"/>
      <w:numFmt w:val="lowerLetter"/>
      <w:start w:val="1"/>
    </w:lvl>
    <w:lvl w:ilvl="1">
      <w:lvlJc w:val="left"/>
      <w:lvlText w:val="-"/>
      <w:numFmt w:val="bullet"/>
      <w:start w:val="1"/>
    </w:lvl>
  </w:abstractNum>
  <w:abstractNum w:abstractNumId="86">
    <w:nsid w:val="26F324BA"/>
    <w:multiLevelType w:val="hybridMultilevel"/>
    <w:lvl w:ilvl="0">
      <w:lvlJc w:val="left"/>
      <w:lvlText w:val="%1."/>
      <w:numFmt w:val="decimal"/>
      <w:start w:val="11"/>
    </w:lvl>
  </w:abstractNum>
  <w:abstractNum w:abstractNumId="87">
    <w:nsid w:val="7F01579B"/>
    <w:multiLevelType w:val="hybridMultilevel"/>
    <w:lvl w:ilvl="0">
      <w:lvlJc w:val="left"/>
      <w:lvlText w:val="&amp;"/>
      <w:numFmt w:val="bullet"/>
      <w:start w:val="1"/>
    </w:lvl>
  </w:abstractNum>
  <w:abstractNum w:abstractNumId="88">
    <w:nsid w:val="49DA307D"/>
    <w:multiLevelType w:val="hybridMultilevel"/>
    <w:lvl w:ilvl="0">
      <w:lvlJc w:val="left"/>
      <w:lvlText w:val="%1."/>
      <w:numFmt w:val="decimal"/>
      <w:start w:val="1"/>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1)"/>
      <w:numFmt w:val="lowerLetter"/>
      <w:start w:val="1"/>
    </w:lvl>
  </w:abstractNum>
  <w:abstractNum w:abstractNumId="91">
    <w:nsid w:val="50801EE1"/>
    <w:multiLevelType w:val="hybridMultilevel"/>
    <w:lvl w:ilvl="0">
      <w:lvlJc w:val="left"/>
      <w:lvlText w:val="%1."/>
      <w:numFmt w:val="decimal"/>
      <w:start w:val="2"/>
    </w:lvl>
  </w:abstractNum>
  <w:abstractNum w:abstractNumId="92">
    <w:nsid w:val="488AC1A"/>
    <w:multiLevelType w:val="hybridMultilevel"/>
    <w:lvl w:ilvl="0">
      <w:lvlJc w:val="left"/>
      <w:lvlText w:val="%1."/>
      <w:numFmt w:val="decimal"/>
      <w:start w:val="3"/>
    </w:lvl>
  </w:abstractNum>
  <w:abstractNum w:abstractNumId="93">
    <w:nsid w:val="5FB8011C"/>
    <w:multiLevelType w:val="hybridMultilevel"/>
    <w:lvl w:ilvl="0">
      <w:lvlJc w:val="left"/>
      <w:lvlText w:val="%1."/>
      <w:numFmt w:val="decimal"/>
      <w:start w:val="4"/>
    </w:lvl>
  </w:abstractNum>
  <w:abstractNum w:abstractNumId="94">
    <w:nsid w:val="6AA78F7F"/>
    <w:multiLevelType w:val="hybridMultilevel"/>
    <w:lvl w:ilvl="0">
      <w:lvlJc w:val="left"/>
      <w:lvlText w:val="%1."/>
      <w:numFmt w:val="decimal"/>
      <w:start w:val="5"/>
    </w:lvl>
  </w:abstractNum>
  <w:abstractNum w:abstractNumId="95">
    <w:nsid w:val="7672BD23"/>
    <w:multiLevelType w:val="hybridMultilevel"/>
    <w:lvl w:ilvl="0">
      <w:lvlJc w:val="left"/>
      <w:lvlText w:val="%1."/>
      <w:numFmt w:val="decimal"/>
      <w:start w:val="6"/>
    </w:lvl>
  </w:abstractNum>
  <w:abstractNum w:abstractNumId="96">
    <w:nsid w:val="6FC75AF8"/>
    <w:multiLevelType w:val="hybridMultilevel"/>
    <w:lvl w:ilvl="0">
      <w:lvlJc w:val="left"/>
      <w:lvlText w:val="%1."/>
      <w:numFmt w:val="decimal"/>
      <w:start w:val="7"/>
    </w:lvl>
  </w:abstractNum>
  <w:abstractNum w:abstractNumId="97">
    <w:nsid w:val="6A5F7029"/>
    <w:multiLevelType w:val="hybridMultilevel"/>
    <w:lvl w:ilvl="0">
      <w:lvlJc w:val="left"/>
      <w:lvlText w:val="%1."/>
      <w:numFmt w:val="decimal"/>
      <w:start w:val="8"/>
    </w:lvl>
  </w:abstractNum>
  <w:abstractNum w:abstractNumId="98">
    <w:nsid w:val="7D5E18F8"/>
    <w:multiLevelType w:val="hybridMultilevel"/>
    <w:lvl w:ilvl="0">
      <w:lvlJc w:val="left"/>
      <w:lvlText w:val="%1."/>
      <w:numFmt w:val="decimal"/>
      <w:start w:val="9"/>
    </w:lvl>
  </w:abstractNum>
  <w:abstractNum w:abstractNumId="99">
    <w:nsid w:val="5F3534A4"/>
    <w:multiLevelType w:val="hybridMultilevel"/>
    <w:lvl w:ilvl="0">
      <w:lvlJc w:val="left"/>
      <w:lvlText w:val="%1."/>
      <w:numFmt w:val="decimal"/>
      <w:start w:val="10"/>
    </w:lvl>
  </w:abstractNum>
  <w:abstractNum w:abstractNumId="100">
    <w:nsid w:val="73A1821B"/>
    <w:multiLevelType w:val="hybridMultilevel"/>
    <w:lvl w:ilvl="0">
      <w:lvlJc w:val="left"/>
      <w:lvlText w:val="%1."/>
      <w:numFmt w:val="decimal"/>
      <w:start w:val="11"/>
    </w:lvl>
  </w:abstractNum>
  <w:abstractNum w:abstractNumId="101">
    <w:nsid w:val="7DE6771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2"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7"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5" Type="http://schemas.openxmlformats.org/officeDocument/2006/relationships/image" Target="media/image106.png"/><Relationship Id="rId138" Type="http://schemas.openxmlformats.org/officeDocument/2006/relationships/image" Target="media/image107.png"/><Relationship Id="rId148" Type="http://schemas.openxmlformats.org/officeDocument/2006/relationships/image" Target="media/image108.png"/><Relationship Id="rId159"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png"/><Relationship Id="rId176"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jpe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jpeg"/><Relationship Id="rId210" Type="http://schemas.openxmlformats.org/officeDocument/2006/relationships/image" Target="media/image149.png"/><Relationship Id="rId211" Type="http://schemas.openxmlformats.org/officeDocument/2006/relationships/image" Target="media/image150.jpeg"/><Relationship Id="rId212" Type="http://schemas.openxmlformats.org/officeDocument/2006/relationships/image" Target="media/image151.png"/><Relationship Id="rId213" Type="http://schemas.openxmlformats.org/officeDocument/2006/relationships/image" Target="media/image152.jpeg"/><Relationship Id="rId214" Type="http://schemas.openxmlformats.org/officeDocument/2006/relationships/image" Target="media/image153.png"/><Relationship Id="rId215" Type="http://schemas.openxmlformats.org/officeDocument/2006/relationships/image" Target="media/image154.png"/><Relationship Id="rId216" Type="http://schemas.openxmlformats.org/officeDocument/2006/relationships/image" Target="media/image155.png"/><Relationship Id="rId217" Type="http://schemas.openxmlformats.org/officeDocument/2006/relationships/image" Target="media/image156.png"/><Relationship Id="rId218" Type="http://schemas.openxmlformats.org/officeDocument/2006/relationships/image" Target="media/image157.png"/><Relationship Id="rId219" Type="http://schemas.openxmlformats.org/officeDocument/2006/relationships/image" Target="media/image158.png"/><Relationship Id="rId220" Type="http://schemas.openxmlformats.org/officeDocument/2006/relationships/image" Target="media/image159.png"/><Relationship Id="rId221" Type="http://schemas.openxmlformats.org/officeDocument/2006/relationships/image" Target="media/image160.png"/><Relationship Id="rId222" Type="http://schemas.openxmlformats.org/officeDocument/2006/relationships/image" Target="media/image161.png"/><Relationship Id="rId223" Type="http://schemas.openxmlformats.org/officeDocument/2006/relationships/image" Target="media/image162.jpeg"/><Relationship Id="rId224" Type="http://schemas.openxmlformats.org/officeDocument/2006/relationships/image" Target="media/image163.jpeg"/><Relationship Id="rId225" Type="http://schemas.openxmlformats.org/officeDocument/2006/relationships/image" Target="media/image164.png"/><Relationship Id="rId226" Type="http://schemas.openxmlformats.org/officeDocument/2006/relationships/image" Target="media/image165.png"/><Relationship Id="rId227" Type="http://schemas.openxmlformats.org/officeDocument/2006/relationships/image" Target="media/image166.png"/><Relationship Id="rId228" Type="http://schemas.openxmlformats.org/officeDocument/2006/relationships/image" Target="media/image167.png"/><Relationship Id="rId229" Type="http://schemas.openxmlformats.org/officeDocument/2006/relationships/image" Target="media/image168.png"/><Relationship Id="rId230" Type="http://schemas.openxmlformats.org/officeDocument/2006/relationships/image" Target="media/image169.png"/><Relationship Id="rId231" Type="http://schemas.openxmlformats.org/officeDocument/2006/relationships/image" Target="media/image170.png"/><Relationship Id="rId232" Type="http://schemas.openxmlformats.org/officeDocument/2006/relationships/image" Target="media/image171.png"/><Relationship Id="rId233" Type="http://schemas.openxmlformats.org/officeDocument/2006/relationships/image" Target="media/image172.png"/><Relationship Id="rId234" Type="http://schemas.openxmlformats.org/officeDocument/2006/relationships/image" Target="media/image173.png"/><Relationship Id="rId235" Type="http://schemas.openxmlformats.org/officeDocument/2006/relationships/image" Target="media/image174.png"/><Relationship Id="rId236" Type="http://schemas.openxmlformats.org/officeDocument/2006/relationships/image" Target="media/image175.png"/><Relationship Id="rId237" Type="http://schemas.openxmlformats.org/officeDocument/2006/relationships/image" Target="media/image176.png"/><Relationship Id="rId238" Type="http://schemas.openxmlformats.org/officeDocument/2006/relationships/image" Target="media/image177.png"/><Relationship Id="rId239" Type="http://schemas.openxmlformats.org/officeDocument/2006/relationships/image" Target="media/image178.png"/><Relationship Id="rId240" Type="http://schemas.openxmlformats.org/officeDocument/2006/relationships/image" Target="media/image179.png"/><Relationship Id="rId241" Type="http://schemas.openxmlformats.org/officeDocument/2006/relationships/image" Target="media/image180.png"/><Relationship Id="rId242" Type="http://schemas.openxmlformats.org/officeDocument/2006/relationships/image" Target="media/image181.png"/><Relationship Id="rId243" Type="http://schemas.openxmlformats.org/officeDocument/2006/relationships/image" Target="media/image182.png"/><Relationship Id="rId244" Type="http://schemas.openxmlformats.org/officeDocument/2006/relationships/image" Target="media/image183.png"/><Relationship Id="rId27" Type="http://schemas.openxmlformats.org/officeDocument/2006/relationships/hyperlink" Target="http://www.sec.gov/ix?doc=/Archives/edgar/data/1504619/000095017023068908/pflt-20230930.htm" TargetMode="External"/><Relationship Id="rId30" Type="http://schemas.openxmlformats.org/officeDocument/2006/relationships/hyperlink" Target="http://www.sec.gov/Archives/edgar/data/1504619/000095017023068908/pflt-20230930.htm" TargetMode="External"/><Relationship Id="rId31" Type="http://schemas.openxmlformats.org/officeDocument/2006/relationships/hyperlink" Target="http://www.sec.gov/Archives/edgar/data/1504619/000095017024055631/pflt-20240331.htm" TargetMode="External"/><Relationship Id="rId33" Type="http://schemas.openxmlformats.org/officeDocument/2006/relationships/hyperlink" Target="http://www.sec.gov/ix?doc=/Archives/edgar/data/1504619/000095017023068908/pflt-20230930.htm#item_1_business" TargetMode="External"/><Relationship Id="rId36" Type="http://schemas.openxmlformats.org/officeDocument/2006/relationships/hyperlink" Target="http://www.sec.gov/ix?doc=/Archives/edgar/data/1504619/000095017023068908/pflt-20230930.htm#item_5_market_for_registrants_common_equ" TargetMode="External"/><Relationship Id="rId38" Type="http://schemas.openxmlformats.org/officeDocument/2006/relationships/hyperlink" Target="http://www.sec.gov/ix?doc=/Archives/edgar/data/1504619/000095017024055631/pflt-20240331.htm" TargetMode="External"/><Relationship Id="rId70" Type="http://schemas.openxmlformats.org/officeDocument/2006/relationships/hyperlink" Target="http://www.sec.gov/Archives/edgar/data/1504619/000095017023070038/pflt-2024-def_14a.htm" TargetMode="External"/><Relationship Id="rId120" Type="http://schemas.openxmlformats.org/officeDocument/2006/relationships/hyperlink" Target="http://www.sec.gov/ix?doc=/Archives/edgar/data/1504619/000095017024012187/pflt-20231231.htm" TargetMode="External"/><Relationship Id="rId121" Type="http://schemas.openxmlformats.org/officeDocument/2006/relationships/hyperlink" Target="http://www.sec.gov/ix?doc=/Archives/edgar/data/1504619/000095017024045307/pflt-20240416.htm" TargetMode="External"/><Relationship Id="rId122" Type="http://schemas.openxmlformats.org/officeDocument/2006/relationships/hyperlink" Target="http://www.sec.gov/ix?doc=/Archives/edgar/data/1504619/000117184324002668/f8k_050824.htm" TargetMode="External"/><Relationship Id="rId123" Type="http://schemas.openxmlformats.org/officeDocument/2006/relationships/hyperlink" Target="http://www.sec.gov/Archives/edgar/data/1504619/000156459019043972/pflt-ex44_124.htm" TargetMode="External"/><Relationship Id="rId124" Type="http://schemas.openxmlformats.org/officeDocument/2006/relationships/hyperlink" Target="http://www.sec.gov/Archives/edgar/data/1504619/000119312511090965/d8a12b.htm" TargetMode="External"/><Relationship Id="rId126" Type="http://schemas.openxmlformats.org/officeDocument/2006/relationships/hyperlink" Target="http://www.sec.gov/Archives/edgar/data/1504619/000119312511080862/dex99a.htm" TargetMode="External"/><Relationship Id="rId127" Type="http://schemas.openxmlformats.org/officeDocument/2006/relationships/hyperlink" Target="http://www.sec.gov/Archives/edgar/data/1504619/000156459020024167/pflt-ex32_144.htm" TargetMode="External"/><Relationship Id="rId128" Type="http://schemas.openxmlformats.org/officeDocument/2006/relationships/hyperlink" Target="http://www.sec.gov/Archives/edgar/data/1504619/000119312511088977/dex99d.htm" TargetMode="External"/><Relationship Id="rId129" Type="http://schemas.openxmlformats.org/officeDocument/2006/relationships/hyperlink" Target="http://www.sec.gov/Archives/edgar/data/1504619/000119312512114062/d313491dex99d2.htm" TargetMode="External"/><Relationship Id="rId130" Type="http://schemas.openxmlformats.org/officeDocument/2006/relationships/hyperlink" Target="http://www.sec.gov/Archives/edgar/data/1504619/000119312512114062/d313491dex99d3.htm" TargetMode="External"/><Relationship Id="rId131" Type="http://schemas.openxmlformats.org/officeDocument/2006/relationships/hyperlink" Target="http://www.sec.gov/Archives/edgar/data/1504619/000119312512114062/d313491dex99d4.htm" TargetMode="External"/><Relationship Id="rId132" Type="http://schemas.openxmlformats.org/officeDocument/2006/relationships/hyperlink" Target="http://www.sec.gov/Archives/edgar/data/1504619/000119312512114062/d313491dex99d5.htm" TargetMode="External"/><Relationship Id="rId133" Type="http://schemas.openxmlformats.org/officeDocument/2006/relationships/hyperlink" Target="http://www.sec.gov/Archives/edgar/data/1504619/000119312524147057/d836080dex99d6.htm" TargetMode="External"/><Relationship Id="rId134" Type="http://schemas.openxmlformats.org/officeDocument/2006/relationships/hyperlink" Target="http://www.sec.gov/Archives/edgar/data/1504619/000119312512114062/d313491dex99d7.htm" TargetMode="External"/><Relationship Id="rId135" Type="http://schemas.openxmlformats.org/officeDocument/2006/relationships/hyperlink" Target="http://www.sec.gov/Archives/edgar/data/1504619/000119312519250688/d808045dex992.htm" TargetMode="External"/><Relationship Id="rId136" Type="http://schemas.openxmlformats.org/officeDocument/2006/relationships/hyperlink" Target="http://www.sec.gov/Archives/edgar/data/1504619/000119312521091350/d156339dex41.htm" TargetMode="External"/><Relationship Id="rId137" Type="http://schemas.openxmlformats.org/officeDocument/2006/relationships/hyperlink" Target="http://www.sec.gov/Archives/edgar/data/1504619/000119312521091350/d156339dex42.htm" TargetMode="External"/><Relationship Id="rId139" Type="http://schemas.openxmlformats.org/officeDocument/2006/relationships/hyperlink" Target="http://www.sec.gov/Archives/edgar/data/1504619/000119312512114062/d313491dex99h1.htm" TargetMode="External"/><Relationship Id="rId140" Type="http://schemas.openxmlformats.org/officeDocument/2006/relationships/hyperlink" Target="http://www.sec.gov/Archives/edgar/data/1504619/000119312512114062/d313491dex99h2.htm" TargetMode="External"/><Relationship Id="rId141" Type="http://schemas.openxmlformats.org/officeDocument/2006/relationships/hyperlink" Target="http://www.sec.gov/Archives/edgar/data/1504619/000119312523210695/d511427dex11.htm" TargetMode="External"/><Relationship Id="rId142" Type="http://schemas.openxmlformats.org/officeDocument/2006/relationships/hyperlink" Target="http://www.sec.gov/Archives/edgar/data/1504619/000119312523210695/d511427dex12.htm" TargetMode="External"/><Relationship Id="rId143" Type="http://schemas.openxmlformats.org/officeDocument/2006/relationships/hyperlink" Target="http://www.sec.gov/Archives/edgar/data/1504619/000119312523210695/d511427dex13.htm" TargetMode="External"/><Relationship Id="rId144" Type="http://schemas.openxmlformats.org/officeDocument/2006/relationships/hyperlink" Target="http://www.sec.gov/Archives/edgar/data/1504619/000119312521250566/d198449dex101.htm" TargetMode="External"/><Relationship Id="rId145" Type="http://schemas.openxmlformats.org/officeDocument/2006/relationships/hyperlink" Target="http://www.sec.gov/Archives/edgar/data/1504619/000119312521250566/d198449dex102.htm" TargetMode="External"/><Relationship Id="rId146" Type="http://schemas.openxmlformats.org/officeDocument/2006/relationships/hyperlink" Target="http://www.sec.gov/Archives/edgar/data/1504619/000156459017016504/pflt-ex101_78.htm" TargetMode="External"/><Relationship Id="rId147" Type="http://schemas.openxmlformats.org/officeDocument/2006/relationships/hyperlink" Target="http://www.sec.gov/Archives/edgar/data/1504619/000119312516775064/d290892dex106.htm" TargetMode="External"/><Relationship Id="rId149" Type="http://schemas.openxmlformats.org/officeDocument/2006/relationships/hyperlink" Target="http://www.sec.gov/Archives/edgar/data/1504619/000119312519250688/d808045dex993.htm" TargetMode="External"/><Relationship Id="rId150" Type="http://schemas.openxmlformats.org/officeDocument/2006/relationships/hyperlink" Target="http://www.sec.gov/Archives/edgar/data/1504619/000119312519250688/d808045dex994.htm" TargetMode="External"/><Relationship Id="rId151" Type="http://schemas.openxmlformats.org/officeDocument/2006/relationships/hyperlink" Target="http://www.sec.gov/Archives/edgar/data/1504619/000119312519250688/d808045dex995.htm" TargetMode="External"/><Relationship Id="rId152" Type="http://schemas.openxmlformats.org/officeDocument/2006/relationships/hyperlink" Target="http://www.sec.gov/Archives/edgar/data/1504619/000119312519250688/d808045dex996.htm" TargetMode="External"/><Relationship Id="rId153" Type="http://schemas.openxmlformats.org/officeDocument/2006/relationships/hyperlink" Target="http://www.sec.gov/Archives/edgar/data/1504619/000095017022016832/pflt-ex1_1.htm" TargetMode="External"/><Relationship Id="rId154" Type="http://schemas.openxmlformats.org/officeDocument/2006/relationships/hyperlink" Target="http://www.sec.gov/Archives/edgar/data/1504619/000095017022018730/pflt-ex10_1.htm" TargetMode="External"/><Relationship Id="rId155" Type="http://schemas.openxmlformats.org/officeDocument/2006/relationships/hyperlink" Target="http://www.sec.gov/Archives/edgar/data/1504619/000119312523016239/d451102dex11.htm" TargetMode="External"/><Relationship Id="rId156" Type="http://schemas.openxmlformats.org/officeDocument/2006/relationships/hyperlink" Target="http://www.sec.gov/Archives/edgar/data/1504619/000119312524047922/d620677dex101.htm" TargetMode="External"/><Relationship Id="rId157" Type="http://schemas.openxmlformats.org/officeDocument/2006/relationships/hyperlink" Target="http://www.sec.gov/Archives/edgar/data/1504619/000119312524047922/d620677dex102.htm" TargetMode="External"/><Relationship Id="rId158" Type="http://schemas.openxmlformats.org/officeDocument/2006/relationships/hyperlink" Target="http://www.sec.gov/Archives/edgar/data/1504619/000119312524047922/d620677dex103.htm" TargetMode="External"/><Relationship Id="rId160" Type="http://schemas.openxmlformats.org/officeDocument/2006/relationships/hyperlink" Target="http://www.sec.gov/Archives/edgar/data/1504619/000119312524047922/d620677dex104.htm" TargetMode="External"/><Relationship Id="rId161" Type="http://schemas.openxmlformats.org/officeDocument/2006/relationships/hyperlink" Target="http://www.sec.gov/Archives/edgar/data/1504619/000119312524147057/d836080dex99l1.htm" TargetMode="External"/><Relationship Id="rId162" Type="http://schemas.openxmlformats.org/officeDocument/2006/relationships/hyperlink" Target="http://www.sec.gov/Archives/edgar/data/1504619/000119312524147057/d836080dex99l2.htm" TargetMode="External"/><Relationship Id="rId163" Type="http://schemas.openxmlformats.org/officeDocument/2006/relationships/hyperlink" Target="http://www.sec.gov/Archives/edgar/data/1504619/000095017023068908/pflt-ex99_2.htm" TargetMode="External"/><Relationship Id="rId164" Type="http://schemas.openxmlformats.org/officeDocument/2006/relationships/hyperlink" Target="http://www.sec.gov/Archives/edgar/data/1504619/000095017023068908/pflt-ex14_1.htm" TargetMode="External"/><Relationship Id="rId165" Type="http://schemas.openxmlformats.org/officeDocument/2006/relationships/hyperlink" Target="http://www.sec.gov/Archives/edgar/data/1504619/000119312512114062/d313491dex99s1.htm" TargetMode="External"/><Relationship Id="rId166" Type="http://schemas.openxmlformats.org/officeDocument/2006/relationships/hyperlink" Target="http://www.sec.gov/Archives/edgar/data/1504619/000119312512114062/d313491dex99s2.htm" TargetMode="External"/><Relationship Id="rId167" Type="http://schemas.openxmlformats.org/officeDocument/2006/relationships/hyperlink" Target="http://www.sec.gov/Archives/edgar/data/1504619/000119312512114062/d313491dex99s3.htm" TargetMode="External"/><Relationship Id="rId168" Type="http://schemas.openxmlformats.org/officeDocument/2006/relationships/hyperlink" Target="http://www.sec.gov/Archives/edgar/data/1504619/000119312512114062/d313491dex99s4.htm" TargetMode="External"/><Relationship Id="rId169" Type="http://schemas.openxmlformats.org/officeDocument/2006/relationships/hyperlink" Target="http://www.sec.gov/Archives/edgar/data/1504619/000119312512114062/d313491dex99s5.htm" TargetMode="External"/><Relationship Id="rId170" Type="http://schemas.openxmlformats.org/officeDocument/2006/relationships/hyperlink" Target="http://www.sec.gov/Archives/edgar/data/1504619/000119312524147057/d836080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2024-06-21T15:29:35Z</dcterms:created>
  <dcterms:modified xsi:type="dcterms:W3CDTF">2024-06-21T15:29:35Z</dcterms:modified>
</cp:coreProperties>
</file>