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19, 2017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N-2</w:t>
            </w:r>
          </w:p>
        </w:tc>
      </w:tr>
      <w:tr>
        <w:trPr>
          <w:trHeight w:val="29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0001504619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30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PennantPark Floating Rate Capital Ltd.</w:t>
            </w:r>
          </w:p>
        </w:tc>
      </w:tr>
      <w:tr>
        <w:trPr>
          <w:trHeight w:val="245"/>
        </w:trPr>
        <w:tc>
          <w:tcPr>
            <w:tcW w:w="1960" w:type="dxa"/>
            <w:vAlign w:val="bottom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5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4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4"/>
                </w:rPr>
                <w:t>333-215111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4619" TargetMode="External"/><Relationship Id="rId9" Type="http://schemas.openxmlformats.org/officeDocument/2006/relationships/hyperlink" Target="http://www.sec.gov/cgi-bin/browse-edgar?action=getcompany&amp;filenum=333-2151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2019-12-07T13:50:33Z</dcterms:created>
  <dcterms:modified xsi:type="dcterms:W3CDTF">2019-12-07T13:50:33Z</dcterms:modified>
</cp:coreProperties>
</file>