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31750</wp:posOffset>
            </wp:positionV>
            <wp:extent cx="4029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6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CURRENT REPORT</w:t>
      </w:r>
    </w:p>
    <w:p>
      <w:pPr>
        <w:spacing w:after="0" w:line="15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Date of Report: January 16, 2025</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8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9" w:lineRule="exact"/>
        <w:rPr>
          <w:sz w:val="24"/>
          <w:szCs w:val="24"/>
          <w:color w:val="auto"/>
        </w:rPr>
      </w:pPr>
    </w:p>
    <w:tbl>
      <w:tblPr>
        <w:tblLayout w:type="fixed"/>
        <w:tblInd w:w="2300" w:type="dxa"/>
        <w:tblCellMar>
          <w:top w:w="0" w:type="dxa"/>
          <w:left w:w="0" w:type="dxa"/>
          <w:bottom w:w="0" w:type="dxa"/>
          <w:right w:w="0" w:type="dxa"/>
        </w:tblCellMar>
      </w:tblPr>
      <w:tr>
        <w:trPr>
          <w:trHeight w:val="220"/>
        </w:trPr>
        <w:tc>
          <w:tcPr>
            <w:tcW w:w="22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814-00891</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27-3794690</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Number)</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385"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3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1691 Michigan Avenue</w:t>
            </w:r>
          </w:p>
        </w:tc>
        <w:tc>
          <w:tcPr>
            <w:tcW w:w="34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112"/>
        </w:trPr>
        <w:tc>
          <w:tcPr>
            <w:tcW w:w="30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3420" w:type="dxa"/>
            <w:vAlign w:val="bottom"/>
            <w:vMerge w:val="restart"/>
          </w:tcPr>
          <w:p>
            <w:pPr>
              <w:jc w:val="center"/>
              <w:ind w:left="25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3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4"/>
        </w:trPr>
        <w:tc>
          <w:tcPr>
            <w:tcW w:w="3080" w:type="dxa"/>
            <w:vAlign w:val="bottom"/>
          </w:tcPr>
          <w:p>
            <w:pPr>
              <w:spacing w:after="0"/>
              <w:rPr>
                <w:sz w:val="24"/>
                <w:szCs w:val="24"/>
                <w:color w:val="auto"/>
              </w:rPr>
            </w:pPr>
          </w:p>
        </w:tc>
        <w:tc>
          <w:tcPr>
            <w:tcW w:w="342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786-297-9500</w:t>
            </w:r>
          </w:p>
        </w:tc>
        <w:tc>
          <w:tcPr>
            <w:tcW w:w="0" w:type="dxa"/>
            <w:vAlign w:val="bottom"/>
          </w:tcPr>
          <w:p>
            <w:pPr>
              <w:spacing w:after="0"/>
              <w:rPr>
                <w:sz w:val="1"/>
                <w:szCs w:val="1"/>
                <w:color w:val="auto"/>
              </w:rPr>
            </w:pPr>
          </w:p>
        </w:tc>
      </w:tr>
      <w:tr>
        <w:trPr>
          <w:trHeight w:val="234"/>
        </w:trPr>
        <w:tc>
          <w:tcPr>
            <w:tcW w:w="65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3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9"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980" w:firstLine="8"/>
        <w:spacing w:after="0" w:line="420" w:lineRule="auto"/>
        <w:tabs>
          <w:tab w:leader="none" w:pos="20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4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1222"/>
        </w:trPr>
        <w:tc>
          <w:tcPr>
            <w:tcW w:w="41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Wingdings" w:cs="Wingdings" w:eastAsia="Wingdings" w:hAnsi="Wingdings"/>
          <w:sz w:val="18"/>
          <w:szCs w:val="18"/>
          <w:b w:val="1"/>
          <w:bCs w:val="1"/>
          <w:color w:val="auto"/>
        </w:rPr>
        <w: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Highlights and Preliminary Estimates of Results as of December 31, 2024</w:t>
      </w:r>
    </w:p>
    <w:p>
      <w:pPr>
        <w:spacing w:after="0" w:line="31" w:lineRule="exact"/>
        <w:rPr>
          <w:sz w:val="20"/>
          <w:szCs w:val="20"/>
          <w:color w:val="auto"/>
        </w:rPr>
      </w:pPr>
    </w:p>
    <w:p>
      <w:pPr>
        <w:ind w:left="20" w:right="380"/>
        <w:spacing w:after="0" w:line="260" w:lineRule="auto"/>
        <w:rPr>
          <w:sz w:val="20"/>
          <w:szCs w:val="20"/>
          <w:color w:val="auto"/>
        </w:rPr>
      </w:pPr>
      <w:r>
        <w:rPr>
          <w:rFonts w:ascii="Times New Roman" w:cs="Times New Roman" w:eastAsia="Times New Roman" w:hAnsi="Times New Roman"/>
          <w:sz w:val="18"/>
          <w:szCs w:val="18"/>
          <w:color w:val="auto"/>
        </w:rPr>
        <w:t>On January 16, 2025, PennantPark Floating Rate Capital Ltd. (the “Company”) announced certain highlights and preliminary estimates of its financial results for the quarter ended December 31, 2024.</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Highlights:</w:t>
      </w:r>
    </w:p>
    <w:p>
      <w:pPr>
        <w:spacing w:after="0" w:line="333" w:lineRule="exact"/>
        <w:rPr>
          <w:sz w:val="20"/>
          <w:szCs w:val="20"/>
          <w:color w:val="auto"/>
        </w:rPr>
      </w:pPr>
    </w:p>
    <w:p>
      <w:pPr>
        <w:jc w:val="both"/>
        <w:ind w:left="980" w:hanging="518"/>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Company, upsized its multi-currency senior secured revolving credit facility with Truist Bank, as administrative agent, and other lenders (the “Credit Facility”) commitments to $736 million from $636 million; pricing on the Credit Facility remained unchanged at SOFR plus 225 basis points.</w:t>
      </w:r>
    </w:p>
    <w:p>
      <w:pPr>
        <w:spacing w:after="0" w:line="67" w:lineRule="exact"/>
        <w:rPr>
          <w:rFonts w:ascii="Times New Roman" w:cs="Times New Roman" w:eastAsia="Times New Roman" w:hAnsi="Times New Roman"/>
          <w:sz w:val="18"/>
          <w:szCs w:val="18"/>
          <w:color w:val="auto"/>
        </w:rPr>
      </w:pPr>
    </w:p>
    <w:p>
      <w:pPr>
        <w:jc w:val="both"/>
        <w:ind w:left="980" w:hanging="518"/>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committed to invest an additional $87.5 million in PennantPark Senior Secured Loan Fund I LLC (“PSSL”or the “JV”) and its JV partner also committed to invest an additional $12.5 million of capital. In conjunction with increased leverage capacity at PSSL, the $100 million investment will expand the JV’s total investment capacity to $1.5 billion, representing a nearly $500 million increase.</w:t>
      </w:r>
    </w:p>
    <w:p>
      <w:pPr>
        <w:spacing w:after="0" w:line="67" w:lineRule="exact"/>
        <w:rPr>
          <w:rFonts w:ascii="Times New Roman" w:cs="Times New Roman" w:eastAsia="Times New Roman" w:hAnsi="Times New Roman"/>
          <w:sz w:val="18"/>
          <w:szCs w:val="18"/>
          <w:color w:val="auto"/>
        </w:rPr>
      </w:pPr>
    </w:p>
    <w:p>
      <w:pPr>
        <w:jc w:val="both"/>
        <w:ind w:left="980" w:hanging="518"/>
        <w:spacing w:after="0" w:line="25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in New MPE Holdings, LLC (Marketplace Events) was realized during the quarter. This investment represented 11.3% of the equity portfolio, excluding the investment in PSSL, at September 30, 2024. In addition, in connection with the payoff of the Marketplace Events, LLC debt, the company recognized approximately $3.8 million of one-time non-recurring income related to accelerated amortization income associated with the early repayment of the loan. The equity position was valued at $20.1 million at September 30, 2024. In connection with the sale, we received $20.6 million in cash proceeds and anticipate receiving approximately $4.9 million of additional escrow proceeds in the future in connection with the terms of the sale.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Preliminary estimates:</w:t>
      </w:r>
    </w:p>
    <w:p>
      <w:pPr>
        <w:spacing w:after="0" w:line="333" w:lineRule="exact"/>
        <w:rPr>
          <w:sz w:val="20"/>
          <w:szCs w:val="20"/>
          <w:color w:val="auto"/>
        </w:rPr>
      </w:pPr>
    </w:p>
    <w:p>
      <w:pPr>
        <w:ind w:left="980" w:right="20" w:hanging="518"/>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estimated to be between $11.33 and $11.38 per common share at December 31, 2024. This compares to a net asset value per common share of $11.31 at September 30, 2024.</w:t>
      </w:r>
    </w:p>
    <w:p>
      <w:pPr>
        <w:spacing w:after="0" w:line="53" w:lineRule="exact"/>
        <w:rPr>
          <w:rFonts w:ascii="Times New Roman" w:cs="Times New Roman" w:eastAsia="Times New Roman" w:hAnsi="Times New Roman"/>
          <w:sz w:val="18"/>
          <w:szCs w:val="18"/>
          <w:color w:val="auto"/>
        </w:rPr>
      </w:pPr>
    </w:p>
    <w:p>
      <w:pPr>
        <w:ind w:left="980" w:right="80" w:hanging="518"/>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is estimated to be between $0.36 and $0.38 per common share for the quarter ended December 31, 2024 and includes approximately $0.04 per common share of one-time non-recurring income related to accelerated amortization income associated with the early repayment of one of our loans, net of the impact on incentive fees. This compares to net investment income of $0.24 per common share for the quarter ended September 30, 2024.</w:t>
      </w:r>
    </w:p>
    <w:p>
      <w:pPr>
        <w:spacing w:after="0" w:line="71" w:lineRule="exact"/>
        <w:rPr>
          <w:rFonts w:ascii="Times New Roman" w:cs="Times New Roman" w:eastAsia="Times New Roman" w:hAnsi="Times New Roman"/>
          <w:sz w:val="18"/>
          <w:szCs w:val="18"/>
          <w:color w:val="auto"/>
        </w:rPr>
      </w:pPr>
    </w:p>
    <w:p>
      <w:pPr>
        <w:ind w:left="980" w:right="80" w:hanging="518"/>
        <w:spacing w:after="0" w:line="23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net investment income is estimated to be between $0.32 and $0.34 per common share for the quarter ended December 31, 2024 and excludes approximately $0.04 per common share of one-time non-recurring income related to accelerated amortization income associated with the early repayment of one of our loans, net of the impact on incentive fees.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This compares to core net investment income of $0.32 per common share for the quarter ended September 30, 2024.</w:t>
      </w:r>
    </w:p>
    <w:p>
      <w:pPr>
        <w:spacing w:after="0" w:line="90" w:lineRule="exact"/>
        <w:rPr>
          <w:rFonts w:ascii="Times New Roman" w:cs="Times New Roman" w:eastAsia="Times New Roman" w:hAnsi="Times New Roman"/>
          <w:sz w:val="18"/>
          <w:szCs w:val="18"/>
          <w:color w:val="auto"/>
        </w:rPr>
      </w:pPr>
    </w:p>
    <w:p>
      <w:pPr>
        <w:ind w:left="980" w:hanging="51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portfolio at fair value was $2.20 billion, compared to $1.98 billion as of September 30, 2024.</w:t>
      </w:r>
    </w:p>
    <w:p>
      <w:pPr>
        <w:spacing w:after="0" w:line="117" w:lineRule="exact"/>
        <w:rPr>
          <w:rFonts w:ascii="Times New Roman" w:cs="Times New Roman" w:eastAsia="Times New Roman" w:hAnsi="Times New Roman"/>
          <w:sz w:val="18"/>
          <w:szCs w:val="18"/>
          <w:color w:val="auto"/>
        </w:rPr>
      </w:pPr>
    </w:p>
    <w:p>
      <w:pPr>
        <w:ind w:left="980" w:right="220" w:hanging="518"/>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there were two loans on non-accrual representing 0.4% of the portfolio at cost and 0.1% at fair market value versus two loans on non-accrual at September 30, 2024 representing 0.4% of the portfolio at cost and 0.2% at fair market value.</w:t>
      </w:r>
    </w:p>
    <w:p>
      <w:pPr>
        <w:spacing w:after="0" w:line="53" w:lineRule="exact"/>
        <w:rPr>
          <w:rFonts w:ascii="Times New Roman" w:cs="Times New Roman" w:eastAsia="Times New Roman" w:hAnsi="Times New Roman"/>
          <w:sz w:val="18"/>
          <w:szCs w:val="18"/>
          <w:color w:val="auto"/>
        </w:rPr>
      </w:pPr>
    </w:p>
    <w:p>
      <w:pPr>
        <w:ind w:left="980" w:right="100" w:hanging="518"/>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had approximately $1.3 billion of total debt consisting of, $608.9 million of borrowings outstanding at cost under the Company’s Credit Facility, $185.0 million in aggregate principal amount of 4.25% Notes due 2026 outstanding, $266.0 million in aggregate principal amount of asset-backed debt consisting of various notes due in July 2036, and $287.0 million in aggregate principal amount of asset-backed debt consisting of various notes due in April 2036.</w:t>
      </w:r>
    </w:p>
    <w:p>
      <w:pPr>
        <w:spacing w:after="0" w:line="71" w:lineRule="exact"/>
        <w:rPr>
          <w:rFonts w:ascii="Times New Roman" w:cs="Times New Roman" w:eastAsia="Times New Roman" w:hAnsi="Times New Roman"/>
          <w:sz w:val="18"/>
          <w:szCs w:val="18"/>
          <w:color w:val="auto"/>
        </w:rPr>
      </w:pPr>
    </w:p>
    <w:p>
      <w:pPr>
        <w:ind w:left="980" w:right="180" w:hanging="518"/>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we had approximately $102.3 million in cash and approximately $127.2 million in unused capacity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ind w:right="260"/>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December 31, 2024. Final results may differ materially from these estimates as a result of the completion of the Company’s financial closing procedures, as well as any subsequent events, including the discovery of information affecting fair values of the Company’s portfolio investments as of December 31, 2024, arising between the date hereof and the completion of the Company’s financial statements and the filing of the Company’s Form 10-Q for the quarter then ended.</w:t>
      </w:r>
    </w:p>
    <w:p>
      <w:pPr>
        <w:spacing w:after="0" w:line="1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Supplemental information regarding core net investment income</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2024, Core NII excluded: i) $3.8 million or $0.05 per share of income related to accelerated amortization income associated with the early repayment of one of our loans, and ii) an add-back of $0.8 million or $0.01 per share of incentive fee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557530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60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January 16, 2025</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T. Allorto, Jr.</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953135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188" w:right="4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2025-01-16T15:23:07Z</dcterms:created>
  <dcterms:modified xsi:type="dcterms:W3CDTF">2025-01-16T15:23:07Z</dcterms:modified>
</cp:coreProperties>
</file>