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0323.htm"/>
      <w:bookmarkStart w:id="1" w:name="ksf8k_1003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3,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October 3, 2023, PennantPark Floating Rate Capital Ltd.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October 3, 2023</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199" w:type="dxa"/>
        <w:jc w:val="left"/>
        <w:tblInd w:w="0" w:type="dxa"/>
        <w:tblLayout w:type="fixed"/>
        <w:tblCellMar>
          <w:top w:w="0" w:type="dxa"/>
          <w:left w:w="0" w:type="dxa"/>
          <w:bottom w:w="0" w:type="dxa"/>
          <w:right w:w="0" w:type="dxa"/>
        </w:tblCellMar>
      </w:tblPr>
      <w:tblGrid>
        <w:gridCol w:w="1805"/>
        <w:gridCol w:w="383"/>
        <w:gridCol w:w="3011"/>
      </w:tblGrid>
      <w:tr>
        <w:trPr/>
        <w:tc>
          <w:tcPr>
            <w:tcW w:w="180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3, 2023</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Oct. 03, 2023 (GLOBE NEWSWIRE) -- PennantPark Floating Rate Capital Ltd. (the "Company") (NYSE: PFLT) (TASE: PFLT) declares its monthly distribution for October 2023 of $0.1025 per share, payable on November 1, 2023 to stockholders of record as of October 17,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jc w:val="both"/>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7616</Characters>
  <CharactersWithSpaces>8898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