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182880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499"/>
        <w:spacing w:after="0"/>
        <w:rPr>
          <w:sz w:val="20"/>
          <w:szCs w:val="20"/>
          <w:color w:val="auto"/>
        </w:rPr>
      </w:pPr>
      <w:r>
        <w:rPr>
          <w:rFonts w:ascii="Arial" w:cs="Arial" w:eastAsia="Arial" w:hAnsi="Arial"/>
          <w:sz w:val="32"/>
          <w:szCs w:val="32"/>
          <w:b w:val="1"/>
          <w:bCs w:val="1"/>
          <w:color w:val="auto"/>
        </w:rPr>
        <w:t>SECURITIES AND EXCHANGE COMMISSION</w:t>
      </w:r>
    </w:p>
    <w:p>
      <w:pPr>
        <w:ind w:left="45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184150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203835</wp:posOffset>
            </wp:positionV>
            <wp:extent cx="14916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4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February 26, 2013</w:t>
      </w:r>
    </w:p>
    <w:p>
      <w:pPr>
        <w:spacing w:after="0" w:line="14" w:lineRule="exact"/>
        <w:rPr>
          <w:sz w:val="24"/>
          <w:szCs w:val="24"/>
          <w:color w:val="auto"/>
        </w:rPr>
      </w:pPr>
    </w:p>
    <w:p>
      <w:pPr>
        <w:jc w:val="center"/>
        <w:ind w:right="-49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175895</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389" w:lineRule="exact"/>
        <w:rPr>
          <w:sz w:val="24"/>
          <w:szCs w:val="24"/>
          <w:color w:val="auto"/>
        </w:rPr>
      </w:pPr>
    </w:p>
    <w:p>
      <w:pPr>
        <w:jc w:val="center"/>
        <w:ind w:right="-49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54"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190500</wp:posOffset>
            </wp:positionV>
            <wp:extent cx="1491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40" w:type="dxa"/>
        <w:tblCellMar>
          <w:top w:w="0" w:type="dxa"/>
          <w:left w:w="0" w:type="dxa"/>
          <w:bottom w:w="0" w:type="dxa"/>
          <w:right w:w="0" w:type="dxa"/>
        </w:tblCellMar>
      </w:tblPr>
      <w:tr>
        <w:trPr>
          <w:trHeight w:val="218"/>
        </w:trPr>
        <w:tc>
          <w:tcPr>
            <w:tcW w:w="3140" w:type="dxa"/>
            <w:vAlign w:val="bottom"/>
          </w:tcPr>
          <w:p>
            <w:pPr>
              <w:jc w:val="center"/>
              <w:ind w:right="1526"/>
              <w:spacing w:after="0"/>
              <w:rPr>
                <w:sz w:val="20"/>
                <w:szCs w:val="20"/>
                <w:color w:val="auto"/>
              </w:rPr>
            </w:pPr>
            <w:r>
              <w:rPr>
                <w:rFonts w:ascii="Arial" w:cs="Arial" w:eastAsia="Arial" w:hAnsi="Arial"/>
                <w:sz w:val="18"/>
                <w:szCs w:val="18"/>
                <w:b w:val="1"/>
                <w:bCs w:val="1"/>
                <w:color w:val="auto"/>
                <w:w w:val="93"/>
              </w:rPr>
              <w:t>Maryland</w:t>
            </w:r>
          </w:p>
        </w:tc>
        <w:tc>
          <w:tcPr>
            <w:tcW w:w="3780" w:type="dxa"/>
            <w:vAlign w:val="bottom"/>
          </w:tcPr>
          <w:p>
            <w:pPr>
              <w:ind w:left="1620"/>
              <w:spacing w:after="0"/>
              <w:rPr>
                <w:sz w:val="20"/>
                <w:szCs w:val="20"/>
                <w:color w:val="auto"/>
              </w:rPr>
            </w:pPr>
            <w:r>
              <w:rPr>
                <w:rFonts w:ascii="Arial" w:cs="Arial" w:eastAsia="Arial" w:hAnsi="Arial"/>
                <w:sz w:val="18"/>
                <w:szCs w:val="18"/>
                <w:b w:val="1"/>
                <w:bCs w:val="1"/>
                <w:color w:val="auto"/>
              </w:rPr>
              <w:t>814-00891</w:t>
            </w:r>
          </w:p>
        </w:tc>
        <w:tc>
          <w:tcPr>
            <w:tcW w:w="2460" w:type="dxa"/>
            <w:vAlign w:val="bottom"/>
          </w:tcPr>
          <w:p>
            <w:pPr>
              <w:jc w:val="center"/>
              <w:ind w:left="1306"/>
              <w:spacing w:after="0"/>
              <w:rPr>
                <w:sz w:val="20"/>
                <w:szCs w:val="20"/>
                <w:color w:val="auto"/>
              </w:rPr>
            </w:pPr>
            <w:r>
              <w:rPr>
                <w:rFonts w:ascii="Arial" w:cs="Arial" w:eastAsia="Arial" w:hAnsi="Arial"/>
                <w:sz w:val="18"/>
                <w:szCs w:val="18"/>
                <w:b w:val="1"/>
                <w:bCs w:val="1"/>
                <w:color w:val="auto"/>
                <w:w w:val="87"/>
              </w:rPr>
              <w:t>27-3794690</w:t>
            </w:r>
          </w:p>
        </w:tc>
      </w:tr>
      <w:tr>
        <w:trPr>
          <w:trHeight w:val="148"/>
        </w:trPr>
        <w:tc>
          <w:tcPr>
            <w:tcW w:w="3140" w:type="dxa"/>
            <w:vAlign w:val="bottom"/>
          </w:tcPr>
          <w:p>
            <w:pPr>
              <w:jc w:val="center"/>
              <w:ind w:right="1526"/>
              <w:spacing w:after="0"/>
              <w:rPr>
                <w:sz w:val="20"/>
                <w:szCs w:val="20"/>
                <w:color w:val="auto"/>
              </w:rPr>
            </w:pPr>
            <w:r>
              <w:rPr>
                <w:rFonts w:ascii="Arial" w:cs="Arial" w:eastAsia="Arial" w:hAnsi="Arial"/>
                <w:sz w:val="13"/>
                <w:szCs w:val="13"/>
                <w:b w:val="1"/>
                <w:bCs w:val="1"/>
                <w:color w:val="auto"/>
                <w:w w:val="94"/>
              </w:rPr>
              <w:t>(State or other jurisdiction</w:t>
            </w:r>
          </w:p>
        </w:tc>
        <w:tc>
          <w:tcPr>
            <w:tcW w:w="3780" w:type="dxa"/>
            <w:vAlign w:val="bottom"/>
          </w:tcPr>
          <w:p>
            <w:pPr>
              <w:ind w:left="1620"/>
              <w:spacing w:after="0"/>
              <w:rPr>
                <w:sz w:val="20"/>
                <w:szCs w:val="20"/>
                <w:color w:val="auto"/>
              </w:rPr>
            </w:pPr>
            <w:r>
              <w:rPr>
                <w:rFonts w:ascii="Arial" w:cs="Arial" w:eastAsia="Arial" w:hAnsi="Arial"/>
                <w:sz w:val="13"/>
                <w:szCs w:val="13"/>
                <w:b w:val="1"/>
                <w:bCs w:val="1"/>
                <w:color w:val="auto"/>
              </w:rPr>
              <w:t>(Commission</w:t>
            </w:r>
          </w:p>
        </w:tc>
        <w:tc>
          <w:tcPr>
            <w:tcW w:w="2460" w:type="dxa"/>
            <w:vAlign w:val="bottom"/>
          </w:tcPr>
          <w:p>
            <w:pPr>
              <w:jc w:val="center"/>
              <w:ind w:left="1306"/>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140" w:type="dxa"/>
            <w:vAlign w:val="bottom"/>
          </w:tcPr>
          <w:p>
            <w:pPr>
              <w:jc w:val="center"/>
              <w:ind w:right="1526"/>
              <w:spacing w:after="0"/>
              <w:rPr>
                <w:sz w:val="20"/>
                <w:szCs w:val="20"/>
                <w:color w:val="auto"/>
              </w:rPr>
            </w:pPr>
            <w:r>
              <w:rPr>
                <w:rFonts w:ascii="Arial" w:cs="Arial" w:eastAsia="Arial" w:hAnsi="Arial"/>
                <w:sz w:val="13"/>
                <w:szCs w:val="13"/>
                <w:b w:val="1"/>
                <w:bCs w:val="1"/>
                <w:color w:val="auto"/>
                <w:w w:val="94"/>
              </w:rPr>
              <w:t>of incorporation)</w:t>
            </w:r>
          </w:p>
        </w:tc>
        <w:tc>
          <w:tcPr>
            <w:tcW w:w="3780" w:type="dxa"/>
            <w:vAlign w:val="bottom"/>
          </w:tcPr>
          <w:p>
            <w:pPr>
              <w:ind w:left="1600"/>
              <w:spacing w:after="0"/>
              <w:rPr>
                <w:sz w:val="20"/>
                <w:szCs w:val="20"/>
                <w:color w:val="auto"/>
              </w:rPr>
            </w:pPr>
            <w:r>
              <w:rPr>
                <w:rFonts w:ascii="Arial" w:cs="Arial" w:eastAsia="Arial" w:hAnsi="Arial"/>
                <w:sz w:val="13"/>
                <w:szCs w:val="13"/>
                <w:b w:val="1"/>
                <w:bCs w:val="1"/>
                <w:color w:val="auto"/>
              </w:rPr>
              <w:t>File Number)</w:t>
            </w:r>
          </w:p>
        </w:tc>
        <w:tc>
          <w:tcPr>
            <w:tcW w:w="2460" w:type="dxa"/>
            <w:vAlign w:val="bottom"/>
          </w:tcPr>
          <w:p>
            <w:pPr>
              <w:jc w:val="center"/>
              <w:ind w:left="1326"/>
              <w:spacing w:after="0"/>
              <w:rPr>
                <w:sz w:val="20"/>
                <w:szCs w:val="20"/>
                <w:color w:val="auto"/>
              </w:rPr>
            </w:pPr>
            <w:r>
              <w:rPr>
                <w:rFonts w:ascii="Arial" w:cs="Arial" w:eastAsia="Arial" w:hAnsi="Arial"/>
                <w:sz w:val="13"/>
                <w:szCs w:val="13"/>
                <w:b w:val="1"/>
                <w:bCs w:val="1"/>
                <w:color w:val="auto"/>
                <w:w w:val="96"/>
              </w:rPr>
              <w:t>Identification No.)</w:t>
            </w:r>
          </w:p>
        </w:tc>
      </w:tr>
    </w:tbl>
    <w:p>
      <w:pPr>
        <w:spacing w:after="0" w:line="200" w:lineRule="exact"/>
        <w:rPr>
          <w:sz w:val="24"/>
          <w:szCs w:val="24"/>
          <w:color w:val="auto"/>
        </w:rPr>
      </w:pPr>
    </w:p>
    <w:p>
      <w:pPr>
        <w:sectPr>
          <w:pgSz w:w="11900" w:h="16838" w:orient="portrait"/>
          <w:cols w:equalWidth="0" w:num="1">
            <w:col w:w="10740"/>
          </w:cols>
          <w:pgMar w:left="320" w:top="314" w:right="839" w:bottom="1440" w:gutter="0" w:footer="0" w:header="0"/>
        </w:sectPr>
      </w:pPr>
    </w:p>
    <w:p>
      <w:pPr>
        <w:spacing w:after="0" w:line="2" w:lineRule="exact"/>
        <w:rPr>
          <w:sz w:val="24"/>
          <w:szCs w:val="24"/>
          <w:color w:val="auto"/>
        </w:rPr>
      </w:pPr>
    </w:p>
    <w:p>
      <w:pPr>
        <w:jc w:val="center"/>
        <w:ind w:right="980"/>
        <w:spacing w:after="0"/>
        <w:rPr>
          <w:sz w:val="20"/>
          <w:szCs w:val="20"/>
          <w:color w:val="auto"/>
        </w:rPr>
      </w:pPr>
      <w:r>
        <w:rPr>
          <w:rFonts w:ascii="Arial" w:cs="Arial" w:eastAsia="Arial" w:hAnsi="Arial"/>
          <w:sz w:val="15"/>
          <w:szCs w:val="15"/>
          <w:b w:val="1"/>
          <w:bCs w:val="1"/>
          <w:color w:val="auto"/>
        </w:rPr>
        <w:t>590 Madison Avenue, 15th Floor,</w:t>
      </w:r>
    </w:p>
    <w:p>
      <w:pPr>
        <w:spacing w:after="0" w:line="56"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10022</w:t>
      </w:r>
    </w:p>
    <w:p>
      <w:pPr>
        <w:spacing w:after="0" w:line="56" w:lineRule="exact"/>
        <w:rPr>
          <w:sz w:val="24"/>
          <w:szCs w:val="24"/>
          <w:color w:val="auto"/>
        </w:rPr>
      </w:pPr>
    </w:p>
    <w:p>
      <w:pPr>
        <w:sectPr>
          <w:pgSz w:w="11900" w:h="16838" w:orient="portrait"/>
          <w:cols w:equalWidth="0" w:num="2">
            <w:col w:w="9040" w:space="720"/>
            <w:col w:w="980"/>
          </w:cols>
          <w:pgMar w:left="320" w:top="314" w:right="839" w:bottom="1440" w:gutter="0" w:footer="0" w:header="0"/>
          <w:type w:val="continuous"/>
        </w:sectPr>
      </w:pPr>
    </w:p>
    <w:p>
      <w:pPr>
        <w:ind w:left="292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8960" w:space="720"/>
            <w:col w:w="1060"/>
          </w:cols>
          <w:pgMar w:left="320" w:top="314" w:right="839" w:bottom="1440" w:gutter="0" w:footer="0" w:header="0"/>
          <w:type w:val="continuous"/>
        </w:sectPr>
      </w:pPr>
    </w:p>
    <w:p>
      <w:pPr>
        <w:jc w:val="center"/>
        <w:ind w:right="-499"/>
        <w:spacing w:after="0"/>
        <w:rPr>
          <w:sz w:val="20"/>
          <w:szCs w:val="20"/>
          <w:color w:val="auto"/>
        </w:rPr>
      </w:pPr>
      <w:r>
        <w:rPr>
          <w:rFonts w:ascii="Arial" w:cs="Arial" w:eastAsia="Arial" w:hAnsi="Arial"/>
          <w:sz w:val="18"/>
          <w:szCs w:val="18"/>
          <w:b w:val="1"/>
          <w:bCs w:val="1"/>
          <w:color w:val="auto"/>
        </w:rPr>
        <w:t>212-905-1000</w:t>
      </w:r>
    </w:p>
    <w:p>
      <w:pPr>
        <w:spacing w:after="0" w:line="21" w:lineRule="exact"/>
        <w:rPr>
          <w:sz w:val="24"/>
          <w:szCs w:val="24"/>
          <w:color w:val="auto"/>
        </w:rPr>
      </w:pPr>
    </w:p>
    <w:p>
      <w:pPr>
        <w:jc w:val="center"/>
        <w:ind w:right="-49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49" w:lineRule="exact"/>
        <w:rPr>
          <w:sz w:val="24"/>
          <w:szCs w:val="24"/>
          <w:color w:val="auto"/>
        </w:rPr>
      </w:pPr>
    </w:p>
    <w:p>
      <w:pPr>
        <w:jc w:val="center"/>
        <w:ind w:right="-4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84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187960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ind w:firstLine="449"/>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40"/>
          </w:cols>
          <w:pgMar w:left="320" w:top="314" w:right="839" w:bottom="1440" w:gutter="0" w:footer="0" w:header="0"/>
          <w:type w:val="continuous"/>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February 26, 2013, PennantPark Floating Rate Capital Ltd. (the “Company”) reconvened the special meeting of stockholders to consider one proposal as described in detail in the Company’s definitive proxy statement filed with the Securities and Exchange Commission on December 7, 2012. As of December 12, 2012, the record date, 6,850,667 shares of common stock were eligible to vote. A summary of the matter voted upon by the stockholders is set forth below.</w:t>
      </w:r>
    </w:p>
    <w:p>
      <w:pPr>
        <w:spacing w:after="0" w:line="100"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Due to the absence of a quorum, the Company’s stockholders did not approve a proposal to authorize flexibility for the Company,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 of its Board of Directors, to sell shares of its common stock during the next 12 months at a price below its then current net asset value per share subject to certain limitations as described the proxy statement.</w:t>
      </w:r>
    </w:p>
    <w:p>
      <w:pPr>
        <w:sectPr>
          <w:pgSz w:w="11900" w:h="16838" w:orient="portrait"/>
          <w:cols w:equalWidth="0" w:num="1">
            <w:col w:w="11200"/>
          </w:cols>
          <w:pgMar w:left="320" w:top="274" w:right="37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w:t>
      </w:r>
    </w:p>
    <w:p>
      <w:pPr>
        <w:spacing w:after="0" w:line="177" w:lineRule="exact"/>
        <w:rPr>
          <w:sz w:val="20"/>
          <w:szCs w:val="20"/>
          <w:color w:val="auto"/>
        </w:rPr>
      </w:pPr>
    </w:p>
    <w:p>
      <w:pPr>
        <w:ind w:firstLine="449"/>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p>
      <w:pPr>
        <w:ind w:left="69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31" w:lineRule="exact"/>
        <w:rPr>
          <w:sz w:val="20"/>
          <w:szCs w:val="20"/>
          <w:color w:val="auto"/>
        </w:rPr>
      </w:pPr>
    </w:p>
    <w:p>
      <w:pPr>
        <w:spacing w:after="0"/>
        <w:tabs>
          <w:tab w:leader="none" w:pos="7860" w:val="left"/>
        </w:tabs>
        <w:rPr>
          <w:sz w:val="20"/>
          <w:szCs w:val="20"/>
          <w:color w:val="auto"/>
        </w:rPr>
      </w:pPr>
      <w:r>
        <w:rPr>
          <w:rFonts w:ascii="Arial" w:cs="Arial" w:eastAsia="Arial" w:hAnsi="Arial"/>
          <w:sz w:val="18"/>
          <w:szCs w:val="18"/>
          <w:color w:val="auto"/>
        </w:rPr>
        <w:t>Dated: March 1, 2013</w:t>
      </w:r>
      <w:r>
        <w:rPr>
          <w:sz w:val="20"/>
          <w:szCs w:val="20"/>
          <w:color w:val="auto"/>
        </w:rPr>
        <w:tab/>
      </w:r>
      <w:r>
        <w:rPr>
          <w:rFonts w:ascii="Arial" w:cs="Arial" w:eastAsia="Arial" w:hAnsi="Arial"/>
          <w:sz w:val="16"/>
          <w:szCs w:val="16"/>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6"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Aviv Efrat</w:t>
      </w:r>
    </w:p>
    <w:p>
      <w:pPr>
        <w:spacing w:after="0" w:line="15" w:lineRule="exact"/>
        <w:rPr>
          <w:sz w:val="20"/>
          <w:szCs w:val="20"/>
          <w:color w:val="auto"/>
        </w:rPr>
      </w:pPr>
    </w:p>
    <w:p>
      <w:pPr>
        <w:jc w:val="center"/>
        <w:ind w:left="5740"/>
        <w:spacing w:after="0"/>
        <w:rPr>
          <w:sz w:val="20"/>
          <w:szCs w:val="20"/>
          <w:color w:val="auto"/>
        </w:rPr>
      </w:pPr>
      <w:r>
        <w:rPr>
          <w:rFonts w:ascii="Arial" w:cs="Arial" w:eastAsia="Arial" w:hAnsi="Arial"/>
          <w:sz w:val="18"/>
          <w:szCs w:val="18"/>
          <w:color w:val="auto"/>
        </w:rPr>
        <w:t>Chief Financial Officer &amp; Treasurer</w:t>
      </w:r>
    </w:p>
    <w:sectPr>
      <w:pgSz w:w="11900" w:h="16838" w:orient="portrait"/>
      <w:cols w:equalWidth="0" w:num="1">
        <w:col w:w="11200"/>
      </w:cols>
      <w:pgMar w:left="320" w:top="274"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2020-05-05T12:09:48Z</dcterms:created>
  <dcterms:modified xsi:type="dcterms:W3CDTF">2020-05-05T12:09:48Z</dcterms:modified>
</cp:coreProperties>
</file>