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199" w:lineRule="exact"/>
        <w:rPr>
          <w:sz w:val="24"/>
          <w:szCs w:val="24"/>
          <w:color w:val="auto"/>
        </w:rPr>
      </w:pPr>
    </w:p>
    <w:p>
      <w:pPr>
        <w:ind w:left="4700"/>
        <w:spacing w:after="0"/>
        <w:rPr>
          <w:sz w:val="20"/>
          <w:szCs w:val="20"/>
          <w:color w:val="auto"/>
        </w:rPr>
      </w:pPr>
      <w:r>
        <w:rPr>
          <w:rFonts w:ascii="Arial" w:cs="Arial" w:eastAsia="Arial" w:hAnsi="Arial"/>
          <w:sz w:val="22"/>
          <w:szCs w:val="22"/>
          <w:color w:val="auto"/>
        </w:rPr>
        <w:t>_________________</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27" w:lineRule="exact"/>
        <w:rPr>
          <w:sz w:val="24"/>
          <w:szCs w:val="24"/>
          <w:color w:val="auto"/>
        </w:rPr>
      </w:pPr>
    </w:p>
    <w:p>
      <w:pPr>
        <w:ind w:left="4700"/>
        <w:spacing w:after="0"/>
        <w:rPr>
          <w:sz w:val="20"/>
          <w:szCs w:val="20"/>
          <w:color w:val="auto"/>
        </w:rPr>
      </w:pPr>
      <w:r>
        <w:rPr>
          <w:rFonts w:ascii="Arial" w:cs="Arial" w:eastAsia="Arial" w:hAnsi="Arial"/>
          <w:sz w:val="22"/>
          <w:szCs w:val="22"/>
          <w:color w:val="auto"/>
        </w:rPr>
        <w:t>_________________</w:t>
      </w:r>
    </w:p>
    <w:p>
      <w:pPr>
        <w:spacing w:after="0" w:line="200"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98" w:lineRule="exact"/>
        <w:rPr>
          <w:sz w:val="24"/>
          <w:szCs w:val="24"/>
          <w:color w:val="auto"/>
        </w:rPr>
      </w:pPr>
    </w:p>
    <w:p>
      <w:pPr>
        <w:ind w:left="4180"/>
        <w:spacing w:after="0"/>
        <w:rPr>
          <w:sz w:val="20"/>
          <w:szCs w:val="20"/>
          <w:color w:val="auto"/>
        </w:rPr>
      </w:pPr>
      <w:r>
        <w:rPr>
          <w:rFonts w:ascii="Arial" w:cs="Arial" w:eastAsia="Arial" w:hAnsi="Arial"/>
          <w:sz w:val="22"/>
          <w:szCs w:val="22"/>
          <w:b w:val="1"/>
          <w:bCs w:val="1"/>
          <w:color w:val="auto"/>
        </w:rPr>
        <w:t>Pursuant to Section 13 or 15(d)</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July 5, 2023</w:t>
      </w:r>
    </w:p>
    <w:p>
      <w:pPr>
        <w:spacing w:after="0" w:line="222" w:lineRule="exact"/>
        <w:rPr>
          <w:sz w:val="24"/>
          <w:szCs w:val="24"/>
          <w:color w:val="auto"/>
        </w:rPr>
      </w:pPr>
    </w:p>
    <w:p>
      <w:pPr>
        <w:ind w:left="3960"/>
        <w:spacing w:after="0"/>
        <w:rPr>
          <w:sz w:val="20"/>
          <w:szCs w:val="20"/>
          <w:color w:val="auto"/>
        </w:rPr>
      </w:pPr>
      <w:r>
        <w:rPr>
          <w:rFonts w:ascii="Arial" w:cs="Arial" w:eastAsia="Arial" w:hAnsi="Arial"/>
          <w:sz w:val="22"/>
          <w:szCs w:val="22"/>
          <w:color w:val="auto"/>
        </w:rPr>
        <w:t>_______________________________</w:t>
      </w:r>
    </w:p>
    <w:p>
      <w:pPr>
        <w:spacing w:after="0" w:line="200" w:lineRule="exact"/>
        <w:rPr>
          <w:sz w:val="24"/>
          <w:szCs w:val="24"/>
          <w:color w:val="auto"/>
        </w:rPr>
      </w:pPr>
    </w:p>
    <w:p>
      <w:pPr>
        <w:ind w:left="3760"/>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9" w:lineRule="exact"/>
        <w:rPr>
          <w:sz w:val="24"/>
          <w:szCs w:val="24"/>
          <w:color w:val="auto"/>
        </w:rPr>
      </w:pPr>
    </w:p>
    <w:p>
      <w:pPr>
        <w:ind w:left="3760"/>
        <w:spacing w:after="0"/>
        <w:rPr>
          <w:sz w:val="20"/>
          <w:szCs w:val="20"/>
          <w:color w:val="auto"/>
        </w:rPr>
      </w:pPr>
      <w:r>
        <w:rPr>
          <w:rFonts w:ascii="Arial" w:cs="Arial" w:eastAsia="Arial" w:hAnsi="Arial"/>
          <w:sz w:val="18"/>
          <w:szCs w:val="18"/>
          <w:color w:val="auto"/>
        </w:rPr>
        <w:t>(Exact name of registrant as specified in its charter)</w:t>
      </w:r>
    </w:p>
    <w:p>
      <w:pPr>
        <w:spacing w:after="0" w:line="202" w:lineRule="exact"/>
        <w:rPr>
          <w:sz w:val="24"/>
          <w:szCs w:val="24"/>
          <w:color w:val="auto"/>
        </w:rPr>
      </w:pPr>
    </w:p>
    <w:p>
      <w:pPr>
        <w:ind w:left="3960"/>
        <w:spacing w:after="0"/>
        <w:rPr>
          <w:sz w:val="20"/>
          <w:szCs w:val="20"/>
          <w:color w:val="auto"/>
        </w:rPr>
      </w:pPr>
      <w:r>
        <w:rPr>
          <w:rFonts w:ascii="Arial" w:cs="Arial" w:eastAsia="Arial" w:hAnsi="Arial"/>
          <w:sz w:val="22"/>
          <w:szCs w:val="22"/>
          <w:color w:val="auto"/>
        </w:rPr>
        <w:t>_______________________________</w:t>
      </w:r>
    </w:p>
    <w:p>
      <w:pPr>
        <w:sectPr>
          <w:pgSz w:w="11900" w:h="16838" w:orient="portrait"/>
          <w:cols w:equalWidth="0" w:num="1">
            <w:col w:w="11240"/>
          </w:cols>
          <w:pgMar w:left="320" w:top="495" w:right="339" w:bottom="1440" w:gutter="0" w:footer="0" w:header="0"/>
        </w:sectPr>
      </w:pPr>
    </w:p>
    <w:p>
      <w:pPr>
        <w:spacing w:after="0" w:line="209" w:lineRule="exact"/>
        <w:rPr>
          <w:sz w:val="24"/>
          <w:szCs w:val="24"/>
          <w:color w:val="auto"/>
        </w:rPr>
      </w:pPr>
    </w:p>
    <w:p>
      <w:pPr>
        <w:jc w:val="center"/>
        <w:ind w:right="18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18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814-00891</w:t>
      </w:r>
    </w:p>
    <w:p>
      <w:pPr>
        <w:spacing w:after="0" w:line="27" w:lineRule="exact"/>
        <w:rPr>
          <w:sz w:val="24"/>
          <w:szCs w:val="24"/>
          <w:color w:val="auto"/>
        </w:rPr>
      </w:pPr>
    </w:p>
    <w:p>
      <w:pPr>
        <w:jc w:val="center"/>
        <w:ind w:right="7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27-3794690</w:t>
      </w:r>
    </w:p>
    <w:p>
      <w:pPr>
        <w:spacing w:after="0" w:line="27" w:lineRule="exact"/>
        <w:rPr>
          <w:sz w:val="24"/>
          <w:szCs w:val="24"/>
          <w:color w:val="auto"/>
        </w:rPr>
      </w:pPr>
    </w:p>
    <w:p>
      <w:pPr>
        <w:jc w:val="center"/>
        <w:ind w:right="54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3900" w:space="720"/>
            <w:col w:w="2740" w:space="720"/>
            <w:col w:w="3160"/>
          </w:cols>
          <w:pgMar w:left="320" w:top="495" w:right="339" w:bottom="1440" w:gutter="0" w:footer="0" w:header="0"/>
          <w:type w:val="continuous"/>
        </w:sectPr>
      </w:pP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1691 Michigan Avenue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Miami Beach, Florida 33139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of Principal Executive Offices) (Zip Code)</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(786) 297-9500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240"/>
          </w:cols>
          <w:pgMar w:left="320" w:top="495" w:right="339" w:bottom="1440" w:gutter="0" w:footer="0" w:header="0"/>
          <w:type w:val="continuous"/>
        </w:sectPr>
      </w:pP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4" w:lineRule="exact"/>
        <w:rPr>
          <w:sz w:val="24"/>
          <w:szCs w:val="24"/>
          <w:color w:val="auto"/>
        </w:rPr>
      </w:pPr>
    </w:p>
    <w:p>
      <w:pPr>
        <w:ind w:left="3960"/>
        <w:spacing w:after="0"/>
        <w:rPr>
          <w:sz w:val="20"/>
          <w:szCs w:val="20"/>
          <w:color w:val="auto"/>
        </w:rPr>
      </w:pPr>
      <w:r>
        <w:rPr>
          <w:rFonts w:ascii="Arial" w:cs="Arial" w:eastAsia="Arial" w:hAnsi="Arial"/>
          <w:sz w:val="22"/>
          <w:szCs w:val="22"/>
          <w:color w:val="auto"/>
        </w:rPr>
        <w:t>_______________________________</w:t>
      </w:r>
    </w:p>
    <w:p>
      <w:pPr>
        <w:spacing w:after="0" w:line="213"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340" w:hanging="245"/>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340" w:hanging="245"/>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245"/>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245"/>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80" w:type="dxa"/>
            <w:vAlign w:val="bottom"/>
          </w:tcPr>
          <w:p>
            <w:pPr>
              <w:spacing w:after="0"/>
              <w:rPr>
                <w:sz w:val="20"/>
                <w:szCs w:val="20"/>
                <w:color w:val="auto"/>
              </w:rPr>
            </w:pPr>
            <w:r>
              <w:rPr>
                <w:rFonts w:ascii="Arial" w:cs="Arial" w:eastAsia="Arial" w:hAnsi="Arial"/>
                <w:sz w:val="18"/>
                <w:szCs w:val="18"/>
                <w:color w:val="auto"/>
                <w:w w:val="99"/>
              </w:rPr>
              <w:t>Securities registered pursuant to Section 12(b) of the Act:</w:t>
            </w:r>
          </w:p>
        </w:tc>
        <w:tc>
          <w:tcPr>
            <w:tcW w:w="236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324"/>
        </w:trPr>
        <w:tc>
          <w:tcPr>
            <w:tcW w:w="45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0"/>
              </w:rPr>
              <w:t>Title of each class</w:t>
            </w:r>
          </w:p>
        </w:tc>
        <w:tc>
          <w:tcPr>
            <w:tcW w:w="23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2"/>
              </w:rPr>
              <w:t>Trading Symbol(s)</w:t>
            </w:r>
          </w:p>
        </w:tc>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4580" w:type="dxa"/>
            <w:vAlign w:val="bottom"/>
          </w:tcPr>
          <w:p>
            <w:pPr>
              <w:jc w:val="center"/>
              <w:ind w:right="90"/>
              <w:spacing w:after="0"/>
              <w:rPr>
                <w:sz w:val="20"/>
                <w:szCs w:val="20"/>
                <w:color w:val="auto"/>
              </w:rPr>
            </w:pPr>
            <w:r>
              <w:rPr>
                <w:rFonts w:ascii="Arial" w:cs="Arial" w:eastAsia="Arial" w:hAnsi="Arial"/>
                <w:sz w:val="18"/>
                <w:szCs w:val="18"/>
                <w:color w:val="auto"/>
                <w:w w:val="89"/>
              </w:rPr>
              <w:t>Common Stock, par value $0.001 per share</w:t>
            </w:r>
          </w:p>
        </w:tc>
        <w:tc>
          <w:tcPr>
            <w:tcW w:w="2360" w:type="dxa"/>
            <w:vAlign w:val="bottom"/>
          </w:tcPr>
          <w:p>
            <w:pPr>
              <w:jc w:val="center"/>
              <w:ind w:right="70"/>
              <w:spacing w:after="0"/>
              <w:rPr>
                <w:sz w:val="20"/>
                <w:szCs w:val="20"/>
                <w:color w:val="auto"/>
              </w:rPr>
            </w:pPr>
            <w:r>
              <w:rPr>
                <w:rFonts w:ascii="Arial" w:cs="Arial" w:eastAsia="Arial" w:hAnsi="Arial"/>
                <w:sz w:val="18"/>
                <w:szCs w:val="18"/>
                <w:color w:val="auto"/>
                <w:w w:val="90"/>
              </w:rPr>
              <w:t>PFLT</w:t>
            </w:r>
          </w:p>
        </w:tc>
        <w:tc>
          <w:tcPr>
            <w:tcW w:w="4300" w:type="dxa"/>
            <w:vAlign w:val="bottom"/>
          </w:tcPr>
          <w:p>
            <w:pPr>
              <w:jc w:val="center"/>
              <w:spacing w:after="0"/>
              <w:rPr>
                <w:sz w:val="20"/>
                <w:szCs w:val="20"/>
                <w:color w:val="auto"/>
              </w:rPr>
            </w:pPr>
            <w:r>
              <w:rPr>
                <w:rFonts w:ascii="Arial" w:cs="Arial" w:eastAsia="Arial" w:hAnsi="Arial"/>
                <w:sz w:val="18"/>
                <w:szCs w:val="18"/>
                <w:color w:val="auto"/>
                <w:w w:val="90"/>
              </w:rPr>
              <w:t>The New York Stock Exchange</w:t>
            </w:r>
          </w:p>
        </w:tc>
      </w:tr>
    </w:tbl>
    <w:p>
      <w:pPr>
        <w:spacing w:after="0" w:line="79" w:lineRule="exact"/>
        <w:rPr>
          <w:sz w:val="24"/>
          <w:szCs w:val="24"/>
          <w:color w:val="auto"/>
        </w:rPr>
      </w:pPr>
    </w:p>
    <w:p>
      <w:pPr>
        <w:jc w:val="both"/>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62"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205105</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495"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18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On July 5, 2023, PennantPark Floating Rate Capital Ltd. issued a press release announcing its monthly distribution. A copy of the press release is furnished as Exhibit 99.1 to this Form 8-K.</w:t>
      </w:r>
    </w:p>
    <w:p>
      <w:pPr>
        <w:spacing w:after="0" w:line="14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89"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85" w:lineRule="exact"/>
        <w:rPr>
          <w:sz w:val="20"/>
          <w:szCs w:val="20"/>
          <w:color w:val="auto"/>
        </w:rPr>
      </w:pPr>
    </w:p>
    <w:p>
      <w:pPr>
        <w:ind w:right="9320" w:firstLine="8"/>
        <w:spacing w:after="0" w:line="261" w:lineRule="auto"/>
        <w:tabs>
          <w:tab w:leader="none" w:pos="25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Financial statements: </w:t>
      </w:r>
      <w:r>
        <w:rPr>
          <w:rFonts w:ascii="Arial" w:cs="Arial" w:eastAsia="Arial" w:hAnsi="Arial"/>
          <w:sz w:val="18"/>
          <w:szCs w:val="18"/>
          <w:color w:val="auto"/>
        </w:rPr>
        <w:t>None</w:t>
      </w:r>
    </w:p>
    <w:p>
      <w:pPr>
        <w:ind w:right="8420" w:firstLine="8"/>
        <w:spacing w:after="0" w:line="250" w:lineRule="auto"/>
        <w:tabs>
          <w:tab w:leader="none" w:pos="26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right="8800" w:firstLine="8"/>
        <w:spacing w:after="0" w:line="250" w:lineRule="auto"/>
        <w:tabs>
          <w:tab w:leader="none" w:pos="24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280" w:hanging="272"/>
        <w:spacing w:after="0"/>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170"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u w:val="single" w:color="auto"/>
          <w:color w:val="0000EE"/>
        </w:rPr>
        <w:t>99.1</w:t>
      </w:r>
      <w:r>
        <w:rPr>
          <w:sz w:val="20"/>
          <w:szCs w:val="20"/>
          <w:color w:val="auto"/>
        </w:rPr>
        <w:tab/>
      </w:r>
      <w:r>
        <w:rPr>
          <w:rFonts w:ascii="Arial" w:cs="Arial" w:eastAsia="Arial" w:hAnsi="Arial"/>
          <w:sz w:val="16"/>
          <w:szCs w:val="16"/>
          <w:u w:val="single" w:color="auto"/>
          <w:color w:val="0000EE"/>
        </w:rPr>
        <w:t>Press Release of PennantPark Floating Rate Capital Ltd. Dated July 5, 2023</w:t>
      </w:r>
    </w:p>
    <w:p>
      <w:pPr>
        <w:spacing w:after="0" w:line="2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SIGNATURE</w:t>
      </w:r>
    </w:p>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p>
        </w:tc>
        <w:tc>
          <w:tcPr>
            <w:tcW w:w="5160" w:type="dxa"/>
            <w:vAlign w:val="bottom"/>
            <w:gridSpan w:val="3"/>
          </w:tcPr>
          <w:p>
            <w:pPr>
              <w:ind w:left="2060"/>
              <w:spacing w:after="0"/>
              <w:rPr>
                <w:sz w:val="20"/>
                <w:szCs w:val="20"/>
                <w:color w:val="auto"/>
              </w:rPr>
            </w:pPr>
            <w:r>
              <w:rPr>
                <w:rFonts w:ascii="Arial" w:cs="Arial" w:eastAsia="Arial" w:hAnsi="Arial"/>
                <w:sz w:val="18"/>
                <w:szCs w:val="18"/>
                <w:b w:val="1"/>
                <w:bCs w:val="1"/>
                <w:color w:val="auto"/>
                <w:w w:val="92"/>
              </w:rPr>
              <w:t>PennantPark Floating Rate Capital Ltd.</w:t>
            </w:r>
          </w:p>
        </w:tc>
      </w:tr>
      <w:tr>
        <w:trPr>
          <w:trHeight w:val="688"/>
        </w:trPr>
        <w:tc>
          <w:tcPr>
            <w:tcW w:w="3400" w:type="dxa"/>
            <w:vAlign w:val="bottom"/>
          </w:tcPr>
          <w:p>
            <w:pPr>
              <w:spacing w:after="0"/>
              <w:rPr>
                <w:sz w:val="20"/>
                <w:szCs w:val="20"/>
                <w:color w:val="auto"/>
              </w:rPr>
            </w:pPr>
            <w:r>
              <w:rPr>
                <w:rFonts w:ascii="Arial" w:cs="Arial" w:eastAsia="Arial" w:hAnsi="Arial"/>
                <w:sz w:val="18"/>
                <w:szCs w:val="18"/>
                <w:color w:val="auto"/>
              </w:rPr>
              <w:t>Date: July 5, 2023</w:t>
            </w:r>
          </w:p>
        </w:tc>
        <w:tc>
          <w:tcPr>
            <w:tcW w:w="5160" w:type="dxa"/>
            <w:vAlign w:val="bottom"/>
            <w:gridSpan w:val="3"/>
          </w:tcPr>
          <w:p>
            <w:pPr>
              <w:ind w:left="2060"/>
              <w:spacing w:after="0"/>
              <w:rPr>
                <w:sz w:val="20"/>
                <w:szCs w:val="20"/>
                <w:color w:val="auto"/>
              </w:rPr>
            </w:pPr>
            <w:r>
              <w:rPr>
                <w:rFonts w:ascii="Arial" w:cs="Arial" w:eastAsia="Arial" w:hAnsi="Arial"/>
                <w:sz w:val="18"/>
                <w:szCs w:val="18"/>
                <w:color w:val="auto"/>
              </w:rPr>
              <w:t>By: /s/ Richard T. Allorto, Jr.</w:t>
            </w:r>
          </w:p>
        </w:tc>
      </w:tr>
      <w:tr>
        <w:trPr>
          <w:trHeight w:val="237"/>
        </w:trPr>
        <w:tc>
          <w:tcPr>
            <w:tcW w:w="34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Richard T. Allorto, Jr.</w:t>
            </w:r>
          </w:p>
        </w:tc>
        <w:tc>
          <w:tcPr>
            <w:tcW w:w="640" w:type="dxa"/>
            <w:vAlign w:val="bottom"/>
          </w:tcPr>
          <w:p>
            <w:pPr>
              <w:spacing w:after="0"/>
              <w:rPr>
                <w:sz w:val="20"/>
                <w:szCs w:val="20"/>
                <w:color w:val="auto"/>
              </w:rPr>
            </w:pPr>
          </w:p>
        </w:tc>
      </w:tr>
      <w:tr>
        <w:trPr>
          <w:trHeight w:val="243"/>
        </w:trPr>
        <w:tc>
          <w:tcPr>
            <w:tcW w:w="340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w w:val="99"/>
              </w:rPr>
              <w:t>Chief Financial Officer &amp; Treasurer</w:t>
            </w:r>
          </w:p>
        </w:tc>
      </w:tr>
    </w:tbl>
    <w:p>
      <w:pPr>
        <w:sectPr>
          <w:pgSz w:w="11900" w:h="16838" w:orient="portrait"/>
          <w:cols w:equalWidth="0" w:num="1">
            <w:col w:w="11200"/>
          </w:cols>
          <w:pgMar w:left="320" w:top="540" w:right="379" w:bottom="1440" w:gutter="0" w:footer="0" w:header="0"/>
        </w:sectPr>
      </w:pPr>
    </w:p>
    <w:bookmarkStart w:id="3" w:name="page4"/>
    <w:bookmarkEnd w:id="3"/>
    <w:p>
      <w:pPr>
        <w:ind w:left="9880"/>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1285875" cy="300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Floating Rate Capital Ltd. Announces Monthly Distribution of $0.1025 per Share</w:t>
      </w:r>
    </w:p>
    <w:p>
      <w:pPr>
        <w:spacing w:after="0" w:line="212"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MIAMI, July 05, 2023 (GLOBE NEWSWIRE) -- PennantPark Floating Rate Capital Ltd. (the "Company") (NYSE: PFLT) (TASE: PFLT) declares its monthly distribution for July 2023 of $0.1025 per share, payable on August 1, 2023 to stockholders of record as of July 17, 2023. The distribution is expected to be paid from taxable net investment income. The final specific tax characteristics of the distribution will be reported to stockholders on Form 1099 after the end of the calendar year and in the Company's periodic report filed with the Securities and Exchange Commission.</w:t>
      </w:r>
    </w:p>
    <w:p>
      <w:pPr>
        <w:spacing w:after="0" w:line="178"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Company, which operates as a regulated investment company (“RIC”), generates qualified interest income and short-term capital gains that may be exempt from U.S. withholding tax when distributed to non-U.S. stockholders. The U.S. tax law permits a RIC to report the portion of distributions paid that represents interest-related dividends as exempt from U.S. withholding tax when paid to non-U.S. stockholders with proper documentation.</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The specific tax characteristics of this distribution can be found on our website www.pennantpark.com.</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ADVISERS, LLC</w:t>
      </w:r>
    </w:p>
    <w:p>
      <w:pPr>
        <w:spacing w:after="0" w:line="206" w:lineRule="exact"/>
        <w:rPr>
          <w:sz w:val="20"/>
          <w:szCs w:val="20"/>
          <w:color w:val="auto"/>
        </w:rPr>
      </w:pPr>
    </w:p>
    <w:p>
      <w:pPr>
        <w:ind w:right="40"/>
        <w:spacing w:after="0" w:line="249" w:lineRule="auto"/>
        <w:rPr>
          <w:sz w:val="20"/>
          <w:szCs w:val="20"/>
          <w:color w:val="auto"/>
        </w:rPr>
      </w:pPr>
      <w:r>
        <w:rPr>
          <w:rFonts w:ascii="Arial" w:cs="Arial" w:eastAsia="Arial" w:hAnsi="Arial"/>
          <w:sz w:val="21"/>
          <w:szCs w:val="21"/>
          <w:color w:val="auto"/>
        </w:rPr>
        <w:t>PennantPark Investment Advisers, LLC is a leading middle market credit platform, managing $6.2 billion of investable capital, including potential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and Los Angeles.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200" w:lineRule="exact"/>
        <w:rPr>
          <w:sz w:val="20"/>
          <w:szCs w:val="20"/>
          <w:color w:val="auto"/>
        </w:rPr>
      </w:pPr>
    </w:p>
    <w:p>
      <w:pPr>
        <w:spacing w:after="0" w:line="201"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information contained herein is based on current tax laws, which may change in the future. The Company cannot be held responsible for any direct or incidental loss resulting from applying any of the information provided in this publication or from any other source mentioned. The information provided in this material does not constitute any specific legal, tax or accounting advice. Please consult with qualified professionals for this type of advice.</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Richard T. Allorto, Jr.</w:t>
      </w:r>
    </w:p>
    <w:p>
      <w:pPr>
        <w:spacing w:after="0" w:line="230" w:lineRule="auto"/>
        <w:rPr>
          <w:sz w:val="20"/>
          <w:szCs w:val="20"/>
          <w:color w:val="auto"/>
        </w:rPr>
      </w:pPr>
      <w:r>
        <w:rPr>
          <w:rFonts w:ascii="Arial" w:cs="Arial" w:eastAsia="Arial" w:hAnsi="Arial"/>
          <w:sz w:val="22"/>
          <w:szCs w:val="22"/>
          <w:color w:val="auto"/>
        </w:rPr>
        <w:t>PennantPark Floating Rate Capital Ltd.</w:t>
      </w:r>
    </w:p>
    <w:p>
      <w:pPr>
        <w:spacing w:after="0" w:line="1" w:lineRule="exact"/>
        <w:rPr>
          <w:sz w:val="20"/>
          <w:szCs w:val="20"/>
          <w:color w:val="auto"/>
        </w:rPr>
      </w:pPr>
    </w:p>
    <w:p>
      <w:pPr>
        <w:ind w:right="9240" w:firstLine="8"/>
        <w:spacing w:after="0" w:line="308" w:lineRule="auto"/>
        <w:tabs>
          <w:tab w:leader="none" w:pos="522" w:val="left"/>
        </w:tabs>
        <w:numPr>
          <w:ilvl w:val="0"/>
          <w:numId w:val="3"/>
        </w:numPr>
        <w:rPr>
          <w:rFonts w:ascii="Arial" w:cs="Arial" w:eastAsia="Arial" w:hAnsi="Arial"/>
          <w:sz w:val="19"/>
          <w:szCs w:val="19"/>
          <w:color w:val="auto"/>
        </w:rPr>
      </w:pPr>
      <w:r>
        <w:rPr>
          <w:rFonts w:ascii="Arial" w:cs="Arial" w:eastAsia="Arial" w:hAnsi="Arial"/>
          <w:sz w:val="19"/>
          <w:szCs w:val="19"/>
          <w:color w:val="auto"/>
        </w:rPr>
        <w:t>905-1000 www.pennantpark.com</w:t>
      </w:r>
    </w:p>
    <w:sectPr>
      <w:pgSz w:w="11900" w:h="16838" w:orient="portrait"/>
      <w:cols w:equalWidth="0" w:num="1">
        <w:col w:w="11240"/>
      </w:cols>
      <w:pgMar w:left="320" w:top="32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2023-07-05T15:10:20Z</dcterms:created>
  <dcterms:modified xsi:type="dcterms:W3CDTF">2023-07-05T15:10:20Z</dcterms:modified>
</cp:coreProperties>
</file>