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2900"/>
        <w:spacing w:after="0"/>
        <w:rPr>
          <w:sz w:val="20"/>
          <w:szCs w:val="20"/>
          <w:color w:val="auto"/>
        </w:rPr>
      </w:pPr>
      <w:r>
        <w:rPr>
          <w:rFonts w:ascii="Arial" w:cs="Arial" w:eastAsia="Arial" w:hAnsi="Arial"/>
          <w:sz w:val="18"/>
          <w:szCs w:val="18"/>
          <w:b w:val="1"/>
          <w:bCs w:val="1"/>
          <w:color w:val="auto"/>
        </w:rPr>
        <w:t>As filed with the Securities and Exchange Commission on February 9,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333-170243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Investment Company Registration No. 811-22489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2 </w:t>
      </w:r>
      <w:r>
        <w:rPr>
          <w:rFonts w:ascii="MS PGothic" w:cs="MS PGothic" w:eastAsia="MS PGothic" w:hAnsi="MS PGothic"/>
          <w:sz w:val="18"/>
          <w:szCs w:val="18"/>
          <w:color w:val="auto"/>
        </w:rPr>
        <w:t>☒</w:t>
      </w:r>
    </w:p>
    <w:p>
      <w:pPr>
        <w:spacing w:after="0" w:line="4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rPr>
        <w: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THE INVESTMENT COMPANY ACT OF 1940 </w:t>
      </w:r>
      <w:r>
        <w:rPr>
          <w:rFonts w:ascii="MS PGothic" w:cs="MS PGothic" w:eastAsia="MS PGothic" w:hAnsi="MS PGothic"/>
          <w:sz w:val="18"/>
          <w:szCs w:val="18"/>
          <w:color w:val="auto"/>
        </w:rPr>
        <w: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ind w:left="5320" w:right="4940" w:hanging="380"/>
        <w:spacing w:after="0" w:line="309" w:lineRule="auto"/>
        <w:tabs>
          <w:tab w:leader="none" w:pos="524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Madison Avenue 15th Floor</w:t>
      </w: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J. Friedmann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1775 I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17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71" w:lineRule="exact"/>
        <w:rPr>
          <w:sz w:val="24"/>
          <w:szCs w:val="24"/>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39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1"/>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8" w:lineRule="exact"/>
              <w:rPr>
                <w:sz w:val="20"/>
                <w:szCs w:val="20"/>
                <w:color w:val="auto"/>
              </w:rPr>
            </w:pPr>
            <w:r>
              <w:rPr>
                <w:rFonts w:ascii="Arial" w:cs="Arial" w:eastAsia="Arial" w:hAnsi="Arial"/>
                <w:sz w:val="14"/>
                <w:szCs w:val="14"/>
                <w:b w:val="1"/>
                <w:bCs w:val="1"/>
                <w:color w:val="auto"/>
                <w:w w:val="82"/>
              </w:rPr>
              <w:t>Being</w:t>
            </w:r>
          </w:p>
        </w:tc>
        <w:tc>
          <w:tcPr>
            <w:tcW w:w="1600" w:type="dxa"/>
            <w:vAlign w:val="bottom"/>
            <w:tcBorders>
              <w:right w:val="single" w:sz="8" w:color="auto"/>
            </w:tcBorders>
          </w:tcPr>
          <w:p>
            <w:pPr>
              <w:jc w:val="center"/>
              <w:ind w:left="10"/>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1"/>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7"/>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w:t>
            </w:r>
          </w:p>
        </w:tc>
        <w:tc>
          <w:tcPr>
            <w:tcW w:w="1600" w:type="dxa"/>
            <w:vAlign w:val="bottom"/>
            <w:tcBorders>
              <w:bottom w:val="single" w:sz="8" w:color="auto"/>
              <w:right w:val="single" w:sz="8" w:color="auto"/>
            </w:tcBorders>
          </w:tcPr>
          <w:p>
            <w:pPr>
              <w:jc w:val="center"/>
              <w:ind w:left="11"/>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(2)</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($0.001 par value per share)</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4"/>
              </w:rPr>
              <w:t>50,000 shares</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$20.00</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88"/>
              </w:rPr>
              <w:t>$1,000,000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7"/>
              </w:rPr>
              <w:t>$71.30</w:t>
            </w: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560" w:type="dxa"/>
            <w:vAlign w:val="bottom"/>
          </w:tcPr>
          <w:p>
            <w:pPr>
              <w:spacing w:after="0"/>
              <w:rPr>
                <w:sz w:val="8"/>
                <w:szCs w:val="8"/>
                <w:color w:val="auto"/>
              </w:rPr>
            </w:pPr>
          </w:p>
        </w:tc>
      </w:tr>
    </w:tbl>
    <w:p>
      <w:pPr>
        <w:spacing w:after="0" w:line="19"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purpose of calculating the registration fee.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amount was previously paid with the initial filing.</w:t>
      </w:r>
    </w:p>
    <w:p>
      <w:pPr>
        <w:spacing w:after="0" w:line="159" w:lineRule="exact"/>
        <w:rPr>
          <w:sz w:val="24"/>
          <w:szCs w:val="24"/>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2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295" w:lineRule="exact"/>
        <w:rPr>
          <w:sz w:val="20"/>
          <w:szCs w:val="20"/>
          <w:color w:val="auto"/>
        </w:rPr>
      </w:pPr>
    </w:p>
    <w:tbl>
      <w:tblPr>
        <w:tblLayout w:type="fixed"/>
        <w:tblInd w:w="4040" w:type="dxa"/>
        <w:tblCellMar>
          <w:top w:w="0" w:type="dxa"/>
          <w:left w:w="0" w:type="dxa"/>
          <w:bottom w:w="0" w:type="dxa"/>
          <w:right w:w="0" w:type="dxa"/>
        </w:tblCellMar>
      </w:tblPr>
      <w:tr>
        <w:trPr>
          <w:trHeight w:val="228"/>
        </w:trPr>
        <w:tc>
          <w:tcPr>
            <w:tcW w:w="2600" w:type="dxa"/>
            <w:vAlign w:val="bottom"/>
          </w:tcPr>
          <w:p>
            <w:pPr>
              <w:spacing w:after="0"/>
              <w:rPr>
                <w:sz w:val="20"/>
                <w:szCs w:val="20"/>
                <w:color w:val="auto"/>
              </w:rPr>
            </w:pPr>
            <w:r>
              <w:rPr>
                <w:rFonts w:ascii="Arial" w:cs="Arial" w:eastAsia="Arial" w:hAnsi="Arial"/>
                <w:sz w:val="18"/>
                <w:szCs w:val="18"/>
                <w:b w:val="1"/>
                <w:bCs w:val="1"/>
                <w:color w:val="auto"/>
                <w:w w:val="97"/>
              </w:rPr>
              <w:t>Preliminary Prospectus dated [</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2011</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Shares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ind w:left="4960"/>
        <w:spacing w:after="0"/>
        <w:tabs>
          <w:tab w:leader="none" w:pos="56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per Share</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PennantPark Floating Rate Capital Ltd. is a newly organized, externally managed, non-diversified, closed-end management investment company that has elected to be treated as a business development company under the Investment Company Act of 1940.</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primary investment objective is to seek high current income, with a secondary objective to seek preservation of capital, consistent with the primary goal of high current income. We can offer no assurance that we will achieve our investment objectives or be able to structure our investment portfolio as anticipated. We will seek to achieve our investment objectives by investing primarily in floating rate loans made to companies whose debt is rated below investment grade, or Floating Rate Loans, and investments with similar economic characteristics.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normal market conditions, at least 80% of the value of our Managed Assets will be invested in Floating Rate Loans (as those terms are defined in this prospectus), and investments with similar economic characteristics. Floating Rate Loans typically pay interest at rates which are determined periodically on the basis of a floating base lending rate, primarily the London Interbank Offered Rate, or LIBOR, plus a premium, often with a floor on the LIBOR rate. Floating Rate Loans are typically made to U.S. and, to a limited extent, non-U.S. corporations, partnerships and other business entities which operate in various industries and geographical regions. Floating Rate Loans typically are rated below investment grade. Securities rated below investment grade are often referred to as “leveraged loans” or “high yield” securities or “junk bonds.” Securities of this type are often high risk and have speculative characteristics.</w:t>
      </w:r>
    </w:p>
    <w:p>
      <w:pPr>
        <w:spacing w:after="0" w:line="120" w:lineRule="exact"/>
        <w:rPr>
          <w:sz w:val="20"/>
          <w:szCs w:val="20"/>
          <w:color w:val="auto"/>
        </w:rPr>
      </w:pPr>
    </w:p>
    <w:p>
      <w:pPr>
        <w:ind w:left="460"/>
        <w:spacing w:after="0"/>
        <w:tabs>
          <w:tab w:leader="none" w:pos="7420" w:val="left"/>
          <w:tab w:leader="none" w:pos="10240" w:val="left"/>
        </w:tabs>
        <w:rPr>
          <w:sz w:val="20"/>
          <w:szCs w:val="20"/>
          <w:color w:val="auto"/>
        </w:rPr>
      </w:pPr>
      <w:r>
        <w:rPr>
          <w:rFonts w:ascii="Arial" w:cs="Arial" w:eastAsia="Arial" w:hAnsi="Arial"/>
          <w:sz w:val="18"/>
          <w:szCs w:val="18"/>
          <w:color w:val="auto"/>
        </w:rPr>
        <w:t>This prospectus is our initial public offering, for which we have applied for listing on [</w:t>
      </w:r>
      <w:r>
        <w:rPr>
          <w:sz w:val="20"/>
          <w:szCs w:val="20"/>
          <w:color w:val="auto"/>
        </w:rPr>
        <w:tab/>
      </w:r>
      <w:r>
        <w:rPr>
          <w:rFonts w:ascii="Arial" w:cs="Arial" w:eastAsia="Arial" w:hAnsi="Arial"/>
          <w:sz w:val="18"/>
          <w:szCs w:val="18"/>
          <w:color w:val="auto"/>
        </w:rPr>
        <w:t>] under the ticker symbol [“</w:t>
      </w:r>
      <w:r>
        <w:rPr>
          <w:sz w:val="20"/>
          <w:szCs w:val="20"/>
          <w:color w:val="auto"/>
        </w:rPr>
        <w:tab/>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Shares of closed-end investment companies that are listed on an exchange, frequently trade at prices that reflect a discount from their net asset</w:t>
      </w:r>
    </w:p>
    <w:p>
      <w:pPr>
        <w:spacing w:after="0" w:line="5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values. If you purchase shares in the initial public offering or otherwise and sell the shares on [ ] or otherwise, you may receive an amount that is less than (1) the amount you paid for the shares and/or (2) the net asset value of the shares at the time of sale. We are a newly formed entity and have no previous operating or trading history upon which you can evaluate our performance.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in writing at 590 Madison Avenue, New York, NY 10022 or by telephone at (212) 905-1000 or on our website at www.pennantpark.com . The information on our website is not incorporated by reference into this prospectus. The SEC also maintains a website at www.sec.gov that contains such information free of charge.</w:t>
      </w:r>
    </w:p>
    <w:p>
      <w:pPr>
        <w:spacing w:after="0" w:line="96" w:lineRule="exact"/>
        <w:rPr>
          <w:sz w:val="20"/>
          <w:szCs w:val="20"/>
          <w:color w:val="auto"/>
        </w:rPr>
      </w:pPr>
    </w:p>
    <w:p>
      <w:pPr>
        <w:jc w:val="both"/>
        <w:ind w:right="12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10 of this prospectus.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Per</w:t>
            </w:r>
          </w:p>
        </w:tc>
        <w:tc>
          <w:tcPr>
            <w:tcW w:w="118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2380" w:type="dxa"/>
            <w:vAlign w:val="bottom"/>
            <w:gridSpan w:val="2"/>
          </w:tcPr>
          <w:p>
            <w:pPr>
              <w:ind w:left="2040"/>
              <w:spacing w:after="0"/>
              <w:rPr>
                <w:sz w:val="20"/>
                <w:szCs w:val="20"/>
                <w:color w:val="auto"/>
              </w:rPr>
            </w:pPr>
            <w:r>
              <w:rPr>
                <w:rFonts w:ascii="Arial" w:cs="Arial" w:eastAsia="Arial" w:hAnsi="Arial"/>
                <w:sz w:val="14"/>
                <w:szCs w:val="14"/>
                <w:b w:val="1"/>
                <w:bCs w:val="1"/>
                <w:color w:val="auto"/>
                <w:w w:val="82"/>
              </w:rPr>
              <w:t>Share</w:t>
            </w: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3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Sales load</w:t>
            </w:r>
          </w:p>
        </w:tc>
        <w:tc>
          <w:tcPr>
            <w:tcW w:w="238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Proceeds, after expenses, to us</w:t>
            </w:r>
          </w:p>
        </w:tc>
        <w:tc>
          <w:tcPr>
            <w:tcW w:w="23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granted the underwriters an option to purchase up to additional shares of common stock at the public offering price, less the sales load, within 30</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days of the date of this prospectus solely to cover overallotments, if any. If such option is exercised in full, the total public offering price, sales load,</w:t>
      </w:r>
    </w:p>
    <w:p>
      <w:pPr>
        <w:spacing w:after="0" w:line="32" w:lineRule="exact"/>
        <w:rPr>
          <w:sz w:val="20"/>
          <w:szCs w:val="20"/>
          <w:color w:val="auto"/>
        </w:rPr>
      </w:pPr>
    </w:p>
    <w:p>
      <w:pPr>
        <w:ind w:left="460"/>
        <w:spacing w:after="0"/>
        <w:tabs>
          <w:tab w:leader="none" w:pos="6060" w:val="left"/>
          <w:tab w:leader="none" w:pos="6760" w:val="left"/>
          <w:tab w:leader="none" w:pos="7880" w:val="left"/>
        </w:tabs>
        <w:rPr>
          <w:sz w:val="20"/>
          <w:szCs w:val="20"/>
          <w:color w:val="auto"/>
        </w:rPr>
      </w:pPr>
      <w:r>
        <w:rPr>
          <w:rFonts w:ascii="Arial" w:cs="Arial" w:eastAsia="Arial" w:hAnsi="Arial"/>
          <w:sz w:val="16"/>
          <w:szCs w:val="16"/>
          <w:color w:val="auto"/>
        </w:rPr>
        <w:t>estimated offering expenses and proceeds, after expenses, to us will be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 and $</w:t>
      </w:r>
      <w:r>
        <w:rPr>
          <w:sz w:val="20"/>
          <w:szCs w:val="20"/>
          <w:color w:val="auto"/>
        </w:rPr>
        <w:tab/>
      </w:r>
      <w:r>
        <w:rPr>
          <w:rFonts w:ascii="Arial" w:cs="Arial" w:eastAsia="Arial" w:hAnsi="Arial"/>
          <w:sz w:val="16"/>
          <w:szCs w:val="16"/>
          <w:color w:val="auto"/>
        </w:rPr>
        <w:t>, respectively. See “Underwriters.”</w:t>
      </w:r>
    </w:p>
    <w:p>
      <w:pPr>
        <w:spacing w:after="0" w:line="165"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Our shares of common stock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5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020" w:type="dxa"/>
            <w:vAlign w:val="bottom"/>
          </w:tcPr>
          <w:p>
            <w:pPr>
              <w:spacing w:after="0"/>
              <w:rPr>
                <w:sz w:val="20"/>
                <w:szCs w:val="20"/>
                <w:color w:val="auto"/>
              </w:rPr>
            </w:pPr>
            <w:r>
              <w:rPr>
                <w:rFonts w:ascii="Arial" w:cs="Arial" w:eastAsia="Arial" w:hAnsi="Arial"/>
                <w:sz w:val="18"/>
                <w:szCs w:val="18"/>
                <w:color w:val="auto"/>
                <w:w w:val="93"/>
              </w:rPr>
              <w:t>The underwriters expect to deliver the common shares to purchasers on or about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 2011.</w:t>
            </w:r>
          </w:p>
        </w:tc>
      </w:tr>
      <w:tr>
        <w:trPr>
          <w:trHeight w:val="405"/>
        </w:trPr>
        <w:tc>
          <w:tcPr>
            <w:tcW w:w="6020" w:type="dxa"/>
            <w:vAlign w:val="bottom"/>
          </w:tcPr>
          <w:p>
            <w:pPr>
              <w:ind w:left="3640"/>
              <w:spacing w:after="0"/>
              <w:rPr>
                <w:sz w:val="20"/>
                <w:szCs w:val="20"/>
                <w:color w:val="auto"/>
              </w:rPr>
            </w:pPr>
            <w:r>
              <w:rPr>
                <w:rFonts w:ascii="Arial" w:cs="Arial" w:eastAsia="Arial" w:hAnsi="Arial"/>
                <w:sz w:val="18"/>
                <w:szCs w:val="18"/>
                <w:b w:val="1"/>
                <w:bCs w:val="1"/>
                <w:color w:val="auto"/>
                <w:w w:val="92"/>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2011.</w:t>
            </w: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380"/>
        </w:trPr>
        <w:tc>
          <w:tcPr>
            <w:tcW w:w="890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FEES AND EXPENSES</w:t>
              </w:r>
            </w:hyperlink>
          </w:p>
        </w:tc>
        <w:tc>
          <w:tcPr>
            <w:tcW w:w="280" w:type="dxa"/>
            <w:vAlign w:val="bottom"/>
            <w:tcBorders>
              <w:top w:val="single" w:sz="8" w:color="0000EE"/>
            </w:tcBorders>
          </w:tcPr>
          <w:p>
            <w:pPr>
              <w:spacing w:after="0"/>
              <w:rPr>
                <w:sz w:val="17"/>
                <w:szCs w:val="17"/>
                <w:color w:val="auto"/>
              </w:rPr>
            </w:pPr>
          </w:p>
        </w:tc>
        <w:tc>
          <w:tcPr>
            <w:tcW w:w="68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604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5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CAPITALIZATION</w:t>
              </w:r>
            </w:hyperlink>
          </w:p>
        </w:tc>
        <w:tc>
          <w:tcPr>
            <w:tcW w:w="736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DILUTION</w:t>
              </w:r>
            </w:hyperlink>
          </w:p>
        </w:tc>
        <w:tc>
          <w:tcPr>
            <w:tcW w:w="560" w:type="dxa"/>
            <w:vAlign w:val="bottom"/>
            <w:tcBorders>
              <w:top w:val="single" w:sz="8" w:color="0000EE"/>
            </w:tcBorders>
            <w:gridSpan w:val="6"/>
          </w:tcPr>
          <w:p>
            <w:pPr>
              <w:spacing w:after="0"/>
              <w:rPr>
                <w:sz w:val="17"/>
                <w:szCs w:val="17"/>
                <w:color w:val="auto"/>
              </w:rPr>
            </w:pPr>
          </w:p>
        </w:tc>
        <w:tc>
          <w:tcPr>
            <w:tcW w:w="74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34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DISCUSSION OF MANAGEMENT’S EXPECTED OPERATING PLANS</w:t>
              </w:r>
            </w:hyperlink>
          </w:p>
        </w:tc>
        <w:tc>
          <w:tcPr>
            <w:tcW w:w="35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SENIOR SECURITIES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BUSINESS</w:t>
              </w:r>
            </w:hyperlink>
          </w:p>
        </w:tc>
        <w:tc>
          <w:tcPr>
            <w:tcW w:w="840" w:type="dxa"/>
            <w:vAlign w:val="bottom"/>
            <w:tcBorders>
              <w:top w:val="single" w:sz="8" w:color="0000EE"/>
            </w:tcBorders>
            <w:gridSpan w:val="10"/>
          </w:tcPr>
          <w:p>
            <w:pPr>
              <w:spacing w:after="0"/>
              <w:rPr>
                <w:sz w:val="17"/>
                <w:szCs w:val="17"/>
                <w:color w:val="auto"/>
              </w:rPr>
            </w:pPr>
          </w:p>
        </w:tc>
        <w:tc>
          <w:tcPr>
            <w:tcW w:w="722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MANAGEMENT</w:t>
              </w:r>
            </w:hyperlink>
          </w:p>
        </w:tc>
        <w:tc>
          <w:tcPr>
            <w:tcW w:w="762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44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CONTROL PERSONS AND PRINCIPAL STOCKHOLDERS</w:t>
              </w:r>
            </w:hyperlink>
          </w:p>
        </w:tc>
        <w:tc>
          <w:tcPr>
            <w:tcW w:w="446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TRANSACTIONS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tcPr>
          <w:p>
            <w:pPr>
              <w:spacing w:after="0"/>
              <w:rPr>
                <w:sz w:val="17"/>
                <w:szCs w:val="17"/>
                <w:color w:val="auto"/>
              </w:rPr>
            </w:pPr>
          </w:p>
        </w:tc>
        <w:tc>
          <w:tcPr>
            <w:tcW w:w="49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DIVIDEND REINVESTMENT PLAN</w:t>
              </w:r>
            </w:hyperlink>
          </w:p>
        </w:tc>
        <w:tc>
          <w:tcPr>
            <w:tcW w:w="614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2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DESCRIPTION OF OUR CAPITAL STOCK</w:t>
              </w:r>
            </w:hyperlink>
          </w:p>
        </w:tc>
        <w:tc>
          <w:tcPr>
            <w:tcW w:w="568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REGULATION</w:t>
              </w:r>
            </w:hyperlink>
          </w:p>
        </w:tc>
        <w:tc>
          <w:tcPr>
            <w:tcW w:w="778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3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BROKERAGE ALLOCATIONS AND OTHER PRACTICES</w:t>
              </w:r>
            </w:hyperlink>
          </w:p>
        </w:tc>
        <w:tc>
          <w:tcPr>
            <w:tcW w:w="452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47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MATERIAL U.S. FEDERAL INCOME TAX CONSIDERATIONS</w:t>
              </w:r>
            </w:hyperlink>
          </w:p>
        </w:tc>
        <w:tc>
          <w:tcPr>
            <w:tcW w:w="414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UNDERWRITERS</w:t>
              </w:r>
            </w:hyperlink>
          </w:p>
        </w:tc>
        <w:tc>
          <w:tcPr>
            <w:tcW w:w="752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CUSTODIAN AND TRANSFER AGENT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OPINIONS</w:t>
              </w:r>
            </w:hyperlink>
          </w:p>
        </w:tc>
        <w:tc>
          <w:tcPr>
            <w:tcW w:w="588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FISCAL YEAR</w:t>
              </w:r>
            </w:hyperlink>
          </w:p>
        </w:tc>
        <w:tc>
          <w:tcPr>
            <w:tcW w:w="300" w:type="dxa"/>
            <w:vAlign w:val="bottom"/>
            <w:tcBorders>
              <w:top w:val="single" w:sz="8" w:color="0000EE"/>
            </w:tcBorders>
            <w:gridSpan w:val="5"/>
          </w:tcPr>
          <w:p>
            <w:pPr>
              <w:spacing w:after="0"/>
              <w:rPr>
                <w:sz w:val="17"/>
                <w:szCs w:val="17"/>
                <w:color w:val="auto"/>
              </w:rPr>
            </w:pPr>
          </w:p>
        </w:tc>
        <w:tc>
          <w:tcPr>
            <w:tcW w:w="746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INDEPENDENT REGISTERED PUBLIC ACCOUNTING FIRM</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65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76536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and relate to future events, future performance or financial condition. The forward-looking statements involve risks and uncertainties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Floating Rate Capital” refer to PennantPark Floating Rate Capital Ltd.; “PennantPark Investment Advisers” or the “Investment Adviser” refers to PennantPark Investment Advisers, LLC; “PennantPark Investment Administration” or the “Administrator” refers to PennantPark Investment Administration, LLC.</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jc w:val="both"/>
        <w:ind w:left="200" w:right="160" w:firstLine="443"/>
        <w:spacing w:after="0" w:line="256" w:lineRule="auto"/>
        <w:rPr>
          <w:sz w:val="20"/>
          <w:szCs w:val="20"/>
          <w:color w:val="auto"/>
        </w:rPr>
      </w:pPr>
      <w:r>
        <w:rPr>
          <w:rFonts w:ascii="Arial" w:cs="Arial" w:eastAsia="Arial" w:hAnsi="Arial"/>
          <w:sz w:val="18"/>
          <w:szCs w:val="18"/>
          <w:color w:val="auto"/>
        </w:rPr>
        <w:t>PennantPark Floating Rate Capital Inc is a newly organized, externally managed, closed-end, non-diversified management investment company that intends to file an election to be treated as a business development company under the Investment Company Act of 1940, as amended, or the “1940 Act.” In addition, for tax purposes we intend to elect to be treated as a regulated investment company, or RIC, under Subchapter M of the Internal Revenue Code of 1986, as amended, which we refer to as the “Code.”</w:t>
      </w:r>
    </w:p>
    <w:p>
      <w:pPr>
        <w:spacing w:after="0" w:line="143" w:lineRule="exact"/>
        <w:rPr>
          <w:sz w:val="20"/>
          <w:szCs w:val="20"/>
          <w:color w:val="auto"/>
        </w:rPr>
      </w:pPr>
    </w:p>
    <w:p>
      <w:pPr>
        <w:jc w:val="both"/>
        <w:ind w:left="200" w:right="580" w:firstLine="443"/>
        <w:spacing w:after="0" w:line="259" w:lineRule="auto"/>
        <w:rPr>
          <w:sz w:val="20"/>
          <w:szCs w:val="20"/>
          <w:color w:val="auto"/>
        </w:rPr>
      </w:pPr>
      <w:r>
        <w:rPr>
          <w:rFonts w:ascii="Arial" w:cs="Arial" w:eastAsia="Arial" w:hAnsi="Arial"/>
          <w:sz w:val="18"/>
          <w:szCs w:val="18"/>
          <w:color w:val="auto"/>
        </w:rPr>
        <w:t>Our primary investment objective is to seek high current income, with a secondary objective to seek preservation of capital, consistent with the primary goal of high current income. We can offer no assurance that we will achieve our investment objectives or be able to structure our investment portfolio as anticipated.</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We are managed by PennantPark Investment Advisers, and PennantPark Investment Administration provides the administrative services necessary for us to operate.</w:t>
      </w:r>
    </w:p>
    <w:p>
      <w:pPr>
        <w:spacing w:after="0" w:line="132" w:lineRule="exact"/>
        <w:rPr>
          <w:sz w:val="20"/>
          <w:szCs w:val="20"/>
          <w:color w:val="auto"/>
        </w:rPr>
      </w:pPr>
    </w:p>
    <w:p>
      <w:pPr>
        <w:ind w:left="200" w:right="20" w:firstLine="443"/>
        <w:spacing w:after="0" w:line="285" w:lineRule="auto"/>
        <w:rPr>
          <w:sz w:val="20"/>
          <w:szCs w:val="20"/>
          <w:color w:val="auto"/>
        </w:rPr>
      </w:pPr>
      <w:r>
        <w:rPr>
          <w:rFonts w:ascii="Arial" w:cs="Arial" w:eastAsia="Arial" w:hAnsi="Arial"/>
          <w:sz w:val="16"/>
          <w:szCs w:val="16"/>
          <w:color w:val="auto"/>
        </w:rPr>
        <w:t>We will seek to achieve our investment objectives by investing primarily in Floating Rate Loans and other instruments made to middle market companies whose debt is rated below investment grade and investments with similar economic characteristics. We refer to such loans, instruments and other investments in this prospectus as the “Floating Rate Loans.” Under normal market conditions, at least 80% of the value of our Managed Assets will be invested in Floating Rate Loans, and investments with similar economic characteristics. We expect that senior secured loans will represent approximately 65% of our overall portfolio. We expect to invest the remaining approximately 35% of our overall portfolio opportunistically in other types of investments, including second-lien, high yield, mezzanine and distressed debt securities and private equity investments. In focusing on Floating Rate Loans, our primary investment focus differs from that of PennantPark Investment Corporation, a business development company for which the Adviser also acts as investment adviser, although there may be limited overlap in terms of targeted investments for the company and such other entity. Floating Rate Loans will typically pay interest at rates which are determined periodically on the basis of a floating base lending rate, primarily the London-Interbank Offered Rate, or LIBOR, plus a premium, often with a floor on the LIBOR rate. Floating Rate Loans and investments with similar economic characteristics are typically made to U.S. and, to a limited extent, non-U.S. corporations, partnerships and other business entities (which we refer to collectively as Borrowers in this prospectus) which operate in various industries and geographical regions. Borrowers may obtain Floating Rate Loans to refinance existing debt and for acquisitions, dividends, leveraged buyouts as well as for general corporate purposes. In this prospectus, we use the term “middle-market” to refer to companies with annual revenues between $50 million and $1 billion.</w:t>
      </w:r>
    </w:p>
    <w:p>
      <w:pPr>
        <w:spacing w:after="0" w:line="128" w:lineRule="exact"/>
        <w:rPr>
          <w:sz w:val="20"/>
          <w:szCs w:val="20"/>
          <w:color w:val="auto"/>
        </w:rPr>
      </w:pPr>
    </w:p>
    <w:p>
      <w:pPr>
        <w:ind w:left="200" w:right="220" w:firstLine="443"/>
        <w:spacing w:after="0" w:line="314" w:lineRule="auto"/>
        <w:rPr>
          <w:sz w:val="20"/>
          <w:szCs w:val="20"/>
          <w:color w:val="auto"/>
        </w:rPr>
      </w:pPr>
      <w:r>
        <w:rPr>
          <w:rFonts w:ascii="Arial" w:cs="Arial" w:eastAsia="Arial" w:hAnsi="Arial"/>
          <w:sz w:val="15"/>
          <w:szCs w:val="15"/>
          <w:color w:val="auto"/>
        </w:rPr>
        <w:t>In seeking to achieve our investment objectives,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in which the credit ratings of each Borrower are evaluated but are not considered to be the sole or determinative factor of selection. The criteria used by the Investment Adviser in credit selection may include an evaluation of whether a Floating Rate Loan is adequately collateralized or over-collateralized and whether it is covered by sufficient earnings and cash flow to service a Borrower’s indebtedness on a timely basis. The Investment Adviser expects to gain exposure to Borrowers across a broad range of industries and of varying characteristics and return profiles.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When identifying prospective investment opportunities, the Investment Adviser currently intends to focus primarily on the following attributes:</w:t>
      </w:r>
    </w:p>
    <w:p>
      <w:pPr>
        <w:spacing w:after="0" w:line="113" w:lineRule="exact"/>
        <w:rPr>
          <w:sz w:val="20"/>
          <w:szCs w:val="20"/>
          <w:color w:val="auto"/>
        </w:rPr>
      </w:pPr>
    </w:p>
    <w:p>
      <w:pPr>
        <w:ind w:left="1620" w:right="80" w:hanging="437"/>
        <w:spacing w:after="0" w:line="298"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defensible market positions</w:t>
      </w:r>
      <w:r>
        <w:rPr>
          <w:rFonts w:ascii="Arial" w:cs="Arial" w:eastAsia="Arial" w:hAnsi="Arial"/>
          <w:sz w:val="16"/>
          <w:szCs w:val="16"/>
          <w:color w:val="auto"/>
        </w:rPr>
        <w:t>. The Investment Adviser intends to invest in Borrowers that it believes have developed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within their markets and exhibit the potential to maintain sufficient cash flows and profitability to service their obligations in a range of economic environments. The Investment Adviser will seek Borrowers that it believes possess advantages in scale, scope, customer loyalty, product pricing or product quality as compared to their competitors.</w:t>
      </w:r>
    </w:p>
    <w:p>
      <w:pPr>
        <w:spacing w:after="0" w:line="31" w:lineRule="exact"/>
        <w:rPr>
          <w:rFonts w:ascii="Arial" w:cs="Arial" w:eastAsia="Arial" w:hAnsi="Arial"/>
          <w:sz w:val="16"/>
          <w:szCs w:val="16"/>
          <w:color w:val="auto"/>
        </w:rPr>
      </w:pPr>
    </w:p>
    <w:p>
      <w:pPr>
        <w:jc w:val="both"/>
        <w:ind w:left="1620" w:right="120" w:hanging="437"/>
        <w:spacing w:after="0" w:line="298"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in stable Borrowers with positive cash flow</w:t>
      </w:r>
      <w:r>
        <w:rPr>
          <w:rFonts w:ascii="Arial" w:cs="Arial" w:eastAsia="Arial" w:hAnsi="Arial"/>
          <w:sz w:val="16"/>
          <w:szCs w:val="16"/>
          <w:color w:val="auto"/>
        </w:rPr>
        <w:t>. The Investment Adviser intends to invest in Borrowers believed to be stable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established, with strong cash flows and profitability. The Investment Adviser believes these attributes indicate Borrowers that may be well-positioned to maintain consistent cash flow to service and repay their liabilities and maintain growth in their businesses or their relative market share. The Investment Adviser currently does not expect to invest significantly in start-up</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4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70446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companies, companies in turnaround situations or companies with speculative business plans, although we are permitted to do so.</w:t>
      </w:r>
    </w:p>
    <w:p>
      <w:pPr>
        <w:spacing w:after="0" w:line="113" w:lineRule="exact"/>
        <w:rPr>
          <w:sz w:val="20"/>
          <w:szCs w:val="20"/>
          <w:color w:val="auto"/>
        </w:rPr>
      </w:pPr>
    </w:p>
    <w:p>
      <w:pPr>
        <w:ind w:left="1620" w:right="380" w:hanging="437"/>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Investment Adviser intends to focus on investments in which the Borrower has an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with an established track record of success. The Investment Adviser typically will require that Borrowers have in place proper incentives to align management’s goals with our goals.</w:t>
      </w:r>
    </w:p>
    <w:p>
      <w:pPr>
        <w:spacing w:after="0" w:line="59" w:lineRule="exact"/>
        <w:rPr>
          <w:rFonts w:ascii="Arial" w:cs="Arial" w:eastAsia="Arial" w:hAnsi="Arial"/>
          <w:sz w:val="18"/>
          <w:szCs w:val="18"/>
          <w:color w:val="auto"/>
        </w:rPr>
      </w:pPr>
    </w:p>
    <w:p>
      <w:pPr>
        <w:ind w:left="1620" w:right="100" w:hanging="437"/>
        <w:spacing w:after="0" w:line="294"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Private equity sponsorship</w:t>
      </w:r>
      <w:r>
        <w:rPr>
          <w:rFonts w:ascii="Arial" w:cs="Arial" w:eastAsia="Arial" w:hAnsi="Arial"/>
          <w:sz w:val="16"/>
          <w:szCs w:val="16"/>
          <w:color w:val="auto"/>
        </w:rPr>
        <w:t>. The Investment Adviser may seek to cause us to participate in transactions sponsored by what it believes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high-quality private equity firms. The Investment Adviser believes that a private equity sponsor’s willingness to invest significant sums of equity capital in a company is an implicit endorsement of the quality of that company. Further, private equity sponsors of Borrowers with significant investments at risk may have an ability, and a strong incentive, to contribute additional capital in difficult economic times should operational issues arise so as to maintain their ownership position.</w:t>
      </w:r>
    </w:p>
    <w:p>
      <w:pPr>
        <w:spacing w:after="0" w:line="34" w:lineRule="exact"/>
        <w:rPr>
          <w:rFonts w:ascii="Arial" w:cs="Arial" w:eastAsia="Arial" w:hAnsi="Arial"/>
          <w:sz w:val="16"/>
          <w:szCs w:val="16"/>
          <w:color w:val="auto"/>
        </w:rPr>
      </w:pPr>
    </w:p>
    <w:p>
      <w:pPr>
        <w:ind w:left="1620" w:right="80" w:hanging="437"/>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Investments in different Borrowers and industries</w:t>
      </w:r>
      <w:r>
        <w:rPr>
          <w:rFonts w:ascii="Arial" w:cs="Arial" w:eastAsia="Arial" w:hAnsi="Arial"/>
          <w:sz w:val="18"/>
          <w:szCs w:val="18"/>
          <w:color w:val="auto"/>
        </w:rPr>
        <w:t>. The Adviser will seek to invest our assets broadly among Borrowers and industries.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Adviser believes that this diversified approach will potentially reduce the risk that a downturn in any one company or industry will have a disproportionate impact on the value of our portfolio.</w:t>
      </w:r>
    </w:p>
    <w:p>
      <w:pPr>
        <w:spacing w:after="0" w:line="140" w:lineRule="exact"/>
        <w:rPr>
          <w:sz w:val="20"/>
          <w:szCs w:val="20"/>
          <w:color w:val="auto"/>
        </w:rPr>
      </w:pPr>
    </w:p>
    <w:p>
      <w:pPr>
        <w:ind w:left="200" w:right="180" w:firstLine="443"/>
        <w:spacing w:after="0" w:line="286" w:lineRule="auto"/>
        <w:rPr>
          <w:sz w:val="20"/>
          <w:szCs w:val="20"/>
          <w:color w:val="auto"/>
        </w:rPr>
      </w:pPr>
      <w:r>
        <w:rPr>
          <w:rFonts w:ascii="Arial" w:cs="Arial" w:eastAsia="Arial" w:hAnsi="Arial"/>
          <w:sz w:val="16"/>
          <w:szCs w:val="16"/>
          <w:color w:val="auto"/>
        </w:rPr>
        <w:t>The Adviser intends to monitor credit risk regularly and periodically with a goal toward identifying early, and selling, Floating Rate Loans and other investments with potential credit problems. This monitoring process may include reviewing (1) a Borrower’s financial resources and operating history;</w:t>
      </w:r>
    </w:p>
    <w:p>
      <w:pPr>
        <w:ind w:left="200" w:right="340" w:hanging="3"/>
        <w:spacing w:after="0" w:line="254" w:lineRule="auto"/>
        <w:tabs>
          <w:tab w:leader="none" w:pos="4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comparing a Borrower’s current operating results with the Adviser’s initial thesis for the investment and its expectations for the performance of the investment; (3) a Borrower’s sensitivity to economic conditions; (4) the performance of a Borrower’s management; (5) a Borrower’s debt maturities and borrowing requirements; (6) a Borrower’s interest and asset coverage; and (7) the relative value of an investment based on a Borrower’s anticipated cash flow.</w:t>
      </w:r>
    </w:p>
    <w:p>
      <w:pPr>
        <w:spacing w:after="0" w:line="144"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Under normal market conditions, at least 80% of our Managed Assets will be invested in Floating Rate Loans and investments with similar economic characteristics. This policy is not fundamental and may be changed by our board of directors with at least 60 days’ prior notice provided to stockholders. In this prospectus, “Managed Assets” means our total assets (including any assets attributable to shares of our preferred stock that may be issued or to money borrowed from banks or financial institutions or notes issued by us for investment purposes) minus the sum of our accrued liabilities (other than liabilities incurred for the express purpose of creating leverage).</w:t>
      </w:r>
    </w:p>
    <w:p>
      <w:pPr>
        <w:spacing w:after="0" w:line="14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Our secondary investment objective is to seek preservation of capital, consistent with our primary goal of generating high current income. Our ability to achieve this secondary investment objective is limited due to our investment policy of investing primarily in Floating Rate Loans and investments with similar economic characteristics, which may be speculative. The Adviser will seek to achieve our secondary investment objective through a disciplined approach to the selection of credit investments and its evaluation of Borrowers. The Adviser also expects to gain exposure to Borrowers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shareholders, we may shorten the average maturity of its investment portfolio (by investing in short-term securities) or reduce our indebtedness or unwind other leveraged transactions. We may also attempt to reduce our use of leverage by redeeming or otherwise purchasing outstanding preferred stock, if any.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w:t>
      </w:r>
    </w:p>
    <w:p>
      <w:pPr>
        <w:spacing w:after="0" w:line="118"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473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74739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323" w:lineRule="auto"/>
        <w:rPr>
          <w:sz w:val="20"/>
          <w:szCs w:val="20"/>
          <w:color w:val="auto"/>
        </w:rPr>
      </w:pPr>
      <w:r>
        <w:rPr>
          <w:rFonts w:ascii="Arial" w:cs="Arial" w:eastAsia="Arial" w:hAnsi="Arial"/>
          <w:sz w:val="15"/>
          <w:szCs w:val="15"/>
          <w:color w:val="auto"/>
        </w:rPr>
        <w:t>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640" w:right="16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sz w:val="20"/>
          <w:szCs w:val="20"/>
          <w:color w:val="auto"/>
        </w:rPr>
      </w:pPr>
    </w:p>
    <w:p>
      <w:pPr>
        <w:ind w:left="640" w:right="20"/>
        <w:spacing w:after="0" w:line="334" w:lineRule="auto"/>
        <w:rPr>
          <w:sz w:val="20"/>
          <w:szCs w:val="20"/>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loan obligation (“CLO”) funds have withdrawn capital from the middle-market resulting in opportunities for alternative funding sources.</w:t>
      </w:r>
    </w:p>
    <w:p>
      <w:pPr>
        <w:spacing w:after="0" w:line="1" w:lineRule="exact"/>
        <w:rPr>
          <w:sz w:val="20"/>
          <w:szCs w:val="20"/>
          <w:color w:val="auto"/>
        </w:rPr>
      </w:pPr>
    </w:p>
    <w:p>
      <w:pPr>
        <w:ind w:left="64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sz w:val="20"/>
          <w:szCs w:val="20"/>
          <w:color w:val="auto"/>
        </w:rPr>
      </w:pPr>
    </w:p>
    <w:p>
      <w:pPr>
        <w:ind w:left="640" w:right="300"/>
        <w:spacing w:after="0" w:line="296" w:lineRule="auto"/>
        <w:rPr>
          <w:sz w:val="20"/>
          <w:szCs w:val="20"/>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7"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43" w:lineRule="exact"/>
        <w:rPr>
          <w:sz w:val="20"/>
          <w:szCs w:val="20"/>
          <w:color w:val="auto"/>
        </w:rPr>
      </w:pPr>
    </w:p>
    <w:p>
      <w:pPr>
        <w:ind w:left="200" w:right="140" w:firstLine="443"/>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 Investment Selection Criteria.”</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strong competitive positions;</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977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99771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positive cash flow that is steady and stable;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experienced management teams with strong track records;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potential for growth and viable exit strategies; and</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Ability to Source and Evaluate Transactions through our Investment Adviser’s Research Capability and Established Network</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jc w:val="both"/>
        <w:ind w:left="200" w:right="50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financial needs of a company while also generating attractive risk-adjusted returns. We can invest in any part of a capital structure and our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60" w:firstLine="443"/>
        <w:spacing w:after="0" w:line="318"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00" w:lineRule="exact"/>
        <w:rPr>
          <w:sz w:val="20"/>
          <w:szCs w:val="20"/>
          <w:color w:val="auto"/>
        </w:rPr>
      </w:pPr>
    </w:p>
    <w:p>
      <w:pPr>
        <w:jc w:val="both"/>
        <w:ind w:left="200" w:right="80" w:firstLine="443"/>
        <w:spacing w:after="0" w:line="32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98" w:lineRule="exact"/>
        <w:rPr>
          <w:sz w:val="20"/>
          <w:szCs w:val="20"/>
          <w:color w:val="auto"/>
        </w:rPr>
      </w:pPr>
    </w:p>
    <w:p>
      <w:pPr>
        <w:ind w:left="200" w:right="320" w:firstLine="443"/>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operate in a highly competitive market for investment opportunities.”</w:t>
      </w:r>
    </w:p>
    <w:p>
      <w:pPr>
        <w:sectPr>
          <w:pgSz w:w="11900" w:h="16838" w:orient="portrait"/>
          <w:cols w:equalWidth="0" w:num="1">
            <w:col w:w="11260"/>
          </w:cols>
          <w:pgMar w:left="240" w:top="459"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-121920</wp:posOffset>
            </wp:positionV>
            <wp:extent cx="7276465" cy="1631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1631315"/>
                    </a:xfrm>
                    <a:prstGeom prst="rect">
                      <a:avLst/>
                    </a:prstGeom>
                    <a:noFill/>
                  </pic:spPr>
                </pic:pic>
              </a:graphicData>
            </a:graphic>
          </wp:anchor>
        </w:drawing>
      </w:r>
    </w:p>
    <w:p>
      <w:pPr>
        <w:spacing w:after="0" w:line="76" w:lineRule="exact"/>
        <w:rPr>
          <w:sz w:val="20"/>
          <w:szCs w:val="20"/>
          <w:color w:val="auto"/>
        </w:rPr>
      </w:pPr>
    </w:p>
    <w:p>
      <w:pPr>
        <w:ind w:right="40" w:firstLine="443"/>
        <w:spacing w:after="0" w:line="259" w:lineRule="auto"/>
        <w:rPr>
          <w:sz w:val="20"/>
          <w:szCs w:val="20"/>
          <w:color w:val="auto"/>
        </w:rPr>
      </w:pPr>
      <w:r>
        <w:rPr>
          <w:rFonts w:ascii="Arial" w:cs="Arial" w:eastAsia="Arial" w:hAnsi="Arial"/>
          <w:sz w:val="18"/>
          <w:szCs w:val="18"/>
          <w:color w:val="auto"/>
        </w:rPr>
        <w:t>We currently anticipate utilizing leverage. In order to make additional investments, we may incur in leverage in an aggregate amount of up to 50% of Managed Assets at the time such leverage is incurred (which would be equivalent to 100% of our net assets). The may issue preferred stock and/or notes, enter into total return swaps, and borrow funds from banks and other financial institutions.</w:t>
      </w:r>
    </w:p>
    <w:p>
      <w:pPr>
        <w:spacing w:after="0" w:line="140" w:lineRule="exact"/>
        <w:rPr>
          <w:sz w:val="20"/>
          <w:szCs w:val="20"/>
          <w:color w:val="auto"/>
        </w:rPr>
      </w:pPr>
    </w:p>
    <w:p>
      <w:pPr>
        <w:ind w:firstLine="443"/>
        <w:spacing w:after="0" w:line="254" w:lineRule="auto"/>
        <w:rPr>
          <w:sz w:val="20"/>
          <w:szCs w:val="20"/>
          <w:color w:val="auto"/>
        </w:rPr>
      </w:pPr>
      <w:r>
        <w:rPr>
          <w:rFonts w:ascii="Arial" w:cs="Arial" w:eastAsia="Arial" w:hAnsi="Arial"/>
          <w:sz w:val="18"/>
          <w:szCs w:val="18"/>
          <w:color w:val="auto"/>
        </w:rPr>
        <w:t>All costs and expenses related to any form of leverage will be borne entirely by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includes assets purchased using leverage. As such, our Investment Adviser may have a financial incentive to increase the use of leverage, which</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125"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370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7370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540"/>
        <w:spacing w:after="0" w:line="259" w:lineRule="auto"/>
        <w:rPr>
          <w:sz w:val="20"/>
          <w:szCs w:val="20"/>
          <w:color w:val="auto"/>
        </w:rPr>
      </w:pPr>
      <w:r>
        <w:rPr>
          <w:rFonts w:ascii="Arial" w:cs="Arial" w:eastAsia="Arial" w:hAnsi="Arial"/>
          <w:sz w:val="18"/>
          <w:szCs w:val="18"/>
          <w:color w:val="auto"/>
        </w:rPr>
        <w:t>constitutes an inherent conflict of interest. In addition, the fees we pay to the Investment Adviser are borne exclusively by common stockholders. It is expected that preferred stockholders, noteholders and any lenders will not bear any of our expenses. Our leveraging strategy, if utilized, may not be successful.</w:t>
      </w:r>
    </w:p>
    <w:p>
      <w:pPr>
        <w:spacing w:after="0" w:line="140"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may negotiate with one or more large commercial banks to arrange a floating rate credit facility, which we refer to in this prospectus as a “Credit Facility,” pursuant to which we would be entitled to borrow an amount equal to approximately 50% of our Managed Assets less any amounts of existing leverage, including from the issuance of preferred stock and/or notes. Any such borrowings would constitute financial leverage. Additionally,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the securitized pool of loans. We may choose not to enter into a Credit Facility or to obtain any other form of financing.</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the Investment Adviser. Under our investment management agreement (the “Investment Management Agreement”), we have agreed to pay our Investment Adviser an annual base management fee based on our average adjusted gross assets as well as an incentive fee based on our investment performance. See “Business – Investment Management Agreement” for more information.</w:t>
      </w:r>
    </w:p>
    <w:p>
      <w:pPr>
        <w:spacing w:after="0" w:line="113"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“Business – Administration Agreement” for more information.</w:t>
      </w:r>
    </w:p>
    <w:p>
      <w:pPr>
        <w:spacing w:after="0" w:line="113"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As a business development company, we are required to comply with certain regulatory requirements. Also, while we are permitted to finance investments using debt, our ability to use debt is limited in certain significant respects. See “Regulation” for more information. We have elected to be treated for federal income tax purposes under the Code as a RIC. See “Material U.S. Federal Income Tax Considerations” for more information.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We plan to use the net proceeds of this offering for investments in portfolio companies in accordance with our investment objective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used for the above purposes within [ ] months, depending on the availability of appropriate investment opportunities consistent with our investment objective and market conditions. We cannot assure you that we will achieve our targeted investment pace.</w:t>
      </w:r>
    </w:p>
    <w:p>
      <w:pPr>
        <w:spacing w:after="0" w:line="144"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management fee payable by us will be reduced while our assets are invested in such securities. See “Regulation as a Business Development Company — Temporary Investments” for additional information about temporary investments we may make while waiting to make longer-term investments in pursuit of our investment objective.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We intend to distribute monthly dividends to our common stockholders. Our monthly dividends, if any, are determined by our board of directors. See “Distributions”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 for more information.</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02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2002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We have applied to have our common stock listed on the [ ] under the symbol [“ ”].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The following table is intended to assist you in understanding the costs and expenses that an investor in our common stock will bear directly or indirectly. Stockholders should understand that some of the percentages indicated in the table below are estimates and may vary. The expenses shown in the table under “Other Expenses” and “Total Annual Expenses” are based on estimated amounts for our annual operations and assume that the company issues approximately</w:t>
      </w:r>
    </w:p>
    <w:p>
      <w:pPr>
        <w:spacing w:after="0" w:line="1" w:lineRule="exact"/>
        <w:rPr>
          <w:sz w:val="20"/>
          <w:szCs w:val="20"/>
          <w:color w:val="auto"/>
        </w:rPr>
      </w:pPr>
    </w:p>
    <w:p>
      <w:pPr>
        <w:ind w:right="320" w:firstLine="8"/>
        <w:spacing w:after="0" w:line="261" w:lineRule="auto"/>
        <w:tabs>
          <w:tab w:leader="none" w:pos="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 shares of common stock. If we issue fewer common shares, all other things being equal, these expenses would increase as a percentage of net assets attributable to common stock.</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Stockholder Transaction Expenses</w:t>
            </w:r>
          </w:p>
        </w:tc>
        <w:tc>
          <w:tcPr>
            <w:tcW w:w="2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load (as a percentage of common share offering price)</w:t>
            </w:r>
          </w:p>
        </w:tc>
        <w:tc>
          <w:tcPr>
            <w:tcW w:w="3520" w:type="dxa"/>
            <w:vAlign w:val="bottom"/>
            <w:gridSpan w:val="3"/>
            <w:shd w:val="clear" w:color="auto" w:fill="CCEEFF"/>
          </w:tcPr>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3"/>
              </w:rPr>
              <w:t>Offering expenses (as a percentage of common share offering price)</w:t>
            </w:r>
          </w:p>
        </w:tc>
        <w:tc>
          <w:tcPr>
            <w:tcW w:w="3520" w:type="dxa"/>
            <w:vAlign w:val="bottom"/>
            <w:gridSpan w:val="3"/>
          </w:tcPr>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2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None%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87"/>
              </w:rPr>
              <w:t>Total stockholder transaction expenses (as a percentage of offering price)</w:t>
            </w:r>
          </w:p>
        </w:tc>
        <w:tc>
          <w:tcPr>
            <w:tcW w:w="3200" w:type="dxa"/>
            <w:vAlign w:val="bottom"/>
            <w:gridSpan w:val="2"/>
          </w:tcPr>
          <w:p>
            <w:pPr>
              <w:ind w:left="3060"/>
              <w:spacing w:after="0"/>
              <w:rPr>
                <w:sz w:val="20"/>
                <w:szCs w:val="20"/>
                <w:color w:val="auto"/>
              </w:rPr>
            </w:pPr>
            <w:r>
              <w:rPr>
                <w:rFonts w:ascii="Arial" w:cs="Arial" w:eastAsia="Arial" w:hAnsi="Arial"/>
                <w:sz w:val="18"/>
                <w:szCs w:val="18"/>
                <w:color w:val="auto"/>
                <w:w w:val="74"/>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520" w:type="dxa"/>
            <w:vAlign w:val="bottom"/>
            <w:gridSpan w:val="3"/>
          </w:tcPr>
          <w:p>
            <w:pPr>
              <w:jc w:val="center"/>
              <w:ind w:left="2054"/>
              <w:spacing w:after="0" w:line="149" w:lineRule="exact"/>
              <w:rPr>
                <w:sz w:val="20"/>
                <w:szCs w:val="20"/>
                <w:color w:val="auto"/>
              </w:rPr>
            </w:pPr>
            <w:r>
              <w:rPr>
                <w:rFonts w:ascii="Arial" w:cs="Arial" w:eastAsia="Arial" w:hAnsi="Arial"/>
                <w:sz w:val="14"/>
                <w:szCs w:val="14"/>
                <w:b w:val="1"/>
                <w:bCs w:val="1"/>
                <w:color w:val="auto"/>
                <w:w w:val="82"/>
              </w:rPr>
              <w:t>of Net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to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Annual Expenses (as a percentage of net assets attributable to common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Management fees</w:t>
            </w:r>
          </w:p>
        </w:tc>
        <w:tc>
          <w:tcPr>
            <w:tcW w:w="3520" w:type="dxa"/>
            <w:vAlign w:val="bottom"/>
            <w:gridSpan w:val="3"/>
          </w:tcPr>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Incentive fees payable under our Investment Management Agreement([</w:t>
            </w:r>
          </w:p>
        </w:tc>
        <w:tc>
          <w:tcPr>
            <w:tcW w:w="3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of realized capital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 and [  ]% of Pre-Incentive Fee Net Investment Income)</w:t>
            </w:r>
          </w:p>
        </w:tc>
        <w:tc>
          <w:tcPr>
            <w:tcW w:w="3520" w:type="dxa"/>
            <w:vAlign w:val="bottom"/>
            <w:gridSpan w:val="3"/>
            <w:shd w:val="clear" w:color="auto" w:fill="CCEEFF"/>
          </w:tcPr>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Interest expense on borrowed funds</w:t>
            </w:r>
          </w:p>
        </w:tc>
        <w:tc>
          <w:tcPr>
            <w:tcW w:w="3520" w:type="dxa"/>
            <w:vAlign w:val="bottom"/>
            <w:gridSpan w:val="3"/>
          </w:tcPr>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520" w:type="dxa"/>
            <w:vAlign w:val="bottom"/>
            <w:gridSpan w:val="3"/>
            <w:shd w:val="clear" w:color="auto" w:fill="CCEEFF"/>
          </w:tcPr>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annual expenses (estimated)</w:t>
            </w:r>
          </w:p>
        </w:tc>
        <w:tc>
          <w:tcPr>
            <w:tcW w:w="3520" w:type="dxa"/>
            <w:vAlign w:val="bottom"/>
            <w:gridSpan w:val="3"/>
          </w:tcPr>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(4)(7)</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we would have no indebtedness and that our annual operating expenses remain at the levels set forth in the table above.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6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3 Years</w:t>
            </w:r>
          </w:p>
        </w:tc>
        <w:tc>
          <w:tcPr>
            <w:tcW w:w="62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6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9"/>
              </w:rPr>
              <w:t>10 Years</w:t>
            </w:r>
          </w:p>
        </w:tc>
        <w:tc>
          <w:tcPr>
            <w:tcW w:w="10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the example assumes inclusion of the sales load of $[ ] in the first year and reinvestment of all dividends and other distributions at net asset value.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additional information regarding our dividend reinvestment plan.</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This Example and the expenses in the table above should not be considered a representation of our future expenses; actual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underwriting discount and commission with respect to shares sold in this offering, which is a one-time fee, is the only sales load paid in connection with this offering.</w:t>
      </w:r>
    </w:p>
    <w:p>
      <w:pPr>
        <w:spacing w:after="0"/>
        <w:tabs>
          <w:tab w:leader="none" w:pos="440" w:val="left"/>
          <w:tab w:leader="none" w:pos="5180" w:val="left"/>
        </w:tabs>
        <w:rPr>
          <w:sz w:val="20"/>
          <w:szCs w:val="20"/>
          <w:color w:val="auto"/>
        </w:rPr>
      </w:pPr>
      <w:r>
        <w:rPr>
          <w:rFonts w:ascii="Arial" w:cs="Arial" w:eastAsia="Arial" w:hAnsi="Arial"/>
          <w:sz w:val="16"/>
          <w:szCs w:val="16"/>
          <w:color w:val="auto"/>
        </w:rPr>
        <w:t>(2)</w:t>
        <w:tab/>
        <w:t>Amount reflects estimated offering expenses of approximately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management fee under the Investment Management Agreement is based on our gross assets. See “Management—Investment Management Agreement” and footnote 5 below.</w:t>
      </w:r>
    </w:p>
    <w:p>
      <w:pPr>
        <w:ind w:left="460" w:right="2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our current business plan and our existing pipeline of potential investments, we anticipate that substantially all of the net proceeds of this offering will be used within [ ] months following completion of this offering in accordance with our investment objective. Pending such investments, we will invest the net proceeds primarily in cash, cash equivalents, U.S. government securities and other high-quality investments that mature in one year or less from the date of investment. The management fee payable by us will be reduced while our assets are invested in such securities. We expect that during this period we will not have any capital gains and that the amount of our interest income will not exceed the quarterly minimum hurdle rate discussed below. As a result, we do not anticipate paying any incentive fees in the first year after the completion of this offering.</w:t>
      </w:r>
    </w:p>
    <w:p>
      <w:pPr>
        <w:spacing w:after="0" w:line="3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incentive fee consists of two components, ordinary income and capital gains:</w:t>
      </w:r>
    </w:p>
    <w:p>
      <w:pPr>
        <w:spacing w:after="0" w:line="90"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 xml:space="preserve">The ordinary income component, which is payable quarterly in arrears, will equal [ ]% of the excess, if any, of our “Preincentive Fee Net Investment Income” over a [ ]% quarterly ([ ]% annualized) hurdle rate, expressed as a rate of return on the value of our net assets attributable to our common stock, and a “catch-up” provision, measured as of the end of each calendar quarter. Under this provision, in any calendar quarter, our investment advisor receives no incentive fee until our net investment income equals the hurdle rate of [ ]% but then receives, as a “catch-up,” [ ]% of our preincentive fee net investment income with respect to that portion of such preincentive fee net investment income, if any, that exceeds the hurdle rate but is less than [ ]% subject to a total return requirement and deferral of non-cash amounts. The effect of the “catch-up” provision is that, subject to the total return and deferral provisions discussed below, if preincentive fee net investment income exceeds [ ]% in any calendar quarter, our investment advisor will receive [ ]% of our preincentive fee net investment income as if a hurdle rate did not apply. The ordinary income component of the incentive fee will be computed on income that may include interest that is accrued but not yet received in cash. The foregoing incentive fee is subject to a total return requirement, which provides that no incentive fee in respect of the company’s preincentive fee net investment income will be payable except to the extent [ ]% of the cumulative net increase in net assets resulting from operations over the then current and the shorter of 11 preceding calendar quarters or since the closing of this offering exceeds the cumulative incentive fees accrued and/or paid for the shorter of 11 preceding calendar quarters or since the closing of this offering. In other words, any ordinary income incentive fee that is payable in a calendar quarter will be limited to the lesser of (i) [ ]% of the amount by which our preincentive fee net investment income for such calendar quarter exceeds the [ ]% hurdle, subject to the “catch-up” provision, and (ii) (x) [ ]% of the cumulative net increase in net assets resulting from operations for the then current and the shorter of 11 preceding calendar quarters or since the closing of this offering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cumulative incentive fees accrued and/or paid for the shorter of 11 preceding calendar quarters or since the closing of this offering . For the foregoing purpose, the “cumulative net increase in net assets resulting from operations” is the sum of preincentive fee net investment income, base management fees, realized gains and losses and unrealized appreciation and depreciation of the company for the then current and the shorter of 11 preceding calendar quarters or since the closing of this offering. In addition, the portion of such incentive fee that is attributable to deferred interest (sometimes referred to as payment-in-kind interest, or PIK, or original issue discount, or OID) will be paid to PennantPark Investment Advisors, together with interest thereon from the date of deferral to the date of payment, only if and to the extent we actually receive such interest in cash, and any accrual thereof will be reversed if and to the extent such interest is reversed in connection with any write-off or similar treatment of the investment giving rise to any deferred interest accrual. There is no accumulation of amounts on the hurdle rate from quarter to quarter and accordingly there is no clawback of amounts previously paid if subsequent quarters are below the quarterly hurdle rate and there is no delay of payment if prior quarters are below the quarterly hurdle rate.</w:t>
      </w:r>
    </w:p>
    <w:p>
      <w:pPr>
        <w:spacing w:after="0" w:line="59"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The capital gains component of the incentive fee will equal [ ]% of our “Incentive Fee Capital Gains,” if any, which will equal our aggregate cumulative realized capital gains from inception through the end of each calendar year, computed net of our aggregate cumulative realized capital losses and our aggregate cumulative unrealized capital depreciation, less the aggregate amount of any previously paid capital gain incentive fees. The second component of the incentive fee will be payable, in arrears, at the end of each calendar year (or upon termination of the investment management agreement, as of the termination date), commencing with the year ending December 31, 2011. For a more detailed discussion of the calculation of this fee, see “Management– Investment Management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borrow funds from time to time to make investments to the extent we determine that the economic situation is conducive to doing so. The costs associated with our outstanding borrowings will be indirectly born by our investors.</w:t>
      </w:r>
    </w:p>
    <w:p>
      <w:pPr>
        <w:ind w:left="4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estimated organizational expenses of $[ ] (which are non-recurring) and our overhead expenses, including payments under the Administration Agreement, based on our projected allocable portion of overhead and other expenses incurred by PennantPark Administration in performing its obligations under the Administration Agreement. See “Management—Administration Agreement.”</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materially and adversely affected debt and equity capital markets in the United States, which could have a negative impact on our business and operations.</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past three years,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a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incurs credit risk when it loans money or commits to loan money to a portfolio company.</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Floating Rate Loans. Negative credit events will lead to a decrease in the fair value of our Floating Rate Loans.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126" w:lineRule="exact"/>
        <w:rPr>
          <w:sz w:val="20"/>
          <w:szCs w:val="20"/>
          <w:color w:val="auto"/>
        </w:rPr>
      </w:pPr>
    </w:p>
    <w:p>
      <w:pPr>
        <w:jc w:val="both"/>
        <w:ind w:right="360" w:firstLine="456"/>
        <w:spacing w:after="0" w:line="303" w:lineRule="auto"/>
        <w:rPr>
          <w:sz w:val="20"/>
          <w:szCs w:val="20"/>
          <w:color w:val="auto"/>
        </w:rPr>
      </w:pPr>
      <w:r>
        <w:rPr>
          <w:rFonts w:ascii="Arial" w:cs="Arial" w:eastAsia="Arial" w:hAnsi="Arial"/>
          <w:sz w:val="15"/>
          <w:szCs w:val="15"/>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 our board of directors. Decreases in the market values or fair values of our investments will be recorded as unrealized depreciation.</w:t>
      </w:r>
    </w:p>
    <w:p>
      <w:pPr>
        <w:spacing w:after="0" w:line="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03"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1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17" w:lineRule="exact"/>
        <w:rPr>
          <w:sz w:val="20"/>
          <w:szCs w:val="20"/>
          <w:color w:val="auto"/>
        </w:rPr>
      </w:pPr>
    </w:p>
    <w:p>
      <w:pPr>
        <w:ind w:right="80"/>
        <w:spacing w:after="0" w:line="378"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our Investment Adviser. Managers of our Investment Adviser evaluate, negotiate, structure, close and monitor our investments. Our future success depends on the continued service of management personnel of our Investment Adviser. The departure of managers of our Investment Adviser could have a material adverse effect on our ability to achieve our investment objectives. In addition, we can offer no assurance that PennantPark Investment Advisers will remain our Investment Adviser.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number of entities compete with us to make the types of investments that we make in middle-market companies. We compete with public and private funds, including other business development companies and closed-end funds, commercial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8"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92"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b w:val="1"/>
          <w:bCs w:val="1"/>
          <w:color w:val="auto"/>
        </w:rPr>
        <w:t>PennantPark Floating Rate Capital may not replicate the historical performance of other investment companies with which our investment professionals have been affiliated.</w:t>
      </w:r>
    </w:p>
    <w:p>
      <w:pPr>
        <w:spacing w:after="0" w:line="12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we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1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 of income, quarterly asset diversification and distribution requirements, we generally will not be subject to corporate-level income tax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20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2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62" w:lineRule="exact"/>
        <w:rPr>
          <w:sz w:val="20"/>
          <w:szCs w:val="20"/>
          <w:color w:val="auto"/>
        </w:rPr>
      </w:pPr>
    </w:p>
    <w:p>
      <w:pPr>
        <w:ind w:left="460"/>
        <w:spacing w:after="0" w:line="306" w:lineRule="auto"/>
        <w:rPr>
          <w:sz w:val="20"/>
          <w:szCs w:val="20"/>
          <w:color w:val="auto"/>
        </w:rPr>
      </w:pPr>
      <w:r>
        <w:rPr>
          <w:rFonts w:ascii="Arial" w:cs="Arial" w:eastAsia="Arial" w:hAnsi="Arial"/>
          <w:sz w:val="15"/>
          <w:szCs w:val="15"/>
          <w:i w:val="1"/>
          <w:iCs w:val="1"/>
          <w:color w:val="auto"/>
        </w:rPr>
        <w:t>Additional Common Stock</w:t>
      </w:r>
      <w:r>
        <w:rPr>
          <w:rFonts w:ascii="Arial" w:cs="Arial" w:eastAsia="Arial" w:hAnsi="Arial"/>
          <w:sz w:val="15"/>
          <w:szCs w:val="15"/>
          <w:color w:val="auto"/>
        </w:rPr>
        <w:t>. Our board of directors may decide to issue common stock to finance our operations rather than issuing debt or other senior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As a business development company,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5"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 may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Floating Rate Capital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Officers of our Investment Adviser and Administrator are currently providing managerial assistance to our controlled affiliate.</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have entered into a license agreement, or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use borrowed funds to make investments and are exposed to the typical risks associated with leverage.</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use of debt would governed by the terms of a Credit Facility or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also negotiate with one or more large commercial banks to arrange a floating rate credit facility, which we refer to in this prospectus as the “Credit Facility”, pursuant to which we would be entitled to borrow an amount up to approximately 50% of our Managed Assets, less any amount of then existing leverage, including from the issuance of preferred stock and/or notes. Any such borrowings would constitute financial leverage. We may choose not to enter into such a Credit Facility.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following table is furnished in response to requirements of the SEC. It is designed to illustrate the effect of leverage on common stock total return, assuming investment portfolio total returns (comprised of income and changes in the value of securities held in the company’s portfolio) of –10%, –5%, 0%, 5% and 10%. These assumed investment portfolio returns are hypothetical figures and are not necessarily indicative of the investment portfolio returns that we may experience. Actual returns may be greater or less than those appearing in the table. The table further reflects leverage representing, in the aggregate, 50% of our Managed Assets (or 100% of our net assets), net of expenses, and our currently projected dividend and/or interest rate of [ ]% on our preferred stock and/or notes. Based on this analysis, our common stock must experience an annual return of [ ]% in order to cover annual dividend and/or interest payments on preferred stock and/or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w w:val="90"/>
              </w:rPr>
              <w:t>Assumed portfolio total return (net of expenses)</w:t>
            </w:r>
          </w:p>
        </w:tc>
        <w:tc>
          <w:tcPr>
            <w:tcW w:w="5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(10)</w:t>
            </w:r>
            <w:r>
              <w:rPr>
                <w:rFonts w:ascii="Arial" w:cs="Arial" w:eastAsia="Arial" w:hAnsi="Arial"/>
                <w:sz w:val="14"/>
                <w:szCs w:val="14"/>
                <w:b w:val="1"/>
                <w:bCs w:val="1"/>
                <w:u w:val="single" w:color="auto"/>
                <w:color w:val="auto"/>
              </w:rPr>
              <w:t>%</w:t>
            </w:r>
          </w:p>
        </w:tc>
        <w:tc>
          <w:tcPr>
            <w:tcW w:w="4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7"/>
              </w:rPr>
              <w:t>(5)</w:t>
            </w:r>
            <w:r>
              <w:rPr>
                <w:rFonts w:ascii="Arial" w:cs="Arial" w:eastAsia="Arial" w:hAnsi="Arial"/>
                <w:sz w:val="14"/>
                <w:szCs w:val="14"/>
                <w:b w:val="1"/>
                <w:bCs w:val="1"/>
                <w:u w:val="single" w:color="auto"/>
                <w:color w:val="auto"/>
                <w:w w:val="87"/>
              </w:rPr>
              <w:t>%</w:t>
            </w:r>
          </w:p>
        </w:tc>
        <w:tc>
          <w:tcPr>
            <w:tcW w:w="280" w:type="dxa"/>
            <w:vAlign w:val="bottom"/>
          </w:tcPr>
          <w:p>
            <w:pPr>
              <w:spacing w:after="0"/>
              <w:rPr>
                <w:sz w:val="14"/>
                <w:szCs w:val="14"/>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0%</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Common stock total return</w:t>
            </w:r>
          </w:p>
        </w:tc>
        <w:tc>
          <w:tcPr>
            <w:tcW w:w="5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Common stock total return is comprised of two elements—the common stock dividends paid by us (the amount of which is largely determined by our net investment income after paying dividends) and gains or losses on the value of the securities we own. As required by SEC rules, the table above assumes that we are more likely to suffer capital losses than to enjoy capital appreciation. For example, to assume a total return of 0% we must assume that the interest we receive on our investments is entirely offset by losses in the value of those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1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12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1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2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1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12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 remaining to the maturity of these debt securities;</w:t>
      </w:r>
    </w:p>
    <w:p>
      <w:pPr>
        <w:spacing w:after="0" w:line="90" w:lineRule="exact"/>
        <w:rPr>
          <w:sz w:val="20"/>
          <w:szCs w:val="20"/>
          <w:color w:val="auto"/>
        </w:rPr>
      </w:pPr>
    </w:p>
    <w:p>
      <w:pPr>
        <w:ind w:left="460" w:right="4260"/>
        <w:spacing w:after="0" w:line="344" w:lineRule="auto"/>
        <w:rPr>
          <w:sz w:val="20"/>
          <w:szCs w:val="20"/>
          <w:color w:val="auto"/>
        </w:rPr>
      </w:pPr>
      <w:r>
        <w:rPr>
          <w:rFonts w:ascii="Arial" w:cs="Arial" w:eastAsia="Arial" w:hAnsi="Arial"/>
          <w:sz w:val="18"/>
          <w:szCs w:val="18"/>
          <w:color w:val="auto"/>
        </w:rPr>
        <w:t>the outstanding principal amount of debt securities with terms identical to these debt securities; the supply of debt securities trading in the secondary market, if any; the redemption or repayment features, if any, of these debt securities;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level, direction and volatility of market interest rates generally;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17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issue subscription rights or warrants for our common stock, your interest in us may be diluted as a result of such rights or warrants offering.</w:t>
      </w:r>
    </w:p>
    <w:p>
      <w:pPr>
        <w:spacing w:after="0" w:line="194"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This will tend to mitigate volatility in our earnings and net asset value. As a result of these factors, results for any period should not be relied upon as being indicative of performance in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17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20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12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of our investments are recorded using broker/dealers quotes, or at fair value as determined in good faith by our board of directors. We expect that primarily most, if not all, of our investments (other than cash and cash equivalents) and credit facility borrowings will be classified as Level 3 under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the statement of operations as net change in unrealized appreciation or depreciation.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1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liability maturities. Our borrowings under a Credit Facility would be collateralized by the assets in our investment portfolio. A general disruption in the credit markets could result in a diminished appetite for our securities. In addition,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with respect to over-the-counter traded securities, the continued viability of any over-the-counter secondary market depends on the continued willingness of dealers and other participants to purchase the securities.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on a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3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1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w:t>
      </w:r>
    </w:p>
    <w:p>
      <w:pPr>
        <w:spacing w:after="0" w:line="90" w:lineRule="exact"/>
        <w:rPr>
          <w:sz w:val="20"/>
          <w:szCs w:val="20"/>
          <w:color w:val="auto"/>
        </w:rPr>
      </w:pPr>
    </w:p>
    <w:p>
      <w:pPr>
        <w:ind w:left="900" w:hanging="446"/>
        <w:spacing w:after="0" w:line="290"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Floating Rate Loans. </w:t>
      </w:r>
      <w:r>
        <w:rPr>
          <w:rFonts w:ascii="Arial" w:cs="Arial" w:eastAsia="Arial" w:hAnsi="Arial"/>
          <w:sz w:val="16"/>
          <w:szCs w:val="16"/>
          <w:color w:val="auto"/>
        </w:rPr>
        <w:t>Floating Rate Loans are usually rated below investment grade or may also be unrated. Investments in Floating Rate Loans rated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investment grade are considered speculative because of the credit risk of their issuers. Such companies are more likely than investment grade issuers to default on their payments of interest and principal owed to us, and such defaults could reduce the company’s net asset value and income distributions. An economic downturn would generally lead to a higher non-payment rate by Borrowers, and a Floating Rate Loan may lose significant market value before a default occurs. Moreover, any specific collateral used to secure a Floating Rate Loans may decline in value or become illiquid, which would adversely affect the Floating Rate Loan’s value. Floating Rate Loans are subject to a number of risks described elsewhere in this prospectus, including liquidity risk and the risk of investing in below investment-grade, fixed income instruments.</w:t>
      </w:r>
    </w:p>
    <w:p>
      <w:pPr>
        <w:spacing w:after="0" w:line="37"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the company, a reduction in the value of the investment and a potential decrease in the net asset value of the Floating Rate Loan .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the company could experience delays or limitations with respect to its ability to realize the benefits of the collateral securing a Floating Rate Loan. The collateral securing a Floating Rate Loan may lose all or substantially all of its value in the event of the bankruptcy or insolvency of a Borrower. Some Floating Rate Loans are subject to the risk that a court, pursuant to fraudulent conveyance or other similar laws, could subordinate the rights in collateral of such Floating Rate Loans to presently existing or future indebtedness of the Borrower or take other action detrimental to the holders of Floating Rate Loans including, in certain circumstances, invalidating such Floating Rate Loans or causing interest previously paid to be refunded to the Borrower. Either such step would negatively affect our performance.</w:t>
      </w:r>
    </w:p>
    <w:p>
      <w:pPr>
        <w:spacing w:after="0" w:line="42"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The company may acquire Floating Rate Loans through assignments or participations of interests in a Floating Rate Loan.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it has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the company being exposed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greater credit or fraud risk with respect to such Borrower Floating Rate Loans than we expected when initially purchasing the participation.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460" w:right="420"/>
        <w:spacing w:after="0" w:line="259" w:lineRule="auto"/>
        <w:rPr>
          <w:sz w:val="20"/>
          <w:szCs w:val="20"/>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1"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2"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26" w:lineRule="exact"/>
        <w:rPr>
          <w:sz w:val="20"/>
          <w:szCs w:val="20"/>
          <w:color w:val="auto"/>
        </w:rPr>
      </w:pPr>
    </w:p>
    <w:p>
      <w:pPr>
        <w:ind w:right="260"/>
        <w:spacing w:after="0" w:line="378"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2"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2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 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increase or maintain in whole or in part our equity ownership percentage;</w:t>
      </w:r>
    </w:p>
    <w:p>
      <w:pPr>
        <w:spacing w:after="0" w:line="90" w:lineRule="exact"/>
        <w:rPr>
          <w:sz w:val="20"/>
          <w:szCs w:val="20"/>
          <w:color w:val="auto"/>
        </w:rPr>
      </w:pPr>
    </w:p>
    <w:p>
      <w:pPr>
        <w:ind w:left="460" w:right="3040"/>
        <w:spacing w:after="0" w:line="362" w:lineRule="auto"/>
        <w:rPr>
          <w:sz w:val="20"/>
          <w:szCs w:val="20"/>
          <w:color w:val="auto"/>
        </w:rPr>
      </w:pPr>
      <w:r>
        <w:rPr>
          <w:rFonts w:ascii="Arial" w:cs="Arial" w:eastAsia="Arial" w:hAnsi="Arial"/>
          <w:sz w:val="18"/>
          <w:szCs w:val="18"/>
          <w:color w:val="auto"/>
        </w:rPr>
        <w:t>exercise warrants, options or convertible securities that were acquired in the original or subsequent financing; or attempt to preserve or enhance the value of our investment.</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38"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8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Floating Rate Loans that we typically hold in our portfolio companies, we may not be able to dispose of our investments in the event we disagree with the actions of a portfolio company, and may therefore suffer a decrease in the value of our investments.</w:t>
      </w:r>
    </w:p>
    <w:p>
      <w:pPr>
        <w:spacing w:after="0" w:line="10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3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the Floating Rate Loans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equal basis any distributions with other creditors holding such debt in the event of an insolvency, liquidation, dissolution, reorganization or bankruptcy of the relevant portfolio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we may not have yet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12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177"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0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Floating Rate Capital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jc w:val="both"/>
        <w:ind w:right="460"/>
        <w:spacing w:after="0" w:line="378"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177"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 See “Market for Registrant’s Common Equity, Related Stockholder Matters and Issuer Purchases of Equity Securities” for more information.</w:t>
      </w:r>
    </w:p>
    <w:p>
      <w:pPr>
        <w:spacing w:after="0" w:line="13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Shares of business development companies may trade at a market price that is less than the net asset value that is attributable to those shares.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1" w:lineRule="exact"/>
        <w:rPr>
          <w:sz w:val="20"/>
          <w:szCs w:val="20"/>
          <w:color w:val="auto"/>
        </w:rPr>
      </w:pPr>
    </w:p>
    <w:p>
      <w:pPr>
        <w:ind w:left="460" w:right="2600"/>
        <w:spacing w:after="0" w:line="344" w:lineRule="auto"/>
        <w:rPr>
          <w:sz w:val="20"/>
          <w:szCs w:val="20"/>
          <w:color w:val="auto"/>
        </w:rPr>
      </w:pPr>
      <w:r>
        <w:rPr>
          <w:rFonts w:ascii="Arial" w:cs="Arial" w:eastAsia="Arial" w:hAnsi="Arial"/>
          <w:sz w:val="18"/>
          <w:szCs w:val="18"/>
          <w:color w:val="auto"/>
        </w:rPr>
        <w:t>changes in regulatory policies or tax guidelines, particularly with respect to RICs, or business development companies; any loss of RIC status;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earnings or variations in operating results;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value of our portfolio of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performance of companies comparable to us;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economic trends and other external factors;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212"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We cannot assure you that we will be able to find enough appropriate investments that meet our investment criteria or that any investment we complete using the proceeds from an offering will produce a sufficient return.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9"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We may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8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This prospectus contains statements that constitute forward-looking statements,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operating results;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sz w:val="20"/>
          <w:szCs w:val="20"/>
          <w:color w:val="auto"/>
        </w:rPr>
      </w:pPr>
    </w:p>
    <w:p>
      <w:pPr>
        <w:ind w:left="460" w:right="2940"/>
        <w:spacing w:after="0" w:line="344" w:lineRule="auto"/>
        <w:rPr>
          <w:sz w:val="20"/>
          <w:szCs w:val="20"/>
          <w:color w:val="auto"/>
        </w:rPr>
      </w:pPr>
      <w:r>
        <w:rPr>
          <w:rFonts w:ascii="Arial" w:cs="Arial" w:eastAsia="Arial" w:hAnsi="Arial"/>
          <w:sz w:val="18"/>
          <w:szCs w:val="18"/>
          <w:color w:val="auto"/>
        </w:rPr>
        <w:t>the dependence of our future success on the general economy and its impact on the industries in which we invest; the impact of a protracted decline in the liquidity of credit markets on our business; the impact of investments that we expect to make;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of fluctuation in interest rates on our 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arrangements and relationships with third parties;</w:t>
      </w:r>
    </w:p>
    <w:p>
      <w:pPr>
        <w:spacing w:after="0" w:line="90" w:lineRule="exact"/>
        <w:rPr>
          <w:sz w:val="20"/>
          <w:szCs w:val="20"/>
          <w:color w:val="auto"/>
        </w:rPr>
      </w:pPr>
    </w:p>
    <w:p>
      <w:pPr>
        <w:ind w:left="460" w:right="3380"/>
        <w:spacing w:after="0" w:line="344" w:lineRule="auto"/>
        <w:rPr>
          <w:sz w:val="20"/>
          <w:szCs w:val="20"/>
          <w:color w:val="auto"/>
        </w:rPr>
      </w:pPr>
      <w:r>
        <w:rPr>
          <w:rFonts w:ascii="Arial" w:cs="Arial" w:eastAsia="Arial" w:hAnsi="Arial"/>
          <w:sz w:val="18"/>
          <w:szCs w:val="18"/>
          <w:color w:val="auto"/>
        </w:rPr>
        <w:t>the valuation of our investments in portfolio companies, particularly those having no liquid trading market; the ability of our prospective portfolio companies to achieve their objectives; our expected financings and investments;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adequacy of our cash resources and working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the periodic reports we file under the Exchange Act.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 , or approximately $ if the underwriters fully exercise their over-allotment option, in each case assuming an initial public offering price of $ per share, after deducting the underwriting discounts and commissions and estimated organization and offering expenses of approximately $ payable by us.</w:t>
      </w:r>
    </w:p>
    <w:p>
      <w:pPr>
        <w:spacing w:after="0" w:line="107"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We plan to use the net proceeds of this offering for investments in Floating Rate Loans in accordance with our investment objective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the net proceeds of this offering will be used for the above purposes within [ ] months, depending on the availability of appropriate investment opportunities consistent with our investment objective and market conditions. We cannot assure you that we will achieve our targeted investment pace.</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management fee payable by us will be reduced while our assets are invested in such securities. See “Regulation as a Business Development company — Temporary Investments” for additional information about temporary investments we may make while waiting to make longer-term investments in pursuit of our investment objective.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40" w:type="dxa"/>
            <w:vAlign w:val="bottom"/>
            <w:gridSpan w:val="2"/>
          </w:tcPr>
          <w:p>
            <w:pPr>
              <w:jc w:val="right"/>
              <w:ind w:right="1172"/>
              <w:spacing w:after="0"/>
              <w:rPr>
                <w:sz w:val="20"/>
                <w:szCs w:val="20"/>
                <w:color w:val="auto"/>
              </w:rPr>
            </w:pPr>
            <w:r>
              <w:rPr>
                <w:rFonts w:ascii="Arial" w:cs="Arial" w:eastAsia="Arial" w:hAnsi="Arial"/>
                <w:sz w:val="18"/>
                <w:szCs w:val="18"/>
                <w:b w:val="1"/>
                <w:bCs w:val="1"/>
                <w:color w:val="auto"/>
              </w:rPr>
              <w:t>CAPITALIZATION</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Arial" w:cs="Arial" w:eastAsia="Arial" w:hAnsi="Arial"/>
                <w:sz w:val="18"/>
                <w:szCs w:val="18"/>
                <w:color w:val="auto"/>
              </w:rPr>
              <w:t>The following table sets forth:</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40" w:type="dxa"/>
            <w:vAlign w:val="bottom"/>
            <w:gridSpan w:val="4"/>
          </w:tcPr>
          <w:p>
            <w:pPr>
              <w:ind w:left="40"/>
              <w:spacing w:after="0"/>
              <w:rPr>
                <w:sz w:val="20"/>
                <w:szCs w:val="20"/>
                <w:color w:val="auto"/>
              </w:rPr>
            </w:pPr>
            <w:r>
              <w:rPr>
                <w:rFonts w:ascii="Arial" w:cs="Arial" w:eastAsia="Arial" w:hAnsi="Arial"/>
                <w:sz w:val="18"/>
                <w:szCs w:val="18"/>
                <w:color w:val="auto"/>
                <w:w w:val="90"/>
              </w:rPr>
              <w:t>the actual capitalization of PennantPark Floating Rate Capital at [</w:t>
            </w:r>
          </w:p>
        </w:tc>
        <w:tc>
          <w:tcPr>
            <w:tcW w:w="2580" w:type="dxa"/>
            <w:vAlign w:val="bottom"/>
          </w:tcPr>
          <w:p>
            <w:pPr>
              <w:jc w:val="right"/>
              <w:ind w:right="1212"/>
              <w:spacing w:after="0"/>
              <w:rPr>
                <w:sz w:val="20"/>
                <w:szCs w:val="20"/>
                <w:color w:val="auto"/>
              </w:rPr>
            </w:pPr>
            <w:r>
              <w:rPr>
                <w:rFonts w:ascii="Arial" w:cs="Arial" w:eastAsia="Arial" w:hAnsi="Arial"/>
                <w:sz w:val="18"/>
                <w:szCs w:val="18"/>
                <w:color w:val="auto"/>
              </w:rPr>
              <w:t>], 2011; and</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80" w:type="dxa"/>
            <w:vAlign w:val="bottom"/>
            <w:gridSpan w:val="4"/>
          </w:tcPr>
          <w:p>
            <w:pPr>
              <w:jc w:val="right"/>
              <w:ind w:right="72"/>
              <w:spacing w:after="0"/>
              <w:rPr>
                <w:sz w:val="20"/>
                <w:szCs w:val="20"/>
                <w:color w:val="auto"/>
              </w:rPr>
            </w:pPr>
            <w:r>
              <w:rPr>
                <w:rFonts w:ascii="Arial" w:cs="Arial" w:eastAsia="Arial" w:hAnsi="Arial"/>
                <w:sz w:val="18"/>
                <w:szCs w:val="18"/>
                <w:color w:val="auto"/>
                <w:w w:val="90"/>
              </w:rPr>
              <w:t>the capitalization of PennantPark Floating Rate Capital as adjusted to reflect the sale of [</w:t>
            </w:r>
          </w:p>
        </w:tc>
        <w:tc>
          <w:tcPr>
            <w:tcW w:w="3680" w:type="dxa"/>
            <w:vAlign w:val="bottom"/>
            <w:gridSpan w:val="7"/>
          </w:tcPr>
          <w:p>
            <w:pPr>
              <w:ind w:left="180"/>
              <w:spacing w:after="0"/>
              <w:rPr>
                <w:sz w:val="20"/>
                <w:szCs w:val="20"/>
                <w:color w:val="auto"/>
              </w:rPr>
            </w:pPr>
            <w:r>
              <w:rPr>
                <w:rFonts w:ascii="Arial" w:cs="Arial" w:eastAsia="Arial" w:hAnsi="Arial"/>
                <w:sz w:val="18"/>
                <w:szCs w:val="18"/>
                <w:color w:val="auto"/>
                <w:w w:val="89"/>
              </w:rPr>
              <w:t>] shares of our common stock in this offering at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60" w:type="dxa"/>
            <w:vAlign w:val="bottom"/>
            <w:gridSpan w:val="2"/>
          </w:tcPr>
          <w:p>
            <w:pPr>
              <w:ind w:left="500"/>
              <w:spacing w:after="0"/>
              <w:rPr>
                <w:sz w:val="20"/>
                <w:szCs w:val="20"/>
                <w:color w:val="auto"/>
              </w:rPr>
            </w:pPr>
            <w:r>
              <w:rPr>
                <w:rFonts w:ascii="Arial" w:cs="Arial" w:eastAsia="Arial" w:hAnsi="Arial"/>
                <w:sz w:val="18"/>
                <w:szCs w:val="18"/>
                <w:color w:val="auto"/>
              </w:rPr>
              <w:t>public offering price of $</w:t>
            </w:r>
          </w:p>
        </w:tc>
        <w:tc>
          <w:tcPr>
            <w:tcW w:w="8340" w:type="dxa"/>
            <w:vAlign w:val="bottom"/>
            <w:gridSpan w:val="10"/>
          </w:tcPr>
          <w:p>
            <w:pPr>
              <w:spacing w:after="0"/>
              <w:rPr>
                <w:sz w:val="20"/>
                <w:szCs w:val="20"/>
                <w:color w:val="auto"/>
              </w:rPr>
            </w:pPr>
            <w:r>
              <w:rPr>
                <w:rFonts w:ascii="Arial" w:cs="Arial" w:eastAsia="Arial" w:hAnsi="Arial"/>
                <w:sz w:val="18"/>
                <w:szCs w:val="18"/>
                <w:color w:val="auto"/>
                <w:w w:val="94"/>
              </w:rPr>
              <w:t>per share, after deducting the underwriting discounts and commissions and estimated organization and offering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60" w:type="dxa"/>
            <w:vAlign w:val="bottom"/>
            <w:gridSpan w:val="2"/>
          </w:tcPr>
          <w:p>
            <w:pPr>
              <w:ind w:left="500"/>
              <w:spacing w:after="0"/>
              <w:rPr>
                <w:sz w:val="20"/>
                <w:szCs w:val="20"/>
                <w:color w:val="auto"/>
              </w:rPr>
            </w:pPr>
            <w:r>
              <w:rPr>
                <w:rFonts w:ascii="Arial" w:cs="Arial" w:eastAsia="Arial" w:hAnsi="Arial"/>
                <w:sz w:val="18"/>
                <w:szCs w:val="18"/>
                <w:color w:val="auto"/>
                <w:w w:val="93"/>
              </w:rPr>
              <w:t>expenses of approximately $</w:t>
            </w:r>
          </w:p>
        </w:tc>
        <w:tc>
          <w:tcPr>
            <w:tcW w:w="12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payable by us.</w:t>
            </w:r>
          </w:p>
        </w:tc>
        <w:tc>
          <w:tcPr>
            <w:tcW w:w="2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As of [</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 [</w:t>
            </w:r>
          </w:p>
        </w:tc>
        <w:tc>
          <w:tcPr>
            <w:tcW w:w="10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 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As Adjusted(1)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83"/>
              </w:rPr>
              <w:t>(in thousands)</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w w:val="90"/>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0"/>
              </w:rPr>
              <w:t>Cash</w:t>
            </w:r>
          </w:p>
        </w:tc>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Accrued organizational and offering costs</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080" w:type="dxa"/>
            <w:vAlign w:val="bottom"/>
            <w:gridSpan w:val="4"/>
          </w:tcPr>
          <w:p>
            <w:pPr>
              <w:spacing w:after="0"/>
              <w:rPr>
                <w:sz w:val="20"/>
                <w:szCs w:val="20"/>
                <w:color w:val="auto"/>
              </w:rPr>
            </w:pPr>
            <w:r>
              <w:rPr>
                <w:rFonts w:ascii="Arial" w:cs="Arial" w:eastAsia="Arial" w:hAnsi="Arial"/>
                <w:sz w:val="18"/>
                <w:szCs w:val="18"/>
                <w:b w:val="1"/>
                <w:bCs w:val="1"/>
                <w:color w:val="auto"/>
              </w:rPr>
              <w:t>Stockholders’ equity (deficit):</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Common stock, par value $0.01 per share; [</w:t>
            </w:r>
          </w:p>
        </w:tc>
        <w:tc>
          <w:tcPr>
            <w:tcW w:w="1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 shares authorized; [</w:t>
            </w:r>
          </w:p>
        </w:tc>
        <w:tc>
          <w:tcPr>
            <w:tcW w:w="2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shares outstanding, actual;</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5"/>
              </w:rPr>
              <w:t>] shares outstanding, as adjusted</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net loss</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4"/>
            <w:vMerge w:val="restart"/>
          </w:tcPr>
          <w:p>
            <w:pPr>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4000" w:type="dxa"/>
            <w:vAlign w:val="bottom"/>
            <w:gridSpan w:val="3"/>
          </w:tcPr>
          <w:p>
            <w:pPr>
              <w:spacing w:after="0"/>
              <w:rPr>
                <w:sz w:val="8"/>
                <w:szCs w:val="8"/>
                <w:color w:val="auto"/>
              </w:rPr>
            </w:pPr>
          </w:p>
        </w:tc>
        <w:tc>
          <w:tcPr>
            <w:tcW w:w="2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160" w:type="dxa"/>
            <w:vAlign w:val="bottom"/>
            <w:gridSpan w:val="6"/>
          </w:tcPr>
          <w:p>
            <w:pPr>
              <w:spacing w:after="0"/>
              <w:rPr>
                <w:sz w:val="20"/>
                <w:szCs w:val="20"/>
                <w:color w:val="auto"/>
              </w:rPr>
            </w:pPr>
            <w:r>
              <w:rPr>
                <w:rFonts w:ascii="Arial" w:cs="Arial" w:eastAsia="Arial" w:hAnsi="Arial"/>
                <w:sz w:val="18"/>
                <w:szCs w:val="18"/>
                <w:color w:val="auto"/>
              </w:rPr>
              <w:t>(1)   Does not include the underwriters’ overallotment option of [</w:t>
            </w:r>
          </w:p>
        </w:tc>
        <w:tc>
          <w:tcPr>
            <w:tcW w:w="2580" w:type="dxa"/>
            <w:vAlign w:val="bottom"/>
          </w:tcPr>
          <w:p>
            <w:pPr>
              <w:jc w:val="right"/>
              <w:ind w:right="312"/>
              <w:spacing w:after="0"/>
              <w:rPr>
                <w:sz w:val="20"/>
                <w:szCs w:val="20"/>
                <w:color w:val="auto"/>
              </w:rPr>
            </w:pPr>
            <w:r>
              <w:rPr>
                <w:rFonts w:ascii="Arial" w:cs="Arial" w:eastAsia="Arial" w:hAnsi="Arial"/>
                <w:sz w:val="18"/>
                <w:szCs w:val="18"/>
                <w:color w:val="auto"/>
                <w:w w:val="89"/>
              </w:rPr>
              <w:t>] shares of our common stock.</w:t>
            </w: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jc w:val="right"/>
              <w:ind w:right="1852"/>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dilution to investors in this offering is represented by the difference between the offering price per share and the pro forma net asset value per share after this offering. Net asset value per share is determined by dividing our net asset value, which is our total tangible assets less total liabilities, by the number of outstanding shares of common stock.</w:t>
      </w:r>
    </w:p>
    <w:p>
      <w:pPr>
        <w:sectPr>
          <w:pgSz w:w="11900" w:h="16838" w:orient="portrait"/>
          <w:cols w:equalWidth="0" w:num="1">
            <w:col w:w="11420"/>
          </w:cols>
          <w:pgMar w:left="240" w:top="459" w:right="239" w:bottom="1440" w:gutter="0" w:footer="0" w:header="0"/>
        </w:sectPr>
      </w:pP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net asset value (total assets less total liabilities) as of [ ], 2011 was $[ ] million. Our as-adjusted net asset value, as of [ have been $[ ] per share. We determined our as-adjusted net asset value per share before this offering by dividing the net asset value as of [ the pro forma number of shares of common stock outstanding as of [ ], 2011, after giving effect to this offering.</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right"/>
        <w:ind w:right="20"/>
        <w:spacing w:after="0" w:line="413" w:lineRule="auto"/>
        <w:rPr>
          <w:sz w:val="20"/>
          <w:szCs w:val="20"/>
          <w:color w:val="auto"/>
        </w:rPr>
      </w:pPr>
      <w:r>
        <w:rPr>
          <w:rFonts w:ascii="Arial" w:cs="Arial" w:eastAsia="Arial" w:hAnsi="Arial"/>
          <w:sz w:val="14"/>
          <w:szCs w:val="14"/>
          <w:color w:val="auto"/>
        </w:rPr>
        <w:t>], 2011, would ], 2011, by</w:t>
      </w:r>
    </w:p>
    <w:p>
      <w:pPr>
        <w:spacing w:after="0" w:line="256" w:lineRule="exact"/>
        <w:rPr>
          <w:sz w:val="20"/>
          <w:szCs w:val="20"/>
          <w:color w:val="auto"/>
        </w:rPr>
      </w:pPr>
    </w:p>
    <w:p>
      <w:pPr>
        <w:sectPr>
          <w:pgSz w:w="11900" w:h="16838" w:orient="portrait"/>
          <w:cols w:equalWidth="0" w:num="2">
            <w:col w:w="10060" w:space="320"/>
            <w:col w:w="1040"/>
          </w:cols>
          <w:pgMar w:left="240" w:top="459" w:right="239" w:bottom="1440" w:gutter="0" w:footer="0" w:header="0"/>
          <w:type w:val="continuous"/>
        </w:sectPr>
      </w:pPr>
    </w:p>
    <w:p>
      <w:pPr>
        <w:ind w:left="460"/>
        <w:spacing w:after="0"/>
        <w:tabs>
          <w:tab w:leader="none" w:pos="8820" w:val="left"/>
        </w:tabs>
        <w:rPr>
          <w:sz w:val="20"/>
          <w:szCs w:val="20"/>
          <w:color w:val="auto"/>
        </w:rPr>
      </w:pPr>
      <w:r>
        <w:rPr>
          <w:rFonts w:ascii="Arial" w:cs="Arial" w:eastAsia="Arial" w:hAnsi="Arial"/>
          <w:sz w:val="18"/>
          <w:szCs w:val="18"/>
          <w:color w:val="auto"/>
        </w:rPr>
        <w:t>After giving effect to the sale of our common stock in this offering at an assumed initial public offering price of $[</w:t>
      </w:r>
      <w:r>
        <w:rPr>
          <w:sz w:val="20"/>
          <w:szCs w:val="20"/>
          <w:color w:val="auto"/>
        </w:rPr>
        <w:tab/>
      </w:r>
      <w:r>
        <w:rPr>
          <w:rFonts w:ascii="Arial" w:cs="Arial" w:eastAsia="Arial" w:hAnsi="Arial"/>
          <w:sz w:val="16"/>
          <w:szCs w:val="16"/>
          <w:color w:val="auto"/>
        </w:rPr>
        <w:t>] per share (the mid-point of the</w:t>
      </w:r>
    </w:p>
    <w:p>
      <w:pPr>
        <w:sectPr>
          <w:pgSz w:w="11900" w:h="16838" w:orient="portrait"/>
          <w:cols w:equalWidth="0" w:num="1">
            <w:col w:w="11420"/>
          </w:cols>
          <w:pgMar w:left="240" w:top="459"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estimated initial public offering price range set forth on the cover of this prospectus), the application of the net proceeds from this offering as set forth in “Use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gridSpan w:val="3"/>
          </w:tcPr>
          <w:p>
            <w:pPr>
              <w:spacing w:after="0"/>
              <w:rPr>
                <w:sz w:val="20"/>
                <w:szCs w:val="20"/>
                <w:color w:val="auto"/>
              </w:rPr>
            </w:pPr>
            <w:r>
              <w:rPr>
                <w:rFonts w:ascii="Arial" w:cs="Arial" w:eastAsia="Arial" w:hAnsi="Arial"/>
                <w:sz w:val="18"/>
                <w:szCs w:val="18"/>
                <w:color w:val="auto"/>
                <w:w w:val="91"/>
              </w:rPr>
              <w:t>Proceeds,” our pro forma net asset value as of [</w:t>
            </w:r>
          </w:p>
        </w:tc>
        <w:tc>
          <w:tcPr>
            <w:tcW w:w="2900" w:type="dxa"/>
            <w:vAlign w:val="bottom"/>
          </w:tcPr>
          <w:p>
            <w:pPr>
              <w:ind w:left="180"/>
              <w:spacing w:after="0"/>
              <w:rPr>
                <w:sz w:val="20"/>
                <w:szCs w:val="20"/>
                <w:color w:val="auto"/>
              </w:rPr>
            </w:pPr>
            <w:r>
              <w:rPr>
                <w:rFonts w:ascii="Arial" w:cs="Arial" w:eastAsia="Arial" w:hAnsi="Arial"/>
                <w:sz w:val="18"/>
                <w:szCs w:val="18"/>
                <w:color w:val="auto"/>
                <w:w w:val="95"/>
              </w:rPr>
              <w:t>] would have been approximately $[</w:t>
            </w:r>
          </w:p>
        </w:tc>
        <w:tc>
          <w:tcPr>
            <w:tcW w:w="840" w:type="dxa"/>
            <w:vAlign w:val="bottom"/>
          </w:tcPr>
          <w:p>
            <w:pPr>
              <w:ind w:left="180"/>
              <w:spacing w:after="0"/>
              <w:rPr>
                <w:sz w:val="20"/>
                <w:szCs w:val="20"/>
                <w:color w:val="auto"/>
              </w:rPr>
            </w:pPr>
            <w:r>
              <w:rPr>
                <w:rFonts w:ascii="Arial" w:cs="Arial" w:eastAsia="Arial" w:hAnsi="Arial"/>
                <w:sz w:val="18"/>
                <w:szCs w:val="18"/>
                <w:color w:val="auto"/>
              </w:rPr>
              <w:t>], or $[</w:t>
            </w:r>
          </w:p>
        </w:tc>
        <w:tc>
          <w:tcPr>
            <w:tcW w:w="4140" w:type="dxa"/>
            <w:vAlign w:val="bottom"/>
            <w:gridSpan w:val="7"/>
          </w:tcPr>
          <w:p>
            <w:pPr>
              <w:jc w:val="center"/>
              <w:ind w:left="72"/>
              <w:spacing w:after="0"/>
              <w:rPr>
                <w:sz w:val="20"/>
                <w:szCs w:val="20"/>
                <w:color w:val="auto"/>
              </w:rPr>
            </w:pPr>
            <w:r>
              <w:rPr>
                <w:rFonts w:ascii="Arial" w:cs="Arial" w:eastAsia="Arial" w:hAnsi="Arial"/>
                <w:sz w:val="18"/>
                <w:szCs w:val="18"/>
                <w:color w:val="auto"/>
                <w:w w:val="87"/>
              </w:rPr>
              <w:t>] per share. This represents an immediate increase in our</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w w:val="93"/>
              </w:rPr>
              <w:t>net asset value per share of $[</w:t>
            </w:r>
          </w:p>
        </w:tc>
        <w:tc>
          <w:tcPr>
            <w:tcW w:w="5460" w:type="dxa"/>
            <w:vAlign w:val="bottom"/>
            <w:gridSpan w:val="4"/>
          </w:tcPr>
          <w:p>
            <w:pPr>
              <w:ind w:left="160"/>
              <w:spacing w:after="0"/>
              <w:rPr>
                <w:sz w:val="20"/>
                <w:szCs w:val="20"/>
                <w:color w:val="auto"/>
              </w:rPr>
            </w:pPr>
            <w:r>
              <w:rPr>
                <w:rFonts w:ascii="Arial" w:cs="Arial" w:eastAsia="Arial" w:hAnsi="Arial"/>
                <w:sz w:val="18"/>
                <w:szCs w:val="18"/>
                <w:color w:val="auto"/>
                <w:w w:val="94"/>
              </w:rPr>
              <w:t>] to existing stockholders and dilution in net asset value per share of $[</w:t>
            </w:r>
          </w:p>
        </w:tc>
        <w:tc>
          <w:tcPr>
            <w:tcW w:w="3640" w:type="dxa"/>
            <w:vAlign w:val="bottom"/>
            <w:gridSpan w:val="6"/>
          </w:tcPr>
          <w:p>
            <w:pPr>
              <w:jc w:val="center"/>
              <w:ind w:right="360"/>
              <w:spacing w:after="0"/>
              <w:rPr>
                <w:sz w:val="20"/>
                <w:szCs w:val="20"/>
                <w:color w:val="auto"/>
              </w:rPr>
            </w:pPr>
            <w:r>
              <w:rPr>
                <w:rFonts w:ascii="Arial" w:cs="Arial" w:eastAsia="Arial" w:hAnsi="Arial"/>
                <w:sz w:val="18"/>
                <w:szCs w:val="18"/>
                <w:color w:val="auto"/>
                <w:w w:val="87"/>
              </w:rPr>
              <w:t>] to new investors who purchase shares in this</w:t>
            </w:r>
          </w:p>
        </w:tc>
        <w:tc>
          <w:tcPr>
            <w:tcW w:w="0" w:type="dxa"/>
            <w:vAlign w:val="bottom"/>
          </w:tcPr>
          <w:p>
            <w:pPr>
              <w:spacing w:after="0"/>
              <w:rPr>
                <w:sz w:val="1"/>
                <w:szCs w:val="1"/>
                <w:color w:val="auto"/>
              </w:rPr>
            </w:pP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offering.</w:t>
            </w:r>
          </w:p>
        </w:tc>
        <w:tc>
          <w:tcPr>
            <w:tcW w:w="12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400" w:type="dxa"/>
            <w:vAlign w:val="bottom"/>
            <w:gridSpan w:val="4"/>
          </w:tcPr>
          <w:p>
            <w:pPr>
              <w:ind w:left="460"/>
              <w:spacing w:after="0"/>
              <w:rPr>
                <w:sz w:val="20"/>
                <w:szCs w:val="20"/>
                <w:color w:val="auto"/>
              </w:rPr>
            </w:pPr>
            <w:r>
              <w:rPr>
                <w:rFonts w:ascii="Arial" w:cs="Arial" w:eastAsia="Arial" w:hAnsi="Arial"/>
                <w:sz w:val="18"/>
                <w:szCs w:val="18"/>
                <w:color w:val="auto"/>
                <w:w w:val="97"/>
              </w:rPr>
              <w:t>The following table illustrates the dilution to the shares on a per share basis: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45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00" w:type="dxa"/>
            <w:vAlign w:val="bottom"/>
            <w:gridSpan w:val="5"/>
          </w:tcPr>
          <w:p>
            <w:pPr>
              <w:spacing w:after="0"/>
              <w:rPr>
                <w:sz w:val="20"/>
                <w:szCs w:val="20"/>
                <w:color w:val="auto"/>
              </w:rPr>
            </w:pPr>
            <w:r>
              <w:rPr>
                <w:rFonts w:ascii="Arial" w:cs="Arial" w:eastAsia="Arial" w:hAnsi="Arial"/>
                <w:sz w:val="18"/>
                <w:szCs w:val="18"/>
                <w:color w:val="auto"/>
                <w:w w:val="87"/>
              </w:rPr>
              <w:t>Increase in net asset value per share attributable to new stockholders in this offering</w:t>
            </w:r>
          </w:p>
        </w:tc>
        <w:tc>
          <w:tcPr>
            <w:tcW w:w="7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asset value per share after this offering</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7"/>
            <w:vMerge w:val="restart"/>
          </w:tcPr>
          <w:p>
            <w:pPr>
              <w:ind w:left="1840"/>
              <w:spacing w:after="0"/>
              <w:rPr>
                <w:sz w:val="20"/>
                <w:szCs w:val="20"/>
                <w:color w:val="auto"/>
              </w:rPr>
            </w:pPr>
            <w:r>
              <w:rPr>
                <w:rFonts w:ascii="Arial" w:cs="Arial" w:eastAsia="Arial" w:hAnsi="Arial"/>
                <w:sz w:val="18"/>
                <w:szCs w:val="18"/>
                <w:color w:val="auto"/>
                <w:w w:val="98"/>
              </w:rPr>
              <w:t>Dilution per share to new stockholders (without exercise of the over-allotment option)</w:t>
            </w: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20" w:type="dxa"/>
            <w:vAlign w:val="bottom"/>
            <w:gridSpan w:val="7"/>
            <w:vMerge w:val="continue"/>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in full their over-allotment option to purchase additional shares of our common stock in this offering, the pro forma net asset</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value per share after this offering would be $[ ] per share, the increase in the pro forma net asset value per share to existing stockholders would be $[ ] per share and the dilution to new stockholders purchasing shares in this offering would be $[ ] per share.</w:t>
      </w:r>
    </w:p>
    <w:p>
      <w:pPr>
        <w:spacing w:after="0" w:line="13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following table summarizes, as of [ ], 2011, the number of shares of common stock purchased from us, the total consideration paid to us and the average price per share paid by existing stockholders and to be paid by new investors purchasing shares of common stock in this offering at the initial public</w:t>
      </w:r>
    </w:p>
    <w:p>
      <w:pPr>
        <w:ind w:right="600"/>
        <w:spacing w:after="0" w:line="261" w:lineRule="auto"/>
        <w:rPr>
          <w:sz w:val="20"/>
          <w:szCs w:val="20"/>
          <w:color w:val="auto"/>
        </w:rPr>
      </w:pPr>
      <w:r>
        <w:rPr>
          <w:rFonts w:ascii="Arial" w:cs="Arial" w:eastAsia="Arial" w:hAnsi="Arial"/>
          <w:sz w:val="18"/>
          <w:szCs w:val="18"/>
          <w:color w:val="auto"/>
        </w:rPr>
        <w:t>offering price of $[ ] per share (the mid-point of the estimated initial public offering price range set forth on the cover page of this prospectus), before deducting the underwriting discounts and commissions and estimated offering expenses payable by us.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Consideration</w:t>
            </w:r>
          </w:p>
        </w:tc>
        <w:tc>
          <w:tcPr>
            <w:tcW w:w="5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3720" w:type="dxa"/>
            <w:vAlign w:val="bottom"/>
          </w:tcPr>
          <w:p>
            <w:pPr>
              <w:spacing w:after="0"/>
              <w:rPr>
                <w:sz w:val="5"/>
                <w:szCs w:val="5"/>
                <w:color w:val="auto"/>
              </w:rPr>
            </w:pPr>
          </w:p>
        </w:tc>
        <w:tc>
          <w:tcPr>
            <w:tcW w:w="920" w:type="dxa"/>
            <w:vAlign w:val="bottom"/>
            <w:tcBorders>
              <w:bottom w:val="single" w:sz="8" w:color="auto"/>
            </w:tcBorders>
            <w:gridSpan w:val="3"/>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jc w:val="right"/>
              <w:ind w:right="57"/>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86"/>
              </w:rPr>
              <w:t>Number</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8"/>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5"/>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New stockholders</w:t>
            </w:r>
          </w:p>
        </w:tc>
        <w:tc>
          <w:tcPr>
            <w:tcW w:w="3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jc w:val="right"/>
              <w:ind w:right="292"/>
              <w:spacing w:after="0"/>
              <w:rPr>
                <w:sz w:val="20"/>
                <w:szCs w:val="20"/>
                <w:color w:val="auto"/>
              </w:rPr>
            </w:pPr>
            <w:r>
              <w:rPr>
                <w:rFonts w:ascii="Arial" w:cs="Arial" w:eastAsia="Arial" w:hAnsi="Arial"/>
                <w:sz w:val="18"/>
                <w:szCs w:val="18"/>
                <w:color w:val="auto"/>
                <w:w w:val="78"/>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w w:val="94"/>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85"/>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8"/>
              </w:rPr>
              <w:t>]</w:t>
            </w:r>
          </w:p>
        </w:tc>
        <w:tc>
          <w:tcPr>
            <w:tcW w:w="6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6"/>
              </w:rPr>
              <w:t>100%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20" w:type="dxa"/>
            <w:vAlign w:val="bottom"/>
            <w:vMerge w:val="restart"/>
          </w:tcPr>
          <w:p>
            <w:pPr>
              <w:jc w:val="right"/>
              <w:ind w:right="1412"/>
              <w:spacing w:after="0"/>
              <w:rPr>
                <w:sz w:val="20"/>
                <w:szCs w:val="20"/>
                <w:color w:val="auto"/>
              </w:rPr>
            </w:pPr>
            <w:r>
              <w:rPr>
                <w:rFonts w:ascii="Arial" w:cs="Arial" w:eastAsia="Arial" w:hAnsi="Arial"/>
                <w:sz w:val="18"/>
                <w:szCs w:val="18"/>
                <w:color w:val="auto"/>
              </w:rPr>
              <w:t>29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DISCUSSION OF MANAGEMENT’S EXPECTED OPERATING PLANS</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and “Special Note Regarding Forward-Looking Statements” appearing elsewhere in the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a newly organized externally managed finance company. We were formed in October 2010 as a Maryland corporation structured as an externally managed, non-diversified closed-end management investment company. We have elected to be treated as a business development company under the 1940 Act. In addition, for tax purposes we intend to elect to be treated as a RIC under Subchapter M of the Code.</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primary investment objective is to seek high current income, with a secondary objective to seek preservation of capital, consistent with its primary goal of high current income. We will seek to achieve our investment objective by investing primarily in Floating Rate Loans and investments with similar economic characteristics. Under normal market conditions, at least 80% of the value of our Managed Assets will be invested in Floating Rate Loans, and investments with similar economic characteristics. We expect that senior secured loans will represent approximately 65% of our overall portfolio. We expect to invest the remaining approximately 35% of our overall portfolio opportunistically in other types of investments, including second-lien, high yield, mezzanine and distressed debt securities and private equity investments. Floating Rate Loans typically pay interest at rates which are determined periodically on the basis of a floating base lending rate, primarily the London-Interbank Offered Rate, or LIBOR, plus a premium, often with a floor on the LIBOR rate. Floating Rate Loans are typically made to U.S. and, to a limited extent, non-U.S. corporations, partnerships and other business entities which operate in various industries and geographical regions. Floating Rate Loans typically are rated below investment grade. Securities rated below investment grade are often referred to as “leveraged loans” or “high yield” securities or “junk bonds.” Securities of this type are often high risk and have speculative characteristics.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expect to invest in Floating Rate Loans and investments with similar economic characteristics made primarily to leveraged middle market companies. Our investments will generally range between $2 million and $20 million each, although we expect that this investment size will vary proportionately with the size of our capital base. In addition, we may invest a portion of our portfolio in other types of investments, which we refer to as opportunistic investments, which are not our primary focus but are intended to enhance our overall returns. These investments may include, but are not limited to, direct investments in public companies that are not thinly traded and securities of leveraged companies located in select countries outside of the United States.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will be managed by PennantPark Investment Advisers. PennantPark Administration will provide the administrative services necessary for us to operate. We believe that our ability to leverage the existing investment management and administrative support platforms of our Investment Adviser and Administrator , respectively, will enable us to operate more efficiently and with lower overhead costs than other newly-formed funds of comparable size.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its extensive deal-sourcing network and comprehensive due diligence and investment process, our Investment Advisers’ investment team has</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identified an initial group of approximately [ ] Floating Rate Loan investments that in the aggregate represent $[ ] of bank facilities, which we believe meet our investment criteria and would be appropriate for our portfolio. Shortly after completion of this offering, we anticipate funding a portion of these prospective investments.</w:t>
      </w:r>
    </w:p>
    <w:p>
      <w:pPr>
        <w:spacing w:after="0" w:line="14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consummation of each investment will, however, depend upon obtaining mutually satisfactory pricing terms, the execution and delivery of final binding agreements and the completion of final due diligence. In addition, if we do not wish to make an investment, we will not be obligated to do so. Similarly, prospective portfolio companies are not obligated to obtain floating rate loan financing from us. We can offer no assurance that in the course of completing the prospective investments our Investment Adviser’s team has identified for us, we will not discover facts that would cause us to change the terms and amounts of these investments or render these investments unattractive or that any of these investments will actually be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generate revenue in the form of interest income on the Floating Rate Loans we hold and capital gains and distributions, if any, on Floating Rate Loans that we may acquire in portfolio companies. Our Floating Rate Loans, typically have a term of three to ten years and bear interest at a floating rate. Interest on debt securities is generally payable quarterly or semiannually. In some cases, some of our investments provide for deferred interest payments or PIK interest. The principal amount of the Floating Rate Loans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income. We record prepayment premiums on loans and debt securities as income. Dividend income, if any, is recognized on an accrual basis on the ex-dividend date to the extent that we expect to collect such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may would pay interest expense on the outstanding debt we accrue under a Credit Facility. We bear all other direct or indirect costs and expenses of our operations and transactions, including:</w:t>
      </w:r>
    </w:p>
    <w:p>
      <w:pPr>
        <w:spacing w:after="0" w:line="32" w:lineRule="exact"/>
        <w:rPr>
          <w:sz w:val="20"/>
          <w:szCs w:val="20"/>
          <w:color w:val="auto"/>
        </w:rPr>
      </w:pPr>
    </w:p>
    <w:p>
      <w:pPr>
        <w:ind w:left="460" w:right="4020"/>
        <w:spacing w:after="0" w:line="387" w:lineRule="auto"/>
        <w:rPr>
          <w:sz w:val="20"/>
          <w:szCs w:val="20"/>
          <w:color w:val="auto"/>
        </w:rPr>
      </w:pPr>
      <w:r>
        <w:rPr>
          <w:rFonts w:ascii="Arial" w:cs="Arial" w:eastAsia="Arial" w:hAnsi="Arial"/>
          <w:sz w:val="16"/>
          <w:szCs w:val="16"/>
          <w:color w:val="auto"/>
        </w:rPr>
        <w:t>the cost of calculating our net asset value, including the cost of any third-party valuation services; the cost of effecting sales and repurchases of shares of our common stock and other securities;</w:t>
      </w:r>
    </w:p>
    <w:p>
      <w:pPr>
        <w:spacing w:after="0" w:line="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1" w:lineRule="exact"/>
        <w:rPr>
          <w:sz w:val="20"/>
          <w:szCs w:val="20"/>
          <w:color w:val="auto"/>
        </w:rPr>
      </w:pPr>
    </w:p>
    <w:p>
      <w:pPr>
        <w:ind w:left="460" w:right="3720"/>
        <w:spacing w:after="0" w:line="344" w:lineRule="auto"/>
        <w:rPr>
          <w:sz w:val="20"/>
          <w:szCs w:val="20"/>
          <w:color w:val="auto"/>
        </w:rPr>
      </w:pPr>
      <w:r>
        <w:rPr>
          <w:rFonts w:ascii="Arial" w:cs="Arial" w:eastAsia="Arial" w:hAnsi="Arial"/>
          <w:sz w:val="18"/>
          <w:szCs w:val="18"/>
          <w:color w:val="auto"/>
        </w:rPr>
        <w:t>expenses incurred by the Investment Adviser in performing due diligence and reviews of investments; transfer agent and custodial fees;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fees and expenses associated with marketing efforts;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and state registration fees and any stock exchange listing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state and local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directors’ fees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brokerage commissions;</w:t>
      </w:r>
    </w:p>
    <w:p>
      <w:pPr>
        <w:spacing w:after="0" w:line="90" w:lineRule="exact"/>
        <w:rPr>
          <w:sz w:val="20"/>
          <w:szCs w:val="20"/>
          <w:color w:val="auto"/>
        </w:rPr>
      </w:pPr>
    </w:p>
    <w:p>
      <w:pPr>
        <w:ind w:left="460" w:right="3400"/>
        <w:spacing w:after="0" w:line="344" w:lineRule="auto"/>
        <w:rPr>
          <w:sz w:val="20"/>
          <w:szCs w:val="20"/>
          <w:color w:val="auto"/>
        </w:rPr>
      </w:pPr>
      <w:r>
        <w:rPr>
          <w:rFonts w:ascii="Arial" w:cs="Arial" w:eastAsia="Arial" w:hAnsi="Arial"/>
          <w:sz w:val="18"/>
          <w:szCs w:val="18"/>
          <w:color w:val="auto"/>
        </w:rPr>
        <w:t>fidelity bond, directors and officers/errors and omissions liability insurance and other insurance premiums; direct costs such as printing, mailing, long distance telephone and staff;</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fees and expenses associated with independent audits and outside legal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associated with our reporting and compliance obligations under the 1940 Act and applicable federal and state securities laws; and</w:t>
      </w:r>
    </w:p>
    <w:p>
      <w:pPr>
        <w:spacing w:after="0" w:line="90"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To the extent that any of our Floating Rate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investments generally consist of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fair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32" w:lineRule="exact"/>
        <w:rPr>
          <w:sz w:val="20"/>
          <w:szCs w:val="20"/>
          <w:color w:val="auto"/>
        </w:rPr>
      </w:pPr>
    </w:p>
    <w:p>
      <w:pPr>
        <w:ind w:right="66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71" w:lineRule="exact"/>
        <w:rPr>
          <w:rFonts w:ascii="Arial" w:cs="Arial" w:eastAsia="Arial" w:hAnsi="Arial"/>
          <w:sz w:val="18"/>
          <w:szCs w:val="18"/>
          <w:color w:val="auto"/>
        </w:rPr>
      </w:pPr>
    </w:p>
    <w:p>
      <w:pPr>
        <w:ind w:right="40" w:firstLine="464"/>
        <w:spacing w:after="0" w:line="256"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 management’s preliminary valuations in light of its own independent assessment and also in light of any market quotations obtained from an independent pricing service, broker, dealer or market maker;</w:t>
      </w:r>
    </w:p>
    <w:p>
      <w:pPr>
        <w:spacing w:after="0" w:line="143" w:lineRule="exact"/>
        <w:rPr>
          <w:rFonts w:ascii="Arial" w:cs="Arial" w:eastAsia="Arial" w:hAnsi="Arial"/>
          <w:sz w:val="18"/>
          <w:szCs w:val="18"/>
          <w:color w:val="auto"/>
        </w:rPr>
      </w:pPr>
    </w:p>
    <w:p>
      <w:pPr>
        <w:ind w:right="80" w:firstLine="464"/>
        <w:spacing w:after="0" w:line="332"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85"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Financial Accounting Standards Board, or FASB, issued guidance related to Fair Value Measurements,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PennantPark Floating Rate Capital at the measurement date.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all of our investments (other than cash and cash equivalents) and long-term credit facility are classified as Level 3.</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investments are generally structured as debt investments in the form of Floating Rate Loans.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FASB issued guidance on, The Fair Value Option for Financial Assets and Financial Liabilities—Including an Amendment of FASB 115, or ASC 825-</w:t>
      </w:r>
    </w:p>
    <w:p>
      <w:pPr>
        <w:spacing w:after="0" w:line="38" w:lineRule="exact"/>
        <w:rPr>
          <w:sz w:val="20"/>
          <w:szCs w:val="20"/>
          <w:color w:val="auto"/>
        </w:rPr>
      </w:pPr>
    </w:p>
    <w:p>
      <w:pPr>
        <w:ind w:firstLine="8"/>
        <w:spacing w:after="0" w:line="286" w:lineRule="auto"/>
        <w:tabs>
          <w:tab w:leader="none" w:pos="2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FASB guidance on, Determining Fair Value When the Volume and Level of Activity for the Asset or Liability Have Significantly Decreased and Identifying Transactions That Are Not Orderly, or ASC 820-10-35-51A. ASC 820-10-35-51A amends 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Floating Rate Loans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Floating Rate Loans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Floating Rate Loans as income. Dividend income, if any, is recognized on an accrual basis on the ex-dividend date to the extent that we expect to collect such amounts.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98% of our ordinary income (during each calendar year) plus 98.2% of our net capital gains (during each 12 month period ending on October 31) to avoid a 4% excise tax.</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In the future, we may obtain borrowings from banks and issuances of senior securities. We may also borrow funds subsequent to this offering,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 that leveraging our portfolio would be in the best interest of the company and our stockholders, though we have not decided the extent to which we will finance portfolio investment using debt. See “Material U.S. Federal Income Tax Consideration.” In the future, we may also securitize a portion of our investments. Our primary use of funds will be investments in portfolio companies and repayment of amounts owing to the advances under any borrowings we may obtain in the future, cash distributions to holders of our common stock and the payment of operating expenses, including debt service if we borrow additional amounts after completion of this offering to fund our investments. Immediately after this offering and the consummation of the related transactions, we expect to have cash resources of approximately $ million and no indebtedness. This amount does not take into account proceeds, if any, from the exercise of the underwriters’ overallotment option. See “Use of Proceeds.”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PennantPark Investment Advisers serves as our investment adviser in accordance with the terms of that Investment Management Agreement. Payments under our Investment Management Agreement in each reporting period are equal to (1) a management fee equal to a percentage of the value of our gross assets and (2) an incentive fee based on our performance. See “Investment Advisory Agreement and Management Agreement.”</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Under our Administration Agreement, PennantPark Investment Administration furnishes us with office facilities and administrative services necessary to conduct our day-to-day operations.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“Administration Agreement.”</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SENIOR SECURITIES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gridSpan w:val="4"/>
          </w:tcPr>
          <w:p>
            <w:pPr>
              <w:ind w:left="460"/>
              <w:spacing w:after="0"/>
              <w:rPr>
                <w:sz w:val="20"/>
                <w:szCs w:val="20"/>
                <w:color w:val="auto"/>
              </w:rPr>
            </w:pPr>
            <w:r>
              <w:rPr>
                <w:rFonts w:ascii="Arial" w:cs="Arial" w:eastAsia="Arial" w:hAnsi="Arial"/>
                <w:sz w:val="18"/>
                <w:szCs w:val="18"/>
                <w:color w:val="auto"/>
                <w:w w:val="93"/>
              </w:rPr>
              <w:t>Information about our senior securities is shown in the following table as [</w:t>
            </w:r>
          </w:p>
        </w:tc>
        <w:tc>
          <w:tcPr>
            <w:tcW w:w="2020" w:type="dxa"/>
            <w:vAlign w:val="bottom"/>
            <w:gridSpan w:val="3"/>
          </w:tcPr>
          <w:p>
            <w:pPr>
              <w:ind w:left="260"/>
              <w:spacing w:after="0"/>
              <w:rPr>
                <w:sz w:val="20"/>
                <w:szCs w:val="20"/>
                <w:color w:val="auto"/>
              </w:rPr>
            </w:pPr>
            <w:r>
              <w:rPr>
                <w:rFonts w:ascii="Arial" w:cs="Arial" w:eastAsia="Arial" w:hAnsi="Arial"/>
                <w:sz w:val="18"/>
                <w:szCs w:val="18"/>
                <w:color w:val="auto"/>
                <w:w w:val="98"/>
              </w:rPr>
              <w:t>]. The information for [</w:t>
            </w:r>
          </w:p>
        </w:tc>
        <w:tc>
          <w:tcPr>
            <w:tcW w:w="3440" w:type="dxa"/>
            <w:vAlign w:val="bottom"/>
            <w:gridSpan w:val="6"/>
          </w:tcPr>
          <w:p>
            <w:pPr>
              <w:ind w:left="420"/>
              <w:spacing w:after="0"/>
              <w:rPr>
                <w:sz w:val="20"/>
                <w:szCs w:val="20"/>
                <w:color w:val="auto"/>
              </w:rPr>
            </w:pPr>
            <w:r>
              <w:rPr>
                <w:rFonts w:ascii="Arial" w:cs="Arial" w:eastAsia="Arial" w:hAnsi="Arial"/>
                <w:sz w:val="18"/>
                <w:szCs w:val="18"/>
                <w:color w:val="auto"/>
                <w:w w:val="91"/>
              </w:rPr>
              <w:t>] presented below has been derived from</w:t>
            </w:r>
          </w:p>
        </w:tc>
      </w:tr>
      <w:tr>
        <w:trPr>
          <w:trHeight w:val="222"/>
        </w:trPr>
        <w:tc>
          <w:tcPr>
            <w:tcW w:w="4980" w:type="dxa"/>
            <w:vAlign w:val="bottom"/>
            <w:gridSpan w:val="3"/>
          </w:tcPr>
          <w:p>
            <w:pPr>
              <w:spacing w:after="0"/>
              <w:rPr>
                <w:sz w:val="20"/>
                <w:szCs w:val="20"/>
                <w:color w:val="auto"/>
              </w:rPr>
            </w:pPr>
            <w:r>
              <w:rPr>
                <w:rFonts w:ascii="Arial" w:cs="Arial" w:eastAsia="Arial" w:hAnsi="Arial"/>
                <w:sz w:val="18"/>
                <w:szCs w:val="18"/>
                <w:color w:val="auto"/>
                <w:w w:val="92"/>
              </w:rPr>
              <w:t>our consolidated financial statements which have been audited by [</w:t>
            </w:r>
          </w:p>
        </w:tc>
        <w:tc>
          <w:tcPr>
            <w:tcW w:w="9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40"/>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8"/>
              </w:rPr>
              <w:t>Asset</w:t>
            </w:r>
          </w:p>
        </w:tc>
        <w:tc>
          <w:tcPr>
            <w:tcW w:w="7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720" w:type="dxa"/>
            <w:vAlign w:val="bottom"/>
          </w:tcPr>
          <w:p>
            <w:pPr>
              <w:spacing w:after="0"/>
              <w:rPr>
                <w:sz w:val="24"/>
                <w:szCs w:val="2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Average</w:t>
            </w:r>
          </w:p>
        </w:tc>
      </w:tr>
      <w:tr>
        <w:trPr>
          <w:trHeight w:val="134"/>
        </w:trPr>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Coverage</w:t>
            </w: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tcPr>
          <w:p>
            <w:pPr>
              <w:spacing w:after="0"/>
              <w:rPr>
                <w:sz w:val="11"/>
                <w:szCs w:val="11"/>
                <w:color w:val="auto"/>
              </w:rPr>
            </w:pP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63"/>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Total Amount</w:t>
            </w:r>
          </w:p>
        </w:tc>
        <w:tc>
          <w:tcPr>
            <w:tcW w:w="70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(1)</w:t>
            </w: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Preference</w:t>
            </w:r>
          </w:p>
        </w:tc>
        <w:tc>
          <w:tcPr>
            <w:tcW w:w="7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Value Per</w:t>
            </w: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72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Unit</w:t>
            </w:r>
          </w:p>
        </w:tc>
      </w:tr>
      <w:tr>
        <w:trPr>
          <w:trHeight w:val="142"/>
        </w:trPr>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08"/>
        </w:trPr>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19" w:lineRule="exact"/>
        <w:rPr>
          <w:sz w:val="20"/>
          <w:szCs w:val="20"/>
          <w:color w:val="auto"/>
        </w:rPr>
      </w:pPr>
    </w:p>
    <w:p>
      <w:pPr>
        <w:ind w:left="460" w:right="1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Subsequent to the completion of this offering, and to the extent we have income available, we intend to make monthly distributions to our stockholders, beginning with our first full month after the completion of this offering. Our monthly distributions, if any, will be determined by our board of directors. Any distributions to our stockholders will be declared out of assets legally available for distribution.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 ] fiscal monthly dividend distribution, payable in [ ] 2011, is expected to be between $[ ] and $[ ] per share. We anticipate that this distribution will be paid from income primarily generated by interest and dividend income earned on our investment portfolio. The specific tax characteristics of the distribution will be reported to stockholders after the end of the calendar year.</w:t>
      </w:r>
    </w:p>
    <w:p>
      <w:pPr>
        <w:spacing w:after="0" w:line="14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color w:val="auto"/>
        </w:rPr>
        <w:t>We intend to elect to be treated, and intend to qualify annually thereafter, as a RIC under the Code, beginning with our first taxable year ending December 31, 2011. To obtain and maintain RIC tax treatment, we must distribute at least 90% of our net ordinary income and net short-term capital gains in excess of our net long-term capital losses, if any. In order to avoid certain excise taxes imposed on RICs, we currently intend to distribute during each calendar year an amount at least equal to the sum of: (a) 98% of our net ordinary income for such calendar year; (b) 98.2% of our net capital gains in excess of capital</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losses for the one-year period ending on [ ] of the calendar year; and (c) any net ordinary income and net capital gains for preceding years that were not distributed during such years and on which we previously paid no U.S. federal income tax.</w:t>
      </w:r>
    </w:p>
    <w:p>
      <w:pPr>
        <w:spacing w:after="0" w:line="13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currently intend to distribute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out of the assets legally available for such distributions. However, we may decide in the future to retain such capital gains for investment and elect to treat such gains as deemed distributions to you. If this happens, you will be treated for U.S. federal income tax purposes as if you had received an actual distribution of the capital gains that we retain and reinvested the net after 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and if we issue senior securities, we will be prohibited from making distributions if doing so would cause us to fail to maintain the asset coverage ratios stipulated by the 1940 Act or if such distributions are limited by the terms of any of our borrowings.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base management fee and the incentive fee are determined and paid to PennantPark Investment Advisers. See “Dividend Reinvestment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intends to file an election to be treated as a business development company under the Investment Company Act of 1940, as amended, or the “1940 Act.” In addition, for tax purposes we intend to elect to be treated as a regulated investment company, or RIC, under Subchapter M of the Internal Revenue Code of 1986, as amended, which we refer to as the “Code.”</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primary investment objective is to seek high current income, with a secondary objective to seek preservation of capital, consistent with the primary goal of high current income. We can offer no assurance that we will achieve our investment objectives or be able to structure our investment portfolio as anticipated.</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will seek to achieve our investment objectives by investing primarily in Floating Rate Loans and other instruments made to middle market companies whose debt is rated below investment grade and investments with similar economic characteristics. We refer to such loans, instruments and other investments in this prospectus as the “Floating Rate Loans.” Under normal market conditions, at least 80% of the value of our Managed Assets will be invested in Floating Rate Loans, and investments with similar economic characteristics. We expect that senior secured loans will represent approximately 65% of our overall portfolio. We expect to invest the remaining approximately 35% of our overall portfolio opportunistically in other types of investments, including second-lien, high yield, mezzanine and distressed debt securities and private equity investments. In focusing on Floating Rate Loans, our primary investment focus differs from that of PennantPark Investment Corporation, a business development company for which the Adviser also acts as investment adviser, although there may be limited overlap in terms of targeted investments for the company and such other entity. Floating Rate Loans will typically pay interest at rates which are determined periodically on the basis of a floating base lending rate, primarily the London-Interbank Offered Rate, or LIBOR, plus a premium, often with a floor on the LIBOR rate. Floating Rate Loans and investments with similar economic characteristics are typically made to U.S. and, to a limited extent, non-U.S. corporations, partnerships and other business entities (which we refer to collectively as Borrowers in this prospectus) which operate in various industries and geographical regions. Borrowers may obtain Floating Rate Loans to refinance existing debt and for acquisitions, dividends, leveraged buyouts as well as for general corporate purposes. In this prospectus, we use the term “middle-market” to refer to companies with annual revenues between $50 million and $1 billion.</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to the types of securities and investments listed above, we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We may also invest in CLOs or CDOs (including synthetic CLOs or CDOs), asset-backed securities, repurchase agreements, reverse repurchase agreements, cash and cash equivalents, options, futures contracts, options on futures contracts, options on forward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We may also seek to gain exposure to Floating Rate Loans by investing in swaps, including single-name credit default swaps, single-name loan credit default swaps and total return swaps and other similar transactions.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expect to use derivative instruments, if at all, generally to hedge our exposure (i.e., limit downside risk) through the use of interest rate swaps, currency swaps and credit default swaps. We may also use options, futures and forward contracts or options on futures contracts for the same purpose. Likewise, we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we may from time to time enter into total return swaps, securitization transactions and other forms of derivative securities to finance its operations.</w:t>
      </w:r>
    </w:p>
    <w:p>
      <w:pPr>
        <w:spacing w:after="0" w:line="14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seeking to achieve our investment objectives, our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in which the credit ratings of each Borrower are evaluated but are not considered to be the sole or determinative factor of selection. The criteria used by the Investment Adviser in credit selection may include an evaluation of whether a Floating Rate Loan is adequately collateralized or over-collateralized and whether it is covered by sufficient earnings and cash flow to service a Borrower’s indebtedness on a timely basis. The Investment Adviser expects to gain exposure to Borrowers across a broad range of industries and of varying characteristics and return profiles.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utilize the investing experience and contacts of our Investment Adviser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460" w:right="12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 CLO funds</w:t>
      </w:r>
      <w:r>
        <w:rPr>
          <w:rFonts w:ascii="Arial" w:cs="Arial" w:eastAsia="Arial" w:hAnsi="Arial"/>
          <w:sz w:val="18"/>
          <w:szCs w:val="18"/>
          <w:b w:val="1"/>
          <w:bCs w:val="1"/>
          <w:color w:val="auto"/>
        </w:rPr>
        <w:t xml:space="preserve"> </w:t>
      </w:r>
      <w:r>
        <w:rPr>
          <w:rFonts w:ascii="Arial" w:cs="Arial" w:eastAsia="Arial" w:hAnsi="Arial"/>
          <w:sz w:val="18"/>
          <w:szCs w:val="18"/>
          <w:color w:val="auto"/>
        </w:rPr>
        <w:t>have withdrawn capital from the middle-market resulting in opportunities for alternative funding sources.</w:t>
      </w:r>
    </w:p>
    <w:p>
      <w:pPr>
        <w:spacing w:after="0" w:line="39" w:lineRule="exact"/>
        <w:rPr>
          <w:sz w:val="20"/>
          <w:szCs w:val="20"/>
          <w:color w:val="auto"/>
        </w:rPr>
      </w:pPr>
    </w:p>
    <w:p>
      <w:pPr>
        <w:ind w:left="460" w:right="10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 equity funds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8" w:lineRule="exact"/>
        <w:rPr>
          <w:sz w:val="20"/>
          <w:szCs w:val="20"/>
          <w:color w:val="auto"/>
        </w:rPr>
      </w:pPr>
    </w:p>
    <w:p>
      <w:pPr>
        <w:ind w:left="460" w:right="28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71"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according to our criteria, we are highly selective in deploying our capital. We believe our approach has and will continue to enable us to build an attractive investment portfolio that meets our return and value criteria over the long-term.</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strong competitive positions;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positive cash flow that is steady and stable;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experienced management teams with strong track records;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for growth and viable exit strategies;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structures offering appropriate risk-adjusted terms and 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Ability to Source and Evaluate Transactions through our Investment Adviser’s Research Capability and Established Network</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operate in a highly competitive market for investment opportunities.”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currently anticipate utilizing leverage. In order to make additional investments, we may incur in leverage in an aggregate amount of up to 50% of Managed Assets at the time such leverage is incurred (which would be equivalent to 100% of our net assets). The may issue preferred stock and/or notes, enter into total return swaps, securitization transactions and borrow funds from banks and other financial institutions.</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All costs and expenses related to any form of leverage will be borne entirely by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leverage is used, the fees paid to the Investment Adviser for advisory services will be higher than if we did not use leverage because the fees paid will be calculated on the basis of our Managed Assets, which include assets purchased using leverage. As such, the Investment Adviser may have a financial incentive to increase the use of leverage, which constitutes an inherent conflict of interest. In addition, the fees paid to the Investment Adviser are borne exclusively by common stockholders. It is expected that preferred stockholders, noteholders and any lenders will not bear any of our expenses. Our leveraging strategy, if utilized, may not be successful.</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may negotiate with one or more large commercial banks to arrange a floating rate Credit Facility, pursuant to which we would be entitled to borrow an amount equal to approximately 50% of the company’s Managed Assets less any amounts of existing leverage, including from the issuance of preferred stock and/or notes. Any such borrowings would constitute financial leverage. The Company may choose not to enter into a Credit Facility. See “Leverage.”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seek to create a diversified portfolio primarily of Floating Rate Loans, by targeting an investment size of $2 to $20 million, on average, in Floating Rate Loans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 public middle-market U.S. companies. In addition, we may invest up to 30% of our portfolio in non-qualifying assets. See “Regulation— 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Policy Overview —Investment selection criteria” for more information.</w:t>
      </w:r>
    </w:p>
    <w:p>
      <w:pPr>
        <w:spacing w:after="0" w:line="14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defensible market positions</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Our Investment Adviser intends to invest in Borrowers that it believes have developed strong positions within their markets and exhibit the potential to maintain sufficient cash flows and profitability to service their obligations in a range of economic environments. The Investment Adviser will seek Borrowers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Investment Adviser intends to invest in Borrowers believed to be stable and well established, with strong cash flows and profitability. The Investment Adviser believes these attributes indicate Borrowers that may be well-positioned to maintain consistent cash flow to service and repay their liabilities and maintain growth in their businesses or their relative market share. The Adviser currently does not expect to invest significantly in start-up companies, companies in turnaround situations or companies with speculative business plans, although we are permitted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Our Investment Adviser intends to focus on investments in which the Borrower has an experienced management team with an established track record of success.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Adviser typically will require that Borrowers have in place proper incentives to align management’s goals with our goals.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sums of equity capital in a company is an implicit endorsement of the quality of that company. Further, private equity sponsors of Borrowers with significant investments at risk may have an ability, and a strong incentive, to contribute additional capital in difficult economic times should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Adviser will seek to invest the company’s assets broadly among Borrowers and industries. The Adviser believes that this diversified approach will potentially reduce the risk that a downturn in any one company or industry will have a disproportionate impact on the value of the company’s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review of historical and prospective financial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on-site visits;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review of loan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background checks;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Adviser intends to monitor credit risk regularly and periodically with a goal toward identifying early, and selling, Floating Rate Loans other investments with potential credit problems. This monitoring process may include reviewing (1)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Borrower’s financial resources and operating history; (2) comparing a Borrower’s current operating results with the Adviser’s initial thesis for the investment and its expectations for the performance of the investment; (3) a Borrower’s sensitivity to economic conditions; (4) the performance of a Borrower’s management;</w:t>
      </w:r>
    </w:p>
    <w:p>
      <w:pPr>
        <w:ind w:right="100" w:firstLine="8"/>
        <w:spacing w:after="0" w:line="261"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Borrower’s debt maturities and borrowing requirements; (6) a Borrower’s interest and asset coverage; and (7) the relative value of an investment based on a Borrower’s anticipated cash flow.</w:t>
      </w:r>
    </w:p>
    <w:p>
      <w:pPr>
        <w:spacing w:after="0" w:line="138"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Under normal market conditions, at least 80% of the company’s Managed Assets will be invested in Floating Rate Loans and investments with similar economic characteristics. This policy is not fundamental and may be changed by the board of directors of the company with at least 60 days’ prior notice provided to stockholders. In this prospectus, “Managed Assets” means the total assets of the company (including any assets attributable to shares of preferred stock of the company that may be issued or to money borrowed from banks or financial institutions or notes issued by the company for investment purposes) minus the sum of the company’s accrued liabilities (other than liabilities incurred for the express purpose of creating leverage).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secondary investment objective of the company is to seek preservation of capital, consistent with its primary goal of high current income. The ability of the company to achieve its secondary investment objective is limited due to the company’s investment policy of investing primarily in Floating Rate Loans and investments with similar economic characteristics, which may be speculative. The Adviser will seek to achieve its secondary investment objective through a disciplined approach to the selection of credit investments and its evaluation of Borrowers. The Adviser also expects to gain exposure to Borrowers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we anticipates such an increase or change) and our use of leverage, if any, begins (or is expected) to adversely affect our common stockholders. To offset any potentially negative impact of leverage on common shareholders, we may shorten the average maturity of its investment portfolio (by investing in short-term securities) or may reduce its indebtedness or unwind other leveraged transactions. We may also attempt to reduce our use of leverage by redeeming or otherwise purchasing outstanding preferred stock, if any.</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While our primary investment objective is to seek high current income, with a secondary objective to seek preservation of capital, consistent with the primary goal of high current income through investments in Floating Rate Loans, we may invest up to 30% of the portfolio in opportunistic investments. These investments may include investments in high-yield bonds, distressed debt, private equity or securities of public companies and securities of companies located outside of the United States. We expect that these public companies generally will have debt securities that are non-investment grade.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Certain Floating Rate Loans may have interest-only payments in the early years, payable in cash or PIK interest, with amortization of principal deferred to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460" w:right="1400"/>
        <w:spacing w:after="0" w:line="344" w:lineRule="auto"/>
        <w:rPr>
          <w:sz w:val="20"/>
          <w:szCs w:val="20"/>
          <w:color w:val="auto"/>
        </w:rPr>
      </w:pPr>
      <w:r>
        <w:rPr>
          <w:rFonts w:ascii="Arial" w:cs="Arial" w:eastAsia="Arial" w:hAnsi="Arial"/>
          <w:sz w:val="18"/>
          <w:szCs w:val="18"/>
          <w:color w:val="auto"/>
        </w:rPr>
        <w:t>requiring a total return on our investments (including both interest and potential equity appreciation) that compensates us for credit risk; incorporating “put” rights and call protection into the investment structure; and</w:t>
      </w:r>
    </w:p>
    <w:p>
      <w:pPr>
        <w:spacing w:after="0" w:line="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investments may include equity features, such as direct investments in the equity securities of borrowers or warrants or options to buy a minority interest in a portfolio company. Any warrants we may receive with our Floating Rate Loans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0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1" w:lineRule="exact"/>
        <w:rPr>
          <w:sz w:val="20"/>
          <w:szCs w:val="20"/>
          <w:color w:val="auto"/>
        </w:rPr>
      </w:pPr>
    </w:p>
    <w:p>
      <w:pPr>
        <w:ind w:left="460" w:right="3700"/>
        <w:spacing w:after="0" w:line="412" w:lineRule="auto"/>
        <w:rPr>
          <w:sz w:val="20"/>
          <w:szCs w:val="20"/>
          <w:color w:val="auto"/>
        </w:rPr>
      </w:pPr>
      <w:r>
        <w:rPr>
          <w:rFonts w:ascii="Arial" w:cs="Arial" w:eastAsia="Arial" w:hAnsi="Arial"/>
          <w:sz w:val="16"/>
          <w:szCs w:val="16"/>
          <w:color w:val="auto"/>
        </w:rPr>
        <w:t>Comparisons to other PennantPark Floating Rate Capital portfolio companies in the industry, if any; Attendance at and participation in board meetings or presentations by portfolio companies; and Review of monthly and quarterly financial statements and financial projections of portfolio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investments generally consist of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preliminary management’s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FASB, issued guidance related to Fair Value Measurements,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Floating Rate Capital’s financial position or its results of operations for any period prior to October 1,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PennantPark Floating Rate Capital at the measurement date.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w:t>
      </w:r>
    </w:p>
    <w:p>
      <w:pPr>
        <w:spacing w:after="0" w:line="143"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Substantially, all of our investments and long-term credit facility are classified as Level 3.</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investments are generally structured as debt investments in the form of Floating Rate Loans.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business development company,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principal executive offices are located in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Our Administrator furnishes us office space and we reimburse it for such costs on an allocated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subject to any material legal proceedings.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We generally seek to target companies that generate positive cash flows from the broad variety of industries in which our Investment Adviser has direct expertise. We may invest in other industries if we are presented with attractive opportunities. The following is a list of the industries in which we may invest: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Environmental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Financial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Grocery</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Education and Childcare</w:t>
            </w:r>
          </w:p>
        </w:tc>
      </w:tr>
      <w:tr>
        <w:trPr>
          <w:trHeight w:val="31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89"/>
              </w:rPr>
              <w:t>Home &amp; Office Furnishings, Housewares &amp; Durable Consumer</w:t>
            </w:r>
          </w:p>
        </w:tc>
      </w:tr>
      <w:tr>
        <w:trPr>
          <w:trHeight w:val="222"/>
        </w:trPr>
        <w:tc>
          <w:tcPr>
            <w:tcW w:w="2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Products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Hotels, Motels, Inns and Gaming</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Insurance</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Leisure, Amusement, Motion Picture, Entertainment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Logistics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Manufacturing / Basic Industries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Oil and Gas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Other 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Printing and Publishing</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Telecommunications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Retail Store</w:t>
            </w:r>
          </w:p>
        </w:tc>
      </w:tr>
      <w:tr>
        <w:trPr>
          <w:trHeight w:val="365"/>
        </w:trPr>
        <w:tc>
          <w:tcPr>
            <w:tcW w:w="2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0" w:type="dxa"/>
            <w:vAlign w:val="bottom"/>
          </w:tcPr>
          <w:p>
            <w:pPr>
              <w:ind w:left="1180"/>
              <w:spacing w:after="0"/>
              <w:rPr>
                <w:sz w:val="20"/>
                <w:szCs w:val="20"/>
                <w:color w:val="auto"/>
              </w:rPr>
            </w:pPr>
            <w:r>
              <w:rPr>
                <w:rFonts w:ascii="Arial" w:cs="Arial" w:eastAsia="Arial" w:hAnsi="Arial"/>
                <w:sz w:val="18"/>
                <w:szCs w:val="18"/>
                <w:color w:val="auto"/>
              </w:rPr>
              <w:t>45</w:t>
            </w:r>
          </w:p>
        </w:tc>
        <w:tc>
          <w:tcPr>
            <w:tcW w:w="46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Directors are responsible for the overall supervision of the operations of the company and perform the various duties imposed on the directors of investment companies by the 1940 Act and applicable Maryland law.</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Biographical Information</w:t>
      </w:r>
      <w:r>
        <w:rPr>
          <w:rFonts w:ascii="Arial" w:cs="Arial" w:eastAsia="Arial" w:hAnsi="Arial"/>
          <w:sz w:val="16"/>
          <w:szCs w:val="16"/>
          <w:color w:val="auto"/>
        </w:rPr>
        <w:t>. Certain biographical and other information relating to the Directors of the company is set out below, including their ages, their</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occupations for at least the last five years, the length of time served, the total number of portfolios overseen in the complex of funds advised by the Adviser (collectively, the “PennantPark Funds”) and other public directorships, including both public operating companies and registered funds.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6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6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60" w:type="dxa"/>
            <w:vAlign w:val="bottom"/>
          </w:tcPr>
          <w:p>
            <w:pPr>
              <w:spacing w:after="0"/>
              <w:rPr>
                <w:sz w:val="15"/>
                <w:szCs w:val="15"/>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8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Interested Director</w:t>
            </w:r>
          </w:p>
        </w:tc>
        <w:tc>
          <w:tcPr>
            <w:tcW w:w="360" w:type="dxa"/>
            <w:vAlign w:val="bottom"/>
          </w:tcPr>
          <w:p>
            <w:pPr>
              <w:spacing w:after="0"/>
              <w:rPr>
                <w:sz w:val="17"/>
                <w:szCs w:val="17"/>
                <w:color w:val="auto"/>
              </w:rPr>
            </w:pP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Chief Executive Officer</w:t>
            </w:r>
          </w:p>
        </w:tc>
        <w:tc>
          <w:tcPr>
            <w:tcW w:w="360" w:type="dxa"/>
            <w:vAlign w:val="bottom"/>
          </w:tcPr>
          <w:p>
            <w:pPr>
              <w:spacing w:after="0"/>
              <w:rPr>
                <w:sz w:val="17"/>
                <w:szCs w:val="17"/>
                <w:color w:val="auto"/>
              </w:rPr>
            </w:pPr>
          </w:p>
        </w:tc>
        <w:tc>
          <w:tcPr>
            <w:tcW w:w="1840" w:type="dxa"/>
            <w:vAlign w:val="bottom"/>
            <w:gridSpan w:val="3"/>
          </w:tcPr>
          <w:p>
            <w:pPr>
              <w:spacing w:after="0" w:line="201" w:lineRule="exact"/>
              <w:rPr>
                <w:sz w:val="20"/>
                <w:szCs w:val="20"/>
                <w:color w:val="auto"/>
              </w:rPr>
            </w:pPr>
            <w:r>
              <w:rPr>
                <w:rFonts w:ascii="Arial" w:cs="Arial" w:eastAsia="Arial" w:hAnsi="Arial"/>
                <w:sz w:val="18"/>
                <w:szCs w:val="18"/>
                <w:color w:val="auto"/>
              </w:rPr>
              <w:t>Director since October</w:t>
            </w:r>
          </w:p>
        </w:tc>
        <w:tc>
          <w:tcPr>
            <w:tcW w:w="38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Founder, Chairman and</w:t>
            </w:r>
          </w:p>
        </w:tc>
        <w:tc>
          <w:tcPr>
            <w:tcW w:w="0" w:type="dxa"/>
            <w:vAlign w:val="bottom"/>
          </w:tcPr>
          <w:p>
            <w:pPr>
              <w:spacing w:after="0"/>
              <w:rPr>
                <w:sz w:val="1"/>
                <w:szCs w:val="1"/>
                <w:color w:val="auto"/>
              </w:rPr>
            </w:pPr>
          </w:p>
        </w:tc>
      </w:tr>
      <w:tr>
        <w:trPr>
          <w:trHeight w:val="184"/>
        </w:trPr>
        <w:tc>
          <w:tcPr>
            <w:tcW w:w="2240" w:type="dxa"/>
            <w:vAlign w:val="bottom"/>
          </w:tcPr>
          <w:p>
            <w:pPr>
              <w:spacing w:after="0" w:line="184" w:lineRule="exact"/>
              <w:rPr>
                <w:sz w:val="20"/>
                <w:szCs w:val="20"/>
                <w:color w:val="auto"/>
              </w:rPr>
            </w:pPr>
            <w:r>
              <w:rPr>
                <w:rFonts w:ascii="Arial" w:cs="Arial" w:eastAsia="Arial" w:hAnsi="Arial"/>
                <w:sz w:val="18"/>
                <w:szCs w:val="18"/>
                <w:color w:val="auto"/>
              </w:rPr>
              <w:t>Arthur H. Penn (47)</w:t>
            </w:r>
            <w:r>
              <w:rPr>
                <w:rFonts w:ascii="Arial" w:cs="Arial" w:eastAsia="Arial" w:hAnsi="Arial"/>
                <w:sz w:val="11"/>
                <w:szCs w:val="11"/>
                <w:color w:val="auto"/>
              </w:rPr>
              <w:t>(3)</w:t>
            </w:r>
          </w:p>
        </w:tc>
        <w:tc>
          <w:tcPr>
            <w:tcW w:w="2220" w:type="dxa"/>
            <w:vAlign w:val="bottom"/>
            <w:gridSpan w:val="2"/>
          </w:tcPr>
          <w:p>
            <w:pPr>
              <w:ind w:left="360"/>
              <w:spacing w:after="0" w:line="184" w:lineRule="exact"/>
              <w:rPr>
                <w:sz w:val="20"/>
                <w:szCs w:val="20"/>
                <w:color w:val="auto"/>
              </w:rPr>
            </w:pPr>
            <w:r>
              <w:rPr>
                <w:rFonts w:ascii="Arial" w:cs="Arial" w:eastAsia="Arial" w:hAnsi="Arial"/>
                <w:sz w:val="18"/>
                <w:szCs w:val="18"/>
                <w:color w:val="auto"/>
              </w:rPr>
              <w:t>and Chairman of the</w:t>
            </w:r>
          </w:p>
        </w:tc>
        <w:tc>
          <w:tcPr>
            <w:tcW w:w="2200" w:type="dxa"/>
            <w:vAlign w:val="bottom"/>
            <w:gridSpan w:val="4"/>
          </w:tcPr>
          <w:p>
            <w:pPr>
              <w:ind w:left="360"/>
              <w:spacing w:after="0" w:line="184" w:lineRule="exact"/>
              <w:rPr>
                <w:sz w:val="20"/>
                <w:szCs w:val="20"/>
                <w:color w:val="auto"/>
              </w:rPr>
            </w:pPr>
            <w:r>
              <w:rPr>
                <w:rFonts w:ascii="Arial" w:cs="Arial" w:eastAsia="Arial" w:hAnsi="Arial"/>
                <w:sz w:val="18"/>
                <w:szCs w:val="18"/>
                <w:color w:val="auto"/>
                <w:w w:val="99"/>
              </w:rPr>
              <w:t>2010; Term Expires 20</w:t>
            </w:r>
          </w:p>
        </w:tc>
        <w:tc>
          <w:tcPr>
            <w:tcW w:w="2420" w:type="dxa"/>
            <w:vAlign w:val="bottom"/>
            <w:gridSpan w:val="2"/>
          </w:tcPr>
          <w:p>
            <w:pPr>
              <w:ind w:left="380"/>
              <w:spacing w:after="0" w:line="184" w:lineRule="exact"/>
              <w:rPr>
                <w:sz w:val="20"/>
                <w:szCs w:val="20"/>
                <w:color w:val="auto"/>
              </w:rPr>
            </w:pPr>
            <w:r>
              <w:rPr>
                <w:rFonts w:ascii="Arial" w:cs="Arial" w:eastAsia="Arial" w:hAnsi="Arial"/>
                <w:sz w:val="18"/>
                <w:szCs w:val="18"/>
                <w:color w:val="auto"/>
                <w:w w:val="99"/>
              </w:rPr>
              <w:t>Chief Executive Officer of</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2220" w:type="dxa"/>
            <w:vAlign w:val="bottom"/>
            <w:gridSpan w:val="2"/>
          </w:tcPr>
          <w:p>
            <w:pPr>
              <w:ind w:left="360"/>
              <w:spacing w:after="0"/>
              <w:rPr>
                <w:sz w:val="20"/>
                <w:szCs w:val="20"/>
                <w:color w:val="auto"/>
              </w:rPr>
            </w:pPr>
            <w:r>
              <w:rPr>
                <w:rFonts w:ascii="Arial" w:cs="Arial" w:eastAsia="Arial" w:hAnsi="Arial"/>
                <w:sz w:val="18"/>
                <w:szCs w:val="18"/>
                <w:color w:val="auto"/>
              </w:rPr>
              <w:t>Board of Directors</w:t>
            </w: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PennantPark Investment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Corporation since its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2"/>
              </w:rPr>
              <w:t>inception in 2007. Mr. Penn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also is the founder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Managing Member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PennantPark Investment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Advisers, LLC. Before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4"/>
              </w:rPr>
              <w:t>founding PennantPark, Mr.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1"/>
              </w:rPr>
              <w:t>Penn was the co-founder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Apollo Investment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89"/>
              </w:rPr>
              <w:t>Management, where he was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a Managing Partner from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2004 to 2007. He also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6"/>
              </w:rPr>
              <w:t>served as Chief Operating</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Officer of Apollo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Investment Corporation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from inception in 2004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2006 and served as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7"/>
              </w:rPr>
              <w:t>Operating Officer in 2006.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He formerly was a</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2"/>
              </w:rPr>
              <w:t>Managing Partner of Apollo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8"/>
              </w:rPr>
              <w:t>Value Fund L.P. (formerly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Apollo Distressed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0"/>
              </w:rPr>
              <w:t>Investment Fund, L.P.) from</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2003 to 2006.</w:t>
            </w:r>
          </w:p>
        </w:tc>
        <w:tc>
          <w:tcPr>
            <w:tcW w:w="0" w:type="dxa"/>
            <w:vAlign w:val="bottom"/>
          </w:tcPr>
          <w:p>
            <w:pPr>
              <w:spacing w:after="0"/>
              <w:rPr>
                <w:sz w:val="1"/>
                <w:szCs w:val="1"/>
                <w:color w:val="auto"/>
              </w:rPr>
            </w:pPr>
          </w:p>
        </w:tc>
      </w:tr>
      <w:tr>
        <w:trPr>
          <w:trHeight w:val="365"/>
        </w:trPr>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gridSpan w:val="2"/>
          </w:tcPr>
          <w:p>
            <w:pPr>
              <w:jc w:val="right"/>
              <w:ind w:right="568"/>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PennantPark</w:t>
      </w:r>
    </w:p>
    <w:p>
      <w:pPr>
        <w:jc w:val="center"/>
        <w:ind w:right="1160"/>
        <w:spacing w:after="0" w:line="237" w:lineRule="auto"/>
        <w:rPr>
          <w:sz w:val="20"/>
          <w:szCs w:val="20"/>
          <w:color w:val="auto"/>
        </w:rPr>
      </w:pPr>
      <w:r>
        <w:rPr>
          <w:rFonts w:ascii="Arial" w:cs="Arial" w:eastAsia="Arial" w:hAnsi="Arial"/>
          <w:sz w:val="14"/>
          <w:szCs w:val="14"/>
          <w:b w:val="1"/>
          <w:bCs w:val="1"/>
          <w:color w:val="auto"/>
        </w:rPr>
        <w:t>Funds</w:t>
      </w:r>
    </w:p>
    <w:p>
      <w:pPr>
        <w:jc w:val="center"/>
        <w:ind w:right="1160"/>
        <w:spacing w:after="0" w:line="191" w:lineRule="auto"/>
        <w:rPr>
          <w:sz w:val="20"/>
          <w:szCs w:val="20"/>
          <w:color w:val="auto"/>
        </w:rPr>
      </w:pPr>
      <w:r>
        <w:rPr>
          <w:rFonts w:ascii="Arial" w:cs="Arial" w:eastAsia="Arial" w:hAnsi="Arial"/>
          <w:sz w:val="14"/>
          <w:szCs w:val="14"/>
          <w:b w:val="1"/>
          <w:bCs w:val="1"/>
          <w:color w:val="auto"/>
        </w:rPr>
        <w:t>and</w:t>
      </w:r>
    </w:p>
    <w:p>
      <w:pPr>
        <w:ind w:left="20"/>
        <w:spacing w:after="0"/>
        <w:tabs>
          <w:tab w:leader="none" w:pos="1340" w:val="left"/>
        </w:tabs>
        <w:rPr>
          <w:sz w:val="20"/>
          <w:szCs w:val="20"/>
          <w:color w:val="auto"/>
        </w:rPr>
      </w:pPr>
      <w:r>
        <w:rPr>
          <w:rFonts w:ascii="Arial" w:cs="Arial" w:eastAsia="Arial" w:hAnsi="Arial"/>
          <w:sz w:val="12"/>
          <w:szCs w:val="12"/>
          <w:b w:val="1"/>
          <w:bCs w:val="1"/>
          <w:color w:val="auto"/>
        </w:rPr>
        <w:t>Portfolios</w:t>
      </w:r>
      <w:r>
        <w:rPr>
          <w:rFonts w:ascii="Arial" w:cs="Arial" w:eastAsia="Arial" w:hAnsi="Arial"/>
          <w:sz w:val="19"/>
          <w:szCs w:val="19"/>
          <w:b w:val="1"/>
          <w:bCs w:val="1"/>
          <w:color w:val="auto"/>
          <w:vertAlign w:val="superscript"/>
        </w:rPr>
        <w:t>(2)</w:t>
      </w:r>
      <w:r>
        <w:rPr>
          <w:sz w:val="20"/>
          <w:szCs w:val="20"/>
          <w:color w:val="auto"/>
        </w:rPr>
        <w:tab/>
      </w:r>
      <w:r>
        <w:rPr>
          <w:rFonts w:ascii="Arial" w:cs="Arial" w:eastAsia="Arial" w:hAnsi="Arial"/>
          <w:sz w:val="12"/>
          <w:szCs w:val="12"/>
          <w:b w:val="1"/>
          <w:bCs w:val="1"/>
          <w:color w:val="auto"/>
        </w:rPr>
        <w:t>Other</w:t>
      </w:r>
    </w:p>
    <w:p>
      <w:pPr>
        <w:spacing w:after="0" w:line="1"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2"/>
          <w:szCs w:val="12"/>
          <w:b w:val="1"/>
          <w:bCs w:val="1"/>
          <w:color w:val="auto"/>
        </w:rPr>
        <w:t>Overseen</w:t>
      </w:r>
      <w:r>
        <w:rPr>
          <w:sz w:val="20"/>
          <w:szCs w:val="20"/>
          <w:color w:val="auto"/>
        </w:rPr>
        <w:tab/>
      </w:r>
      <w:r>
        <w:rPr>
          <w:rFonts w:ascii="Arial" w:cs="Arial" w:eastAsia="Arial" w:hAnsi="Arial"/>
          <w:sz w:val="12"/>
          <w:szCs w:val="12"/>
          <w:b w:val="1"/>
          <w:bCs w:val="1"/>
          <w:u w:val="single" w:color="auto"/>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4889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9080" w:space="380"/>
            <w:col w:w="1920"/>
          </w:cols>
          <w:pgMar w:left="240" w:top="459" w:right="27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Term of</w:t>
            </w:r>
          </w:p>
        </w:tc>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38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8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6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the Company</w:t>
            </w:r>
          </w:p>
        </w:tc>
        <w:tc>
          <w:tcPr>
            <w:tcW w:w="380" w:type="dxa"/>
            <w:vAlign w:val="bottom"/>
          </w:tcPr>
          <w:p>
            <w:pPr>
              <w:spacing w:after="0"/>
              <w:rPr>
                <w:sz w:val="15"/>
                <w:szCs w:val="15"/>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38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36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80" w:type="dxa"/>
            <w:vAlign w:val="bottom"/>
          </w:tcPr>
          <w:p>
            <w:pPr>
              <w:spacing w:after="0"/>
              <w:rPr>
                <w:sz w:val="17"/>
                <w:szCs w:val="17"/>
                <w:color w:val="auto"/>
              </w:rPr>
            </w:pPr>
          </w:p>
        </w:tc>
        <w:tc>
          <w:tcPr>
            <w:tcW w:w="1840" w:type="dxa"/>
            <w:vAlign w:val="bottom"/>
            <w:gridSpan w:val="3"/>
          </w:tcPr>
          <w:p>
            <w:pPr>
              <w:spacing w:after="0" w:line="201" w:lineRule="exact"/>
              <w:rPr>
                <w:sz w:val="20"/>
                <w:szCs w:val="20"/>
                <w:color w:val="auto"/>
              </w:rPr>
            </w:pPr>
            <w:r>
              <w:rPr>
                <w:rFonts w:ascii="Arial" w:cs="Arial" w:eastAsia="Arial" w:hAnsi="Arial"/>
                <w:sz w:val="18"/>
                <w:szCs w:val="18"/>
                <w:color w:val="auto"/>
              </w:rPr>
              <w:t>Director since October</w:t>
            </w:r>
          </w:p>
        </w:tc>
        <w:tc>
          <w:tcPr>
            <w:tcW w:w="38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Director of PennantPark</w:t>
            </w:r>
          </w:p>
        </w:tc>
        <w:tc>
          <w:tcPr>
            <w:tcW w:w="0" w:type="dxa"/>
            <w:vAlign w:val="bottom"/>
          </w:tcPr>
          <w:p>
            <w:pPr>
              <w:spacing w:after="0"/>
              <w:rPr>
                <w:sz w:val="1"/>
                <w:szCs w:val="1"/>
                <w:color w:val="auto"/>
              </w:rPr>
            </w:pPr>
          </w:p>
        </w:tc>
      </w:tr>
      <w:tr>
        <w:trPr>
          <w:trHeight w:val="184"/>
        </w:trPr>
        <w:tc>
          <w:tcPr>
            <w:tcW w:w="2240" w:type="dxa"/>
            <w:vAlign w:val="bottom"/>
          </w:tcPr>
          <w:p>
            <w:pPr>
              <w:spacing w:after="0" w:line="184" w:lineRule="exact"/>
              <w:rPr>
                <w:sz w:val="20"/>
                <w:szCs w:val="20"/>
                <w:color w:val="auto"/>
              </w:rPr>
            </w:pPr>
            <w:r>
              <w:rPr>
                <w:rFonts w:ascii="Arial" w:cs="Arial" w:eastAsia="Arial" w:hAnsi="Arial"/>
                <w:sz w:val="18"/>
                <w:szCs w:val="18"/>
                <w:color w:val="auto"/>
              </w:rPr>
              <w:t>Marshall Brozost (43)</w:t>
            </w: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spacing w:after="0" w:line="184" w:lineRule="exact"/>
              <w:rPr>
                <w:sz w:val="20"/>
                <w:szCs w:val="20"/>
                <w:color w:val="auto"/>
              </w:rPr>
            </w:pPr>
            <w:r>
              <w:rPr>
                <w:rFonts w:ascii="Arial" w:cs="Arial" w:eastAsia="Arial" w:hAnsi="Arial"/>
                <w:sz w:val="18"/>
                <w:szCs w:val="18"/>
                <w:color w:val="auto"/>
                <w:w w:val="99"/>
              </w:rPr>
              <w:t>2010; Term Expires 20</w:t>
            </w:r>
          </w:p>
        </w:tc>
        <w:tc>
          <w:tcPr>
            <w:tcW w:w="2420" w:type="dxa"/>
            <w:vAlign w:val="bottom"/>
            <w:gridSpan w:val="2"/>
          </w:tcPr>
          <w:p>
            <w:pPr>
              <w:ind w:left="380"/>
              <w:spacing w:after="0" w:line="184" w:lineRule="exact"/>
              <w:rPr>
                <w:sz w:val="20"/>
                <w:szCs w:val="20"/>
                <w:color w:val="auto"/>
              </w:rPr>
            </w:pPr>
            <w:r>
              <w:rPr>
                <w:rFonts w:ascii="Arial" w:cs="Arial" w:eastAsia="Arial" w:hAnsi="Arial"/>
                <w:sz w:val="18"/>
                <w:szCs w:val="18"/>
                <w:color w:val="auto"/>
                <w:w w:val="96"/>
              </w:rPr>
              <w:t>Investment Corporation. A</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5"/>
              </w:rPr>
              <w:t>Partner at the international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law firm of Dewey &amp;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LeBoeuf LLP since 2007,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where he practices in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87"/>
              </w:rPr>
              <w:t>real estate and private equity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88"/>
              </w:rPr>
              <w:t>groups. Prior to his tenure at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Dewey &amp; LeBoeuf LLP,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which began in 2005, Mr.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Brozost practiced law at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O’Melveny &amp; Myers LLP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89"/>
              </w:rPr>
              <w:t>and at Solomon &amp; Weinberg</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LLP from 2001 to 2005.</w:t>
            </w:r>
          </w:p>
        </w:tc>
        <w:tc>
          <w:tcPr>
            <w:tcW w:w="0" w:type="dxa"/>
            <w:vAlign w:val="bottom"/>
          </w:tcPr>
          <w:p>
            <w:pPr>
              <w:spacing w:after="0"/>
              <w:rPr>
                <w:sz w:val="1"/>
                <w:szCs w:val="1"/>
                <w:color w:val="auto"/>
              </w:rPr>
            </w:pPr>
          </w:p>
        </w:tc>
      </w:tr>
      <w:tr>
        <w:trPr>
          <w:trHeight w:val="318"/>
        </w:trPr>
        <w:tc>
          <w:tcPr>
            <w:tcW w:w="2240" w:type="dxa"/>
            <w:vAlign w:val="bottom"/>
          </w:tcPr>
          <w:p>
            <w:pPr>
              <w:spacing w:after="0"/>
              <w:rPr>
                <w:sz w:val="20"/>
                <w:szCs w:val="20"/>
                <w:color w:val="auto"/>
              </w:rPr>
            </w:pPr>
            <w:r>
              <w:rPr>
                <w:rFonts w:ascii="Arial" w:cs="Arial" w:eastAsia="Arial" w:hAnsi="Arial"/>
                <w:sz w:val="18"/>
                <w:szCs w:val="18"/>
                <w:color w:val="auto"/>
              </w:rPr>
              <w:t>Samuel L. Katz (45)</w:t>
            </w:r>
          </w:p>
        </w:tc>
        <w:tc>
          <w:tcPr>
            <w:tcW w:w="220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380" w:type="dxa"/>
            <w:vAlign w:val="bottom"/>
          </w:tcPr>
          <w:p>
            <w:pPr>
              <w:spacing w:after="0"/>
              <w:rPr>
                <w:sz w:val="24"/>
                <w:szCs w:val="24"/>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Director since October</w:t>
            </w: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Director of PennantPark</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spacing w:after="0" w:line="184" w:lineRule="exact"/>
              <w:rPr>
                <w:sz w:val="20"/>
                <w:szCs w:val="20"/>
                <w:color w:val="auto"/>
              </w:rPr>
            </w:pPr>
            <w:r>
              <w:rPr>
                <w:rFonts w:ascii="Arial" w:cs="Arial" w:eastAsia="Arial" w:hAnsi="Arial"/>
                <w:sz w:val="18"/>
                <w:szCs w:val="18"/>
                <w:color w:val="auto"/>
                <w:w w:val="99"/>
              </w:rPr>
              <w:t>2010; Term Expires 20</w:t>
            </w:r>
          </w:p>
        </w:tc>
        <w:tc>
          <w:tcPr>
            <w:tcW w:w="2420" w:type="dxa"/>
            <w:vAlign w:val="bottom"/>
            <w:gridSpan w:val="2"/>
          </w:tcPr>
          <w:p>
            <w:pPr>
              <w:ind w:left="380"/>
              <w:spacing w:after="0" w:line="184" w:lineRule="exact"/>
              <w:rPr>
                <w:sz w:val="20"/>
                <w:szCs w:val="20"/>
                <w:color w:val="auto"/>
              </w:rPr>
            </w:pPr>
            <w:r>
              <w:rPr>
                <w:rFonts w:ascii="Arial" w:cs="Arial" w:eastAsia="Arial" w:hAnsi="Arial"/>
                <w:sz w:val="18"/>
                <w:szCs w:val="18"/>
                <w:color w:val="auto"/>
                <w:w w:val="96"/>
              </w:rPr>
              <w:t>Investment Corporation. A</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Managing Partner since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5"/>
              </w:rPr>
              <w:t>2007 of TZP Group LLC, a</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6"/>
              </w:rPr>
              <w:t>private equity fund. Before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joining TZP Group, Mr.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9"/>
              </w:rPr>
              <w:t>Katz was Chief Executive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Officer of MacAndrews &amp;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Forbes Acquisition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3"/>
              </w:rPr>
              <w:t>Holdings, Inc. from 2006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3"/>
              </w:rPr>
              <w:t>2007. Prior to that position,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0"/>
              </w:rPr>
              <w:t>Mr. Katz was Chairman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9"/>
              </w:rPr>
              <w:t>Chief Executive Officer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the Cendant Travel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Distribution Services</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2"/>
              </w:rPr>
              <w:t>Division from 2001 to 2005.</w:t>
            </w:r>
          </w:p>
        </w:tc>
        <w:tc>
          <w:tcPr>
            <w:tcW w:w="0" w:type="dxa"/>
            <w:vAlign w:val="bottom"/>
          </w:tcPr>
          <w:p>
            <w:pPr>
              <w:spacing w:after="0"/>
              <w:rPr>
                <w:sz w:val="1"/>
                <w:szCs w:val="1"/>
                <w:color w:val="auto"/>
              </w:rPr>
            </w:pPr>
          </w:p>
        </w:tc>
      </w:tr>
      <w:tr>
        <w:trPr>
          <w:trHeight w:val="318"/>
        </w:trPr>
        <w:tc>
          <w:tcPr>
            <w:tcW w:w="2240" w:type="dxa"/>
            <w:vAlign w:val="bottom"/>
          </w:tcPr>
          <w:p>
            <w:pPr>
              <w:spacing w:after="0"/>
              <w:rPr>
                <w:sz w:val="20"/>
                <w:szCs w:val="20"/>
                <w:color w:val="auto"/>
              </w:rPr>
            </w:pPr>
            <w:r>
              <w:rPr>
                <w:rFonts w:ascii="Arial" w:cs="Arial" w:eastAsia="Arial" w:hAnsi="Arial"/>
                <w:sz w:val="18"/>
                <w:szCs w:val="18"/>
                <w:color w:val="auto"/>
              </w:rPr>
              <w:t>Adam K. Bernstein (47)</w:t>
            </w:r>
          </w:p>
        </w:tc>
        <w:tc>
          <w:tcPr>
            <w:tcW w:w="220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380" w:type="dxa"/>
            <w:vAlign w:val="bottom"/>
          </w:tcPr>
          <w:p>
            <w:pPr>
              <w:spacing w:after="0"/>
              <w:rPr>
                <w:sz w:val="24"/>
                <w:szCs w:val="24"/>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Director since October</w:t>
            </w: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Director of PennantPark</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spacing w:after="0" w:line="184" w:lineRule="exact"/>
              <w:rPr>
                <w:sz w:val="20"/>
                <w:szCs w:val="20"/>
                <w:color w:val="auto"/>
              </w:rPr>
            </w:pPr>
            <w:r>
              <w:rPr>
                <w:rFonts w:ascii="Arial" w:cs="Arial" w:eastAsia="Arial" w:hAnsi="Arial"/>
                <w:sz w:val="18"/>
                <w:szCs w:val="18"/>
                <w:color w:val="auto"/>
                <w:w w:val="99"/>
              </w:rPr>
              <w:t>2010; Term Expires 20</w:t>
            </w:r>
          </w:p>
        </w:tc>
        <w:tc>
          <w:tcPr>
            <w:tcW w:w="2420" w:type="dxa"/>
            <w:vAlign w:val="bottom"/>
            <w:gridSpan w:val="2"/>
          </w:tcPr>
          <w:p>
            <w:pPr>
              <w:ind w:left="380"/>
              <w:spacing w:after="0" w:line="184" w:lineRule="exact"/>
              <w:rPr>
                <w:sz w:val="20"/>
                <w:szCs w:val="20"/>
                <w:color w:val="auto"/>
              </w:rPr>
            </w:pPr>
            <w:r>
              <w:rPr>
                <w:rFonts w:ascii="Arial" w:cs="Arial" w:eastAsia="Arial" w:hAnsi="Arial"/>
                <w:sz w:val="18"/>
                <w:szCs w:val="18"/>
                <w:color w:val="auto"/>
              </w:rPr>
              <w:t>Investment Corporation.</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4"/>
              </w:rPr>
              <w:t>President of The Bernstein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3"/>
              </w:rPr>
              <w:t>Companies, a Washington,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3"/>
              </w:rPr>
              <w:t>D.C.-based real estate firm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7"/>
              </w:rPr>
              <w:t>that he joined in 1986. Mr.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89"/>
              </w:rPr>
              <w:t>Bernstein also serves as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Executive Officer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w w:val="95"/>
              </w:rPr>
              <w:t>Consortium Atlantic Realty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Trust, Inc., a private real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estate investment trust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operating in the Mid-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Atlantic region since its</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tcPr>
          <w:p>
            <w:pPr>
              <w:ind w:left="380"/>
              <w:spacing w:after="0"/>
              <w:rPr>
                <w:sz w:val="20"/>
                <w:szCs w:val="20"/>
                <w:color w:val="auto"/>
              </w:rPr>
            </w:pPr>
            <w:r>
              <w:rPr>
                <w:rFonts w:ascii="Arial" w:cs="Arial" w:eastAsia="Arial" w:hAnsi="Arial"/>
                <w:sz w:val="18"/>
                <w:szCs w:val="18"/>
                <w:color w:val="auto"/>
              </w:rPr>
              <w:t>formation in 2000.</w:t>
            </w:r>
          </w:p>
        </w:tc>
        <w:tc>
          <w:tcPr>
            <w:tcW w:w="0" w:type="dxa"/>
            <w:vAlign w:val="bottom"/>
          </w:tcPr>
          <w:p>
            <w:pPr>
              <w:spacing w:after="0"/>
              <w:rPr>
                <w:sz w:val="1"/>
                <w:szCs w:val="1"/>
                <w:color w:val="auto"/>
              </w:rPr>
            </w:pPr>
          </w:p>
        </w:tc>
      </w:tr>
      <w:tr>
        <w:trPr>
          <w:trHeight w:val="365"/>
        </w:trPr>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PennantPark</w:t>
      </w:r>
    </w:p>
    <w:p>
      <w:pPr>
        <w:jc w:val="center"/>
        <w:ind w:right="1160"/>
        <w:spacing w:after="0" w:line="237" w:lineRule="auto"/>
        <w:rPr>
          <w:sz w:val="20"/>
          <w:szCs w:val="20"/>
          <w:color w:val="auto"/>
        </w:rPr>
      </w:pPr>
      <w:r>
        <w:rPr>
          <w:rFonts w:ascii="Arial" w:cs="Arial" w:eastAsia="Arial" w:hAnsi="Arial"/>
          <w:sz w:val="14"/>
          <w:szCs w:val="14"/>
          <w:b w:val="1"/>
          <w:bCs w:val="1"/>
          <w:color w:val="auto"/>
        </w:rPr>
        <w:t>Funds</w:t>
      </w:r>
    </w:p>
    <w:p>
      <w:pPr>
        <w:jc w:val="center"/>
        <w:ind w:right="1160"/>
        <w:spacing w:after="0" w:line="191" w:lineRule="auto"/>
        <w:rPr>
          <w:sz w:val="20"/>
          <w:szCs w:val="20"/>
          <w:color w:val="auto"/>
        </w:rPr>
      </w:pPr>
      <w:r>
        <w:rPr>
          <w:rFonts w:ascii="Arial" w:cs="Arial" w:eastAsia="Arial" w:hAnsi="Arial"/>
          <w:sz w:val="14"/>
          <w:szCs w:val="14"/>
          <w:b w:val="1"/>
          <w:bCs w:val="1"/>
          <w:color w:val="auto"/>
        </w:rPr>
        <w:t>and</w:t>
      </w:r>
    </w:p>
    <w:p>
      <w:pPr>
        <w:ind w:left="20"/>
        <w:spacing w:after="0"/>
        <w:tabs>
          <w:tab w:leader="none" w:pos="1340" w:val="left"/>
        </w:tabs>
        <w:rPr>
          <w:sz w:val="20"/>
          <w:szCs w:val="20"/>
          <w:color w:val="auto"/>
        </w:rPr>
      </w:pPr>
      <w:r>
        <w:rPr>
          <w:rFonts w:ascii="Arial" w:cs="Arial" w:eastAsia="Arial" w:hAnsi="Arial"/>
          <w:sz w:val="12"/>
          <w:szCs w:val="12"/>
          <w:b w:val="1"/>
          <w:bCs w:val="1"/>
          <w:color w:val="auto"/>
        </w:rPr>
        <w:t>Portfolios</w:t>
      </w:r>
      <w:r>
        <w:rPr>
          <w:rFonts w:ascii="Arial" w:cs="Arial" w:eastAsia="Arial" w:hAnsi="Arial"/>
          <w:sz w:val="19"/>
          <w:szCs w:val="19"/>
          <w:b w:val="1"/>
          <w:bCs w:val="1"/>
          <w:color w:val="auto"/>
          <w:vertAlign w:val="superscript"/>
        </w:rPr>
        <w:t>(2)</w:t>
      </w:r>
      <w:r>
        <w:rPr>
          <w:sz w:val="20"/>
          <w:szCs w:val="20"/>
          <w:color w:val="auto"/>
        </w:rPr>
        <w:tab/>
      </w:r>
      <w:r>
        <w:rPr>
          <w:rFonts w:ascii="Arial" w:cs="Arial" w:eastAsia="Arial" w:hAnsi="Arial"/>
          <w:sz w:val="12"/>
          <w:szCs w:val="12"/>
          <w:b w:val="1"/>
          <w:bCs w:val="1"/>
          <w:color w:val="auto"/>
        </w:rPr>
        <w:t>Other</w:t>
      </w:r>
    </w:p>
    <w:p>
      <w:pPr>
        <w:spacing w:after="0" w:line="1"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2"/>
          <w:szCs w:val="12"/>
          <w:b w:val="1"/>
          <w:bCs w:val="1"/>
          <w:color w:val="auto"/>
        </w:rPr>
        <w:t>Overseen</w:t>
      </w:r>
      <w:r>
        <w:rPr>
          <w:sz w:val="20"/>
          <w:szCs w:val="20"/>
          <w:color w:val="auto"/>
        </w:rPr>
        <w:tab/>
      </w:r>
      <w:r>
        <w:rPr>
          <w:rFonts w:ascii="Arial" w:cs="Arial" w:eastAsia="Arial" w:hAnsi="Arial"/>
          <w:sz w:val="12"/>
          <w:szCs w:val="12"/>
          <w:b w:val="1"/>
          <w:bCs w:val="1"/>
          <w:u w:val="single" w:color="auto"/>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4889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9080" w:space="380"/>
            <w:col w:w="1920"/>
          </w:cols>
          <w:pgMar w:left="240" w:top="459" w:right="27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6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36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8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60" w:type="dxa"/>
            <w:vAlign w:val="bottom"/>
          </w:tcPr>
          <w:p>
            <w:pPr>
              <w:spacing w:after="0"/>
              <w:rPr>
                <w:sz w:val="15"/>
                <w:szCs w:val="15"/>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38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rPr>
              <w:t>Jeffrey Flug (48)</w:t>
            </w:r>
          </w:p>
        </w:tc>
        <w:tc>
          <w:tcPr>
            <w:tcW w:w="38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7"/>
                <w:szCs w:val="17"/>
                <w:color w:val="auto"/>
              </w:rPr>
            </w:pPr>
          </w:p>
        </w:tc>
        <w:tc>
          <w:tcPr>
            <w:tcW w:w="1860" w:type="dxa"/>
            <w:vAlign w:val="bottom"/>
            <w:gridSpan w:val="3"/>
          </w:tcPr>
          <w:p>
            <w:pPr>
              <w:spacing w:after="0" w:line="201" w:lineRule="exact"/>
              <w:rPr>
                <w:sz w:val="20"/>
                <w:szCs w:val="20"/>
                <w:color w:val="auto"/>
              </w:rPr>
            </w:pPr>
            <w:r>
              <w:rPr>
                <w:rFonts w:ascii="Arial" w:cs="Arial" w:eastAsia="Arial" w:hAnsi="Arial"/>
                <w:sz w:val="18"/>
                <w:szCs w:val="18"/>
                <w:color w:val="auto"/>
              </w:rPr>
              <w:t>Director since October</w:t>
            </w:r>
          </w:p>
        </w:tc>
        <w:tc>
          <w:tcPr>
            <w:tcW w:w="38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Director of PennantPark</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20" w:type="dxa"/>
            <w:vAlign w:val="bottom"/>
            <w:gridSpan w:val="4"/>
          </w:tcPr>
          <w:p>
            <w:pPr>
              <w:ind w:left="360"/>
              <w:spacing w:after="0" w:line="184" w:lineRule="exact"/>
              <w:rPr>
                <w:sz w:val="20"/>
                <w:szCs w:val="20"/>
                <w:color w:val="auto"/>
              </w:rPr>
            </w:pPr>
            <w:r>
              <w:rPr>
                <w:rFonts w:ascii="Arial" w:cs="Arial" w:eastAsia="Arial" w:hAnsi="Arial"/>
                <w:sz w:val="18"/>
                <w:szCs w:val="18"/>
                <w:color w:val="auto"/>
              </w:rPr>
              <w:t>2010; Term Expires 20</w:t>
            </w:r>
          </w:p>
        </w:tc>
        <w:tc>
          <w:tcPr>
            <w:tcW w:w="380" w:type="dxa"/>
            <w:vAlign w:val="bottom"/>
          </w:tcPr>
          <w:p>
            <w:pPr>
              <w:spacing w:after="0"/>
              <w:rPr>
                <w:sz w:val="15"/>
                <w:szCs w:val="15"/>
                <w:color w:val="auto"/>
              </w:rPr>
            </w:pPr>
          </w:p>
        </w:tc>
        <w:tc>
          <w:tcPr>
            <w:tcW w:w="2020" w:type="dxa"/>
            <w:vAlign w:val="bottom"/>
          </w:tcPr>
          <w:p>
            <w:pPr>
              <w:spacing w:after="0" w:line="184" w:lineRule="exact"/>
              <w:rPr>
                <w:sz w:val="20"/>
                <w:szCs w:val="20"/>
                <w:color w:val="auto"/>
              </w:rPr>
            </w:pPr>
            <w:r>
              <w:rPr>
                <w:rFonts w:ascii="Arial" w:cs="Arial" w:eastAsia="Arial" w:hAnsi="Arial"/>
                <w:sz w:val="18"/>
                <w:szCs w:val="18"/>
                <w:color w:val="auto"/>
              </w:rPr>
              <w:t>Investment Corporation.</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1"/>
              </w:rPr>
              <w:t>Chief Operating Officer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8"/>
              </w:rPr>
              <w:t>Financial Officer of Union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9"/>
              </w:rPr>
              <w:t>Square Hospitality Group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9"/>
              </w:rPr>
              <w:t>since 2009. Mr. Flug also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has served as Chief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Executive Officer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Executive Director from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2"/>
              </w:rPr>
              <w:t>2006 to 2008 of Millennium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Promise Alliance, Inc., a</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non-profit organization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whose mission is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eradicate extreme global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0"/>
              </w:rPr>
              <w:t>poverty. From 2000 to 2006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8"/>
              </w:rPr>
              <w:t>Mr. Flug was a Managing</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2"/>
              </w:rPr>
              <w:t>Director and Head of North</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0"/>
              </w:rPr>
              <w:t>American Institutional Sales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3"/>
              </w:rPr>
              <w:t>at JP Morgan’s Investment</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Bank.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PennantPark</w:t>
      </w:r>
    </w:p>
    <w:p>
      <w:pPr>
        <w:jc w:val="center"/>
        <w:ind w:right="1200"/>
        <w:spacing w:after="0" w:line="237" w:lineRule="auto"/>
        <w:rPr>
          <w:sz w:val="20"/>
          <w:szCs w:val="20"/>
          <w:color w:val="auto"/>
        </w:rPr>
      </w:pPr>
      <w:r>
        <w:rPr>
          <w:rFonts w:ascii="Arial" w:cs="Arial" w:eastAsia="Arial" w:hAnsi="Arial"/>
          <w:sz w:val="14"/>
          <w:szCs w:val="14"/>
          <w:b w:val="1"/>
          <w:bCs w:val="1"/>
          <w:color w:val="auto"/>
        </w:rPr>
        <w:t>Funds</w:t>
      </w:r>
    </w:p>
    <w:p>
      <w:pPr>
        <w:jc w:val="center"/>
        <w:ind w:right="1200"/>
        <w:spacing w:after="0" w:line="191" w:lineRule="auto"/>
        <w:rPr>
          <w:sz w:val="20"/>
          <w:szCs w:val="20"/>
          <w:color w:val="auto"/>
        </w:rPr>
      </w:pPr>
      <w:r>
        <w:rPr>
          <w:rFonts w:ascii="Arial" w:cs="Arial" w:eastAsia="Arial" w:hAnsi="Arial"/>
          <w:sz w:val="14"/>
          <w:szCs w:val="14"/>
          <w:b w:val="1"/>
          <w:bCs w:val="1"/>
          <w:color w:val="auto"/>
        </w:rPr>
        <w:t>and</w:t>
      </w:r>
    </w:p>
    <w:p>
      <w:pPr>
        <w:ind w:left="20"/>
        <w:spacing w:after="0"/>
        <w:tabs>
          <w:tab w:leader="none" w:pos="1340" w:val="left"/>
        </w:tabs>
        <w:rPr>
          <w:sz w:val="20"/>
          <w:szCs w:val="20"/>
          <w:color w:val="auto"/>
        </w:rPr>
      </w:pPr>
      <w:r>
        <w:rPr>
          <w:rFonts w:ascii="Arial" w:cs="Arial" w:eastAsia="Arial" w:hAnsi="Arial"/>
          <w:sz w:val="12"/>
          <w:szCs w:val="12"/>
          <w:b w:val="1"/>
          <w:bCs w:val="1"/>
          <w:color w:val="auto"/>
        </w:rPr>
        <w:t>Portfolios</w:t>
      </w:r>
      <w:r>
        <w:rPr>
          <w:rFonts w:ascii="Arial" w:cs="Arial" w:eastAsia="Arial" w:hAnsi="Arial"/>
          <w:sz w:val="19"/>
          <w:szCs w:val="19"/>
          <w:b w:val="1"/>
          <w:bCs w:val="1"/>
          <w:color w:val="auto"/>
          <w:vertAlign w:val="superscript"/>
        </w:rPr>
        <w:t>(2)</w:t>
      </w:r>
      <w:r>
        <w:rPr>
          <w:sz w:val="20"/>
          <w:szCs w:val="20"/>
          <w:color w:val="auto"/>
        </w:rPr>
        <w:tab/>
      </w:r>
      <w:r>
        <w:rPr>
          <w:rFonts w:ascii="Arial" w:cs="Arial" w:eastAsia="Arial" w:hAnsi="Arial"/>
          <w:sz w:val="12"/>
          <w:szCs w:val="12"/>
          <w:b w:val="1"/>
          <w:bCs w:val="1"/>
          <w:color w:val="auto"/>
        </w:rPr>
        <w:t>Other</w:t>
      </w:r>
    </w:p>
    <w:p>
      <w:pPr>
        <w:spacing w:after="0" w:line="1"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2"/>
          <w:szCs w:val="12"/>
          <w:b w:val="1"/>
          <w:bCs w:val="1"/>
          <w:color w:val="auto"/>
        </w:rPr>
        <w:t>Overseen</w:t>
      </w:r>
      <w:r>
        <w:rPr>
          <w:sz w:val="20"/>
          <w:szCs w:val="20"/>
          <w:color w:val="auto"/>
        </w:rPr>
        <w:tab/>
      </w:r>
      <w:r>
        <w:rPr>
          <w:rFonts w:ascii="Arial" w:cs="Arial" w:eastAsia="Arial" w:hAnsi="Arial"/>
          <w:sz w:val="12"/>
          <w:szCs w:val="12"/>
          <w:b w:val="1"/>
          <w:bCs w:val="1"/>
          <w:u w:val="single" w:color="auto"/>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4889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w:t>
      </w:r>
    </w:p>
    <w:p>
      <w:pPr>
        <w:spacing w:after="0" w:line="4255" w:lineRule="exact"/>
        <w:rPr>
          <w:sz w:val="20"/>
          <w:szCs w:val="20"/>
          <w:color w:val="auto"/>
        </w:rPr>
      </w:pPr>
    </w:p>
    <w:p>
      <w:pPr>
        <w:sectPr>
          <w:pgSz w:w="11900" w:h="16838" w:orient="portrait"/>
          <w:cols w:equalWidth="0" w:num="2">
            <w:col w:w="9080" w:space="380"/>
            <w:col w:w="1960"/>
          </w:cols>
          <w:pgMar w:left="240" w:top="459" w:right="239" w:bottom="1440" w:gutter="0" w:footer="0" w:header="0"/>
          <w:type w:val="continuous"/>
        </w:sect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address of each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purposes of this table, “PennantPark Funds and Portfolios” means the following investment companies: PennantPark Floating Rate Capital Ltd. and PennantPark Investment Corporation.</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positions as an officer of the Company and of PennantPark Investment Advisers, LLC.</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Biographical Information of the Executive Officers of the Company</w:t>
      </w:r>
      <w:r>
        <w:rPr>
          <w:rFonts w:ascii="Arial" w:cs="Arial" w:eastAsia="Arial" w:hAnsi="Arial"/>
          <w:sz w:val="18"/>
          <w:szCs w:val="18"/>
          <w:color w:val="auto"/>
        </w:rPr>
        <w:t>. Certain biographical and other information relating to the executive officers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set out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1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1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10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1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0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Officer</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Arthur H. Penn (47)</w:t>
            </w: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Since October 2010</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09"/>
        </w:trPr>
        <w:tc>
          <w:tcPr>
            <w:tcW w:w="2980" w:type="dxa"/>
            <w:vAlign w:val="bottom"/>
          </w:tcPr>
          <w:p>
            <w:pPr>
              <w:spacing w:after="0"/>
              <w:rPr>
                <w:sz w:val="20"/>
                <w:szCs w:val="20"/>
                <w:color w:val="auto"/>
              </w:rPr>
            </w:pPr>
            <w:r>
              <w:rPr>
                <w:rFonts w:ascii="Arial" w:cs="Arial" w:eastAsia="Arial" w:hAnsi="Arial"/>
                <w:sz w:val="18"/>
                <w:szCs w:val="18"/>
                <w:color w:val="auto"/>
              </w:rPr>
              <w:t>Aviv Efrat (46)</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2"/>
              </w:rPr>
              <w:t>Chief Financial Officer and Treasurer</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Since October 2010</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6"/>
              </w:rPr>
              <w:t>Treasurer of PennantPark Investment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0"/>
              </w:rPr>
              <w:t>Corporation since inception in 2007.</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4"/>
              </w:rPr>
              <w:t>Managing Director of PennantPark</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Investment Administration, LLC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5"/>
              </w:rPr>
              <w:t>since inception in 2007. A Director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at BlackRock, Inc. from 1997 to</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8"/>
              </w:rPr>
              <w:t>2007 where he was responsible for a</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variety of administrative,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0"/>
              </w:rPr>
              <w:t>operational, and financial aspects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9"/>
              </w:rPr>
              <w:t>closed-end and open-end registered</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1340" w:hanging="5612"/>
        <w:spacing w:after="0" w:line="440" w:lineRule="auto"/>
        <w:tabs>
          <w:tab w:leader="none" w:pos="4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address of each officer is c/o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48</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Stock Ownership</w:t>
      </w:r>
      <w:r>
        <w:rPr>
          <w:rFonts w:ascii="Arial" w:cs="Arial" w:eastAsia="Arial" w:hAnsi="Arial"/>
          <w:sz w:val="18"/>
          <w:szCs w:val="18"/>
          <w:color w:val="auto"/>
        </w:rPr>
        <w:t>. Information relating to each Director’s share ownership in the company and in all PennantPark Funds as of December , 2010 is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6395085</wp:posOffset>
            </wp:positionH>
            <wp:positionV relativeFrom="paragraph">
              <wp:posOffset>-175895</wp:posOffset>
            </wp:positionV>
            <wp:extent cx="1117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40" w:type="dxa"/>
            <w:vAlign w:val="bottom"/>
            <w:gridSpan w:val="3"/>
          </w:tcPr>
          <w:p>
            <w:pPr>
              <w:jc w:val="center"/>
              <w:ind w:left="1172"/>
              <w:spacing w:after="0"/>
              <w:rPr>
                <w:sz w:val="20"/>
                <w:szCs w:val="20"/>
                <w:color w:val="auto"/>
              </w:rPr>
            </w:pPr>
            <w:r>
              <w:rPr>
                <w:rFonts w:ascii="Arial" w:cs="Arial" w:eastAsia="Arial" w:hAnsi="Arial"/>
                <w:sz w:val="14"/>
                <w:szCs w:val="14"/>
                <w:b w:val="1"/>
                <w:bCs w:val="1"/>
                <w:color w:val="auto"/>
                <w:w w:val="86"/>
              </w:rPr>
              <w:t>Aggregate Dollar Range</w:t>
            </w:r>
          </w:p>
        </w:tc>
        <w:tc>
          <w:tcPr>
            <w:tcW w:w="0" w:type="dxa"/>
            <w:vAlign w:val="bottom"/>
          </w:tcPr>
          <w:p>
            <w:pPr>
              <w:spacing w:after="0"/>
              <w:rPr>
                <w:sz w:val="1"/>
                <w:szCs w:val="1"/>
                <w:color w:val="auto"/>
              </w:rPr>
            </w:pPr>
          </w:p>
        </w:tc>
      </w:tr>
      <w:tr>
        <w:trPr>
          <w:trHeight w:val="149"/>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gridSpan w:val="2"/>
          </w:tcPr>
          <w:p>
            <w:pPr>
              <w:jc w:val="center"/>
              <w:ind w:left="1172"/>
              <w:spacing w:after="0" w:line="149" w:lineRule="exact"/>
              <w:rPr>
                <w:sz w:val="20"/>
                <w:szCs w:val="20"/>
                <w:color w:val="auto"/>
              </w:rPr>
            </w:pPr>
            <w:r>
              <w:rPr>
                <w:rFonts w:ascii="Arial" w:cs="Arial" w:eastAsia="Arial" w:hAnsi="Arial"/>
                <w:sz w:val="14"/>
                <w:szCs w:val="14"/>
                <w:b w:val="1"/>
                <w:bCs w:val="1"/>
                <w:color w:val="auto"/>
                <w:w w:val="86"/>
              </w:rPr>
              <w:t>Aggregate Dollar Range</w:t>
            </w:r>
          </w:p>
        </w:tc>
        <w:tc>
          <w:tcPr>
            <w:tcW w:w="1300" w:type="dxa"/>
            <w:vAlign w:val="bottom"/>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of Securities in</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of Equity in the Fund</w:t>
            </w:r>
          </w:p>
        </w:tc>
        <w:tc>
          <w:tcPr>
            <w:tcW w:w="1300" w:type="dxa"/>
            <w:vAlign w:val="bottom"/>
          </w:tcPr>
          <w:p>
            <w:pPr>
              <w:spacing w:after="0"/>
              <w:rPr>
                <w:sz w:val="14"/>
                <w:szCs w:val="14"/>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PennantPark Funds</w:t>
            </w: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the date of this prospectus, none of our Directors and officers owned any of our outstanding shares. As of the date of this prospectus, none of our Independent Directors or their immediate family members owned beneficially or of record any securities in the Adviser, and none of the Directors owned beneficially or of record any securities in the Underwriters.]</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Compensation of Directors</w:t>
      </w:r>
      <w:r>
        <w:rPr>
          <w:rFonts w:ascii="Arial" w:cs="Arial" w:eastAsia="Arial" w:hAnsi="Arial"/>
          <w:sz w:val="16"/>
          <w:szCs w:val="16"/>
          <w:color w:val="auto"/>
        </w:rPr>
        <w:t>. The following table sets forth the estimated compensation to be paid by us to the Directors projected through the end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first fiscal year and the projected aggregate compensation to be paid to them from all PennantPark Companies for the calendar year ending December 31, 2011. The Directors who are “interested persons,” as defined in the 1940 Act, and our officers do not receive compensation from us.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60" w:type="dxa"/>
            <w:vAlign w:val="bottom"/>
          </w:tcPr>
          <w:p>
            <w:pPr>
              <w:jc w:val="center"/>
              <w:ind w:left="432"/>
              <w:spacing w:after="0"/>
              <w:rPr>
                <w:sz w:val="20"/>
                <w:szCs w:val="20"/>
                <w:color w:val="auto"/>
              </w:rPr>
            </w:pPr>
            <w:r>
              <w:rPr>
                <w:rFonts w:ascii="Arial" w:cs="Arial" w:eastAsia="Arial" w:hAnsi="Arial"/>
                <w:sz w:val="14"/>
                <w:szCs w:val="14"/>
                <w:b w:val="1"/>
                <w:bCs w:val="1"/>
                <w:color w:val="auto"/>
                <w:w w:val="86"/>
              </w:rPr>
              <w:t>Total Compensation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from the Company</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6"/>
              </w:rPr>
              <w:t>Aggregate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Pension or Retirement</w:t>
            </w:r>
          </w:p>
        </w:tc>
        <w:tc>
          <w:tcPr>
            <w:tcW w:w="1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PennantPark Fund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Benefits Accrued as</w:t>
            </w:r>
          </w:p>
        </w:tc>
        <w:tc>
          <w:tcPr>
            <w:tcW w:w="166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Complex</w:t>
            </w:r>
          </w:p>
        </w:tc>
        <w:tc>
          <w:tcPr>
            <w:tcW w:w="0" w:type="dxa"/>
            <w:vAlign w:val="bottom"/>
          </w:tcPr>
          <w:p>
            <w:pPr>
              <w:spacing w:after="0"/>
              <w:rPr>
                <w:sz w:val="1"/>
                <w:szCs w:val="1"/>
                <w:color w:val="auto"/>
              </w:rPr>
            </w:pPr>
          </w:p>
        </w:tc>
      </w:tr>
      <w:tr>
        <w:trPr>
          <w:trHeight w:val="14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9"/>
              </w:rPr>
              <w:t>from</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Part of Company</w:t>
            </w:r>
          </w:p>
        </w:tc>
        <w:tc>
          <w:tcPr>
            <w:tcW w:w="1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9"/>
              </w:rPr>
              <w:t>Paid to</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3300" w:type="dxa"/>
            <w:vAlign w:val="bottom"/>
          </w:tcPr>
          <w:p>
            <w:pPr>
              <w:jc w:val="center"/>
              <w:ind w:left="1392"/>
              <w:spacing w:after="0"/>
              <w:rPr>
                <w:sz w:val="20"/>
                <w:szCs w:val="20"/>
                <w:color w:val="auto"/>
              </w:rPr>
            </w:pPr>
            <w:r>
              <w:rPr>
                <w:rFonts w:ascii="Arial" w:cs="Arial" w:eastAsia="Arial" w:hAnsi="Arial"/>
                <w:sz w:val="14"/>
                <w:szCs w:val="14"/>
                <w:b w:val="1"/>
                <w:bCs w:val="1"/>
                <w:color w:val="auto"/>
                <w:w w:val="85"/>
              </w:rPr>
              <w:t>the Company</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1660" w:type="dxa"/>
            <w:vAlign w:val="bottom"/>
          </w:tcPr>
          <w:p>
            <w:pPr>
              <w:jc w:val="center"/>
              <w:ind w:left="412"/>
              <w:spacing w:after="0"/>
              <w:rPr>
                <w:sz w:val="20"/>
                <w:szCs w:val="20"/>
                <w:color w:val="auto"/>
              </w:rPr>
            </w:pPr>
            <w:r>
              <w:rPr>
                <w:rFonts w:ascii="Arial" w:cs="Arial" w:eastAsia="Arial" w:hAnsi="Arial"/>
                <w:sz w:val="14"/>
                <w:szCs w:val="14"/>
                <w:b w:val="1"/>
                <w:bCs w:val="1"/>
                <w:color w:val="auto"/>
                <w:w w:val="90"/>
              </w:rPr>
              <w:t>Each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054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Jeffrey Flug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71"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We believe that maintaining the highest standards of corporate governance is a crucial part of our business, and we are committed to having in place the necessary controls and procedures designed to ensure compliance with applicable laws, rules and regulations, as well as our own ethical standards of conduct.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Director Independence</w:t>
      </w:r>
    </w:p>
    <w:p>
      <w:pPr>
        <w:sectPr>
          <w:pgSz w:w="11900" w:h="16838" w:orient="portrait"/>
          <w:cols w:equalWidth="0" w:num="1">
            <w:col w:w="11400"/>
          </w:cols>
          <w:pgMar w:left="240" w:top="459" w:right="259" w:bottom="1440" w:gutter="0" w:footer="0" w:header="0"/>
        </w:sectPr>
      </w:pPr>
    </w:p>
    <w:p>
      <w:pPr>
        <w:spacing w:after="0" w:line="17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corporate governance rules require listed companies to have a board of directors with at least a majority of independent directors. Under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ectPr>
          <w:pgSz w:w="11900" w:h="16838" w:orient="portrait"/>
          <w:cols w:equalWidth="0" w:num="2">
            <w:col w:w="10820" w:space="520"/>
            <w:col w:w="60"/>
          </w:cols>
          <w:pgMar w:left="240" w:top="459" w:right="259" w:bottom="1440" w:gutter="0" w:footer="0" w:header="0"/>
          <w:type w:val="continuous"/>
        </w:sectPr>
      </w:pPr>
    </w:p>
    <w:p>
      <w:pPr>
        <w:ind w:right="40"/>
        <w:spacing w:after="0" w:line="281" w:lineRule="auto"/>
        <w:rPr>
          <w:sz w:val="20"/>
          <w:szCs w:val="20"/>
          <w:color w:val="auto"/>
        </w:rPr>
      </w:pPr>
      <w:r>
        <w:rPr>
          <w:rFonts w:ascii="Arial" w:cs="Arial" w:eastAsia="Arial" w:hAnsi="Arial"/>
          <w:sz w:val="16"/>
          <w:szCs w:val="16"/>
          <w:color w:val="auto"/>
        </w:rPr>
        <w:t>corporate governance rules, in order for a director to be deemed independent, our Board of Directors must determine that the individual does not have a relationship that would interfere with the director’s exercise of independent judgment in carrying out his or her responsibilities. On an annual basis, each member of our Board of Directors is required to complete an independence questionnaire designed to provide information to assist the Board of Directors in determining</w:t>
      </w:r>
    </w:p>
    <w:p>
      <w:pPr>
        <w:sectPr>
          <w:pgSz w:w="11900" w:h="16838" w:orient="portrait"/>
          <w:cols w:equalWidth="0" w:num="1">
            <w:col w:w="11400"/>
          </w:cols>
          <w:pgMar w:left="240" w:top="459" w:right="259" w:bottom="1440" w:gutter="0" w:footer="0" w:header="0"/>
          <w:type w:val="continuous"/>
        </w:sectPr>
      </w:pPr>
    </w:p>
    <w:p>
      <w:pPr>
        <w:spacing w:after="0" w:line="2"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whether the director is independent under [ ] corporate governance rules, the 1940 Act and our corporate governance guidelines. Our Board of Directors has determined that each of our directors, other than Mr. Penn, is independent under the listing standards of the [ ] and the 1940 Act. Our governance</w:t>
      </w:r>
    </w:p>
    <w:p>
      <w:pPr>
        <w:sectPr>
          <w:pgSz w:w="11900" w:h="16838" w:orient="portrait"/>
          <w:cols w:equalWidth="0" w:num="1">
            <w:col w:w="11400"/>
          </w:cols>
          <w:pgMar w:left="240" w:top="459" w:right="259" w:bottom="1440" w:gutter="0" w:footer="0" w:header="0"/>
          <w:type w:val="continuous"/>
        </w:sectPr>
      </w:pP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guidelines require any director who has previously been determined to be independent to inform the Chairman of the Board of Directors, the Chairman of the Nominating and Corporate Governance Committee and our Corporate Secretary of any change in circumstance that may cause his or her status as an Independent Director to change. The Board of Directors limits membership on the Audit Committee and the Nominating and Corporate Governance Committee to Independent Directors.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which report to the entire Board of Directors and are comprised solely of Independent Directors and (2) monitoring by the company’s Chief Compliance Officer in accordance with its compliance policies and procedures.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described below in more detail under “Audit Committee” and “Nominating and Corporate Governance Committee,” the Audit Committee and the Nominating and Corporate Governance Committee assist the Board of Directors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and pre-approving the independent accountants’ engagement to render audit and/or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common stockholders, developing and recommending to the Board a set of corporate governance principles and overseeing the evaluation of the Board and our management. Both the Audit Committee and the Nominating and Corporate Governance Committee consist solely of Independent Directors.</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The company’s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that the Board’s role in risk oversight is effective and appropriate given the extensive regulation to which it is already subject as a closed-end management investment company. Specifically, as a closed-end management investment company, we must comply with certain regulatory requirements that control the levels of risk in its business and operations. In addition, we intend to elect to be treated as a RIC under Subchapter M of the Code. As a RIC we must meet certain income source and asset diversification requirements.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believe that the extent of the Board’s and its committees’ roles in risk oversight complements the Board’s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established direct communication and oversight channels that the Board believes foster open communication and early detection of issues of concern.</w:t>
      </w:r>
    </w:p>
    <w:p>
      <w:pPr>
        <w:spacing w:after="0" w:line="11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We believe that the Board’s role in risk oversight must be evaluated on a case by case basis and that the current configuration and allocation of responsibilities among the Board and its committees with respect to the oversight of risk is appropriate. However, the Board of Directors and its committees continually re-examine the manner in which they administers their respective risk oversight functions, including through formal annual assessments of performance, to ensure that they meet the our needs.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1940 Act requires that at least a majority of the company’s directors not be “interested persons” (as defined in the 1940 Act) of us. Currently, four of our five directors are Independent Directors; however the Chairman of the Board of Directors is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a separate Chief Executive Officer and Chairman, and the ability to capitalize on the specialized knowledge acquired from the duties of these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Adviser and the Administrator provides to us and the potential conflicts of interest that could arise from these relationships.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Board Member. The Board of Directors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of Directors believes that directors need to have the ability to review, evaluate, question and discuss critical information provided to them, and to interact effectively with our management, service providers and counsel, in order to exercise effective business judgment in the performance of their duties. The Board of Directors believes that its members satisfy this standard. Experience relevant to having this ability may be achieved through a director’s educational background, business,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our Board of Directors) or as an executive of investment funds, public companies or significant private or not-for-profit entities or other organizations, and/or other life experiences. To assist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them in evaluating matters under federal and state law, the Independent Directors are counseled by their own independent legal counsel, who participates in Board of Directors meetings and interacts with the Adviser, and also may benefit from information provided by our counsel. Both Independent Directors’ counsel and our counsel have significant experience advising funds and fund board members. The Board of Directors and its Committees have the ability to engage other experts as appropriate. The Board of Directors evaluates its performance on an annual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Chairman of the Board of Directors and Chief Executive Officer, Mr. Penn assumes a leading role in strategic planning and executing our initiatives. Mr. Penn also manages our day-to-day operations, with the support of the other investment professionals and officers. As Chief Executive Officer, Mr. Penn has general responsibility for the implementation of our policies, as determined by the Board of Directors, and for the management of our business and affairs.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Company</w:t>
      </w:r>
    </w:p>
    <w:p>
      <w:pPr>
        <w:spacing w:after="0" w:line="11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Board believes that, collectively, the directors have balanced and diverse experience, qualifications, attributes and skills, which allow the Board to operate effectively in governing us and protecting the interests of its Stockholders. Below is a description of the various experiences, qualifications, attributes and/or skills with respect to each director considered by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right="80" w:firstLine="456"/>
        <w:spacing w:after="0" w:line="282" w:lineRule="auto"/>
        <w:rPr>
          <w:sz w:val="20"/>
          <w:szCs w:val="20"/>
          <w:color w:val="auto"/>
        </w:rPr>
      </w:pPr>
      <w:r>
        <w:rPr>
          <w:rFonts w:ascii="Arial" w:cs="Arial" w:eastAsia="Arial" w:hAnsi="Arial"/>
          <w:sz w:val="16"/>
          <w:szCs w:val="16"/>
          <w:color w:val="auto"/>
        </w:rPr>
        <w:t>The Board benefits from Mr. Penn’s business leadership and experience and knowledge of senior loan, mezzanine lending, leveraged finance, distressed debt and private equity businesses, as well as a diverse knowledge of management practices. Mr. Penn is our Founder, Chairman and Chief Executive Officer of the company and the Managing Member of PennantPark Investment Advisers, LLC and PennantPark Investment Administration, LLC.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Penn’s longstanding service as Chairman and Chief Executive Officer of the company and Managing Member of PennantPark Investment Advisers, LLC and PennantPark Investment Administration, LLC provide him with a specific and valuable understanding of us, our operations, and the business and regulatory issues facing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Mr. Bernstein brings to the Board 25 years of experience in leading a real estate development, investment and management business in the Mid-Atlantic region of the United States. Mr. Bernstein affords the Board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also is the President of the Mid-Atlantic Regional Advisory Board of the University of Pennsylvania.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Mr. Brozost brings 17 years of experience in the areas of finance, private equity, mergers and acquisitions and restructurings.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Mr. Flug brings to the Board expertise in fixed income, investment banking, accounting and business operations. Since January 2011, Mr. Flug has been the President of the Union Square Hospitality Group, an exclusive chain of restaurants. He previously served as the Chief Operating and Financial Officer of that company from 2009 through 2011.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Mr. Katz brings to the Board a diverse knowledge of business and finance as a result of his career over the past 25 years. Mr. Katz is the Managing Partner of TZP Group, LLP a private equity fund he formed in 2007. Prior to joining TZP Group, he was CEO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he was an Associate and Vice President at The Blackstone Group, where he worked on numerous private equity transactions, including the initial LBOs of several hotel franchise brands, which created the predecessor to Cendant Corporation. From 1986 to 1988, Mr. Katz was a Financial Analyst at Drexel Burnham Lambert.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We require each director to make a diligent effort to attend all Board and Committee meetings, and encourage directors to attend our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w:t>
      </w:r>
    </w:p>
    <w:p>
      <w:pPr>
        <w:spacing w:after="0" w:line="38" w:lineRule="exact"/>
        <w:rPr>
          <w:sz w:val="20"/>
          <w:szCs w:val="20"/>
          <w:color w:val="auto"/>
        </w:rPr>
      </w:pPr>
    </w:p>
    <w:p>
      <w:pPr>
        <w:ind w:firstLine="8"/>
        <w:spacing w:after="0" w:line="286" w:lineRule="auto"/>
        <w:tabs>
          <w:tab w:leader="none" w:pos="5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corporate governance rules. Messrs. Flug and Katz serve as Co-Chairman of the Audit Committee. The Audit Committee operates pursuant to an Audit Committee Charter approved by the Board of Directors. Our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reviewing and discussing with management and the independent auditors our financial statements prior to the filings;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purposes of the 1940 Act and the [ ]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w:t>
      </w:r>
    </w:p>
    <w:p>
      <w:pPr>
        <w:spacing w:after="0" w:line="11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our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w:t>
      </w:r>
    </w:p>
    <w:p>
      <w:pPr>
        <w:spacing w:after="0" w:line="38"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Board of Directors include compliance with the independence and other applicable requirements of the [ ] corporate governance rules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members of the Board of Directors, but the Committee will consider such factors as it may deem are in our best interests and those of our stockholders. Those factors may include a person’s differences of viewpoint, professional experience, education and skills, as well as his or her race, gender and national origin. In addition, as part of the Board’s annual-self assessment, the members of the Nominating and Corporate Governance Committee evaluates the membership of the Board of Directors and whether the Board maintains satisfactory policies regarding membership selection.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Stockholders with questions about us are encouraged to contact our Investor Relations Department at 590 Madison Avenue, 15th Floor, New York, New York 10022 or by visiting the investor relations web page on our website at www.pennantpark.com. However, if stockholders believe that their questions have not been addressed, they may communicate with our Board of Directors by sending their communications to: Thomas Friedmann, Secretary, c/o PennantPark Floating Rate Capital Ltd., 590 Madison Avenue, 15th Floor, New York, New York 10022. All Stockholder communications received in this manner will be delivered to one or more members of the Board of Directors.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 control person includes a person who beneficially owns more than 25% of the voting securities of a company. The Investment Adviser has provided our initial capitalization, and therefore is a control person because it is our sole stockholder as of the date of this prospectus. Our Investment Adviser may also be considered a controlling person of us under the 1940 Act to the extent it has the power to exercise a controlling influence over our management or policies.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the Investment Management Agreement with the Investment Adviser under which the Investment Adviser, subject to the overall supervision of our board of directors, manages the day-to-day operations of and provides investment advisory services to us. Under the terms of our Investment Management Agreement, the Investment Adviser: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components—a base management fee and an incentive fee, which we refer to collectively as the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Based on our current business plan and our existing pipeline of potential investments, we anticipate that substantially all of the net proceeds of this offering will</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 used within [ ] months following completion of this offering in accordance with our investment objective. We expect that during this period we will not have any capital gains and that the amount of our interest income will not exceed the quarterly minimum hurdle rate discussed below. As a result, we do not anticipate paying any incentive fees in the first year after the completion of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incentive fee consists of two components, ordinary income and capital gains:</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ordinary income component, which is payable quarterly in arrears, will equal [ ]% of the excess, if any, of our “Preincentive Fee Net Investment Income” over a [ ]% quarterly ([ ]% annualized) hurdle rate, expressed as a rate of return on the value of our net assets attributable to our common</w:t>
      </w:r>
    </w:p>
    <w:p>
      <w:pPr>
        <w:spacing w:after="0"/>
        <w:rPr>
          <w:sz w:val="20"/>
          <w:szCs w:val="20"/>
          <w:color w:val="auto"/>
        </w:rPr>
      </w:pPr>
      <w:r>
        <w:rPr>
          <w:rFonts w:ascii="Arial" w:cs="Arial" w:eastAsia="Arial" w:hAnsi="Arial"/>
          <w:sz w:val="15"/>
          <w:szCs w:val="15"/>
          <w:color w:val="auto"/>
        </w:rPr>
        <w:t>stock, and a “catch-up” provision, measured as of the end of each calendar quarter. Under this provision, in any calendar quarter, our investment advisor receives</w:t>
      </w:r>
    </w:p>
    <w:p>
      <w:pPr>
        <w:spacing w:after="0" w:line="38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no incentive fee until our net investment income equals the hurdle rate of [ ]% but then receives, as a “catch-up,” [ ]% of our preincentive fee net investment income with respect to that portion of such preincentive fee net investment income, if any, that exceeds the hurdle rate but is less than [ ]%</w:t>
      </w:r>
    </w:p>
    <w:p>
      <w:pPr>
        <w:spacing w:after="0"/>
        <w:rPr>
          <w:sz w:val="20"/>
          <w:szCs w:val="20"/>
          <w:color w:val="auto"/>
        </w:rPr>
      </w:pPr>
      <w:r>
        <w:rPr>
          <w:rFonts w:ascii="Arial" w:cs="Arial" w:eastAsia="Arial" w:hAnsi="Arial"/>
          <w:sz w:val="16"/>
          <w:szCs w:val="16"/>
          <w:color w:val="auto"/>
        </w:rPr>
        <w:t>subject to a total return requirement and deferral of non-cash amounts. The effect of the “catch-up” provision is that, subject to the total return and deferral</w:t>
      </w:r>
    </w:p>
    <w:p>
      <w:pPr>
        <w:spacing w:after="0" w:line="32" w:lineRule="exact"/>
        <w:rPr>
          <w:sz w:val="20"/>
          <w:szCs w:val="20"/>
          <w:color w:val="auto"/>
        </w:rPr>
      </w:pPr>
    </w:p>
    <w:p>
      <w:pPr>
        <w:spacing w:after="0"/>
        <w:tabs>
          <w:tab w:leader="none" w:pos="6120" w:val="left"/>
          <w:tab w:leader="none" w:pos="11180" w:val="left"/>
        </w:tabs>
        <w:rPr>
          <w:sz w:val="20"/>
          <w:szCs w:val="20"/>
          <w:color w:val="auto"/>
        </w:rPr>
      </w:pPr>
      <w:r>
        <w:rPr>
          <w:rFonts w:ascii="Arial" w:cs="Arial" w:eastAsia="Arial" w:hAnsi="Arial"/>
          <w:sz w:val="18"/>
          <w:szCs w:val="18"/>
          <w:color w:val="auto"/>
        </w:rPr>
        <w:t>provisions discussed below, if preincentive fee net investment income exceeds [</w:t>
      </w:r>
      <w:r>
        <w:rPr>
          <w:sz w:val="20"/>
          <w:szCs w:val="20"/>
          <w:color w:val="auto"/>
        </w:rPr>
        <w:tab/>
      </w:r>
      <w:r>
        <w:rPr>
          <w:rFonts w:ascii="Arial" w:cs="Arial" w:eastAsia="Arial" w:hAnsi="Arial"/>
          <w:sz w:val="18"/>
          <w:szCs w:val="18"/>
          <w:color w:val="auto"/>
        </w:rPr>
        <w:t>]% in any calendar quarter, our investment advisor will receive [</w:t>
      </w:r>
      <w:r>
        <w:rPr>
          <w:sz w:val="20"/>
          <w:szCs w:val="20"/>
          <w:color w:val="auto"/>
        </w:rPr>
        <w:tab/>
      </w:r>
      <w:r>
        <w:rPr>
          <w:rFonts w:ascii="Arial" w:cs="Arial" w:eastAsia="Arial" w:hAnsi="Arial"/>
          <w:sz w:val="16"/>
          <w:szCs w:val="16"/>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preincentive fee net investment income as if a hurdle rate did not apply. The ordinary income component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incentive fee will be computed on income that may include interest that is accrued but not yet received in cash. The foregoing incentive fee is subject to a total return requirement, which provides that no incentive fee in respect of the company’s preincentive fee net investment income will be payable except to the extent</w:t>
      </w:r>
    </w:p>
    <w:p>
      <w:pPr>
        <w:ind w:left="600" w:hanging="592"/>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of the cumulative net increase in net assets resulting from operations over the then current and the shorter of 11 preceding calendar quarters or since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the closing of this offering exceeds the cumulative incentive fees accrued and/or paid for the shorter of 11 preceding calendar quarters or since the closing of this</w:t>
      </w:r>
    </w:p>
    <w:p>
      <w:pPr>
        <w:spacing w:after="0" w:line="24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offering. In other words, any ordinary income incentive fee that is payable in a calendar quarter will be limited to the lesser of (i) [ ]% of the amount by which our preincentive fee net investment income for such calendar quarter exceeds the [ ]% hurdle, subject to the “catch-up” provision, and</w:t>
      </w:r>
    </w:p>
    <w:p>
      <w:pPr>
        <w:ind w:firstLine="8"/>
        <w:spacing w:after="0" w:line="286" w:lineRule="auto"/>
        <w:tabs>
          <w:tab w:leader="none" w:pos="2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(x) [ ]% of the cumulative net increase in net assets resulting from operations for the then current and the shorter of 11 preceding calendar quarters or since the closing of this offering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cumulative incentive fees accrued and/or paid for the shorter of 11 preceding calendar quarters or since the closing of this offering . For the foregoing purpose, the “cumulative net increase in net assets resulting from operations” is the sum of preincentive fee net investment income, base management fees, realized gains and losses and unrealized appreciation and depreciation of the company for the then current and the shorter of 11 preceding calendar quarters or since the closing of this offering . In addition, the portion of such incentive fee that is attributable to deferred interest (sometimes referred to as payment-in-kind interest, or PIK, or original issue discount, or OID) will be paid to PennantPark Investment Advisors, together with interest thereon from the date of deferral to the date of payment, only if and to the extent we actually receive such interest in cash, and any accrual thereof will be reversed if and to the extent such interest is reversed in connection with any write-off or similar treatment of the investment giving rise to any deferred interest accrual. There is no accumulation of amounts on the hurdle rate from quarter to quarter and accordingly there is no clawback of amounts previously paid if subsequent quarters are below the quarterly hurdle rate and there is no delay of payment if prior quarters are below the quarterly hurdle rate.</w:t>
      </w:r>
    </w:p>
    <w:p>
      <w:pPr>
        <w:spacing w:after="0" w:line="12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capital gains component of the incentive fee will equal [ ]% of our “Incentive Fee Capital Gains,” if any, which will equal our aggregate cumulative realized capital gains from inception through the end of each calendar year, computed net of our aggregate cumulative realized capital losses and our aggregate cumulative unrealized capital depreciation, less the aggregate amount of any previously paid capital gain incentive fees. The second component of the incentive fee will be payable, in arrears, at the end of each calendar year (or upon termination of the investment management agreement, as of the termination date), commencing with the year ending December 31, 2011. For a more detailed discussion of the calculation of this fee, see “Management–Investment Management Agreement.”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 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us, on</w:t>
      </w:r>
    </w:p>
    <w:p>
      <w:pPr>
        <w:spacing w:after="0" w:line="38" w:lineRule="exact"/>
        <w:rPr>
          <w:sz w:val="20"/>
          <w:szCs w:val="20"/>
          <w:color w:val="auto"/>
        </w:rPr>
      </w:pPr>
    </w:p>
    <w:p>
      <w:pPr>
        <w:ind w:right="60" w:firstLine="8"/>
        <w:spacing w:after="0" w:line="287" w:lineRule="auto"/>
        <w:tabs>
          <w:tab w:leader="none" w:pos="5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2011 and is scheduled to be executed on the date of this prospectus. Unless terminated earlier as described below, the Investment 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 —Risks relating to our business and structure—We are dependent upon Pennant Investment Advisers’ key personnel for our future success, and if we are unable to hire and retain qualified personnel or if we lose any member of our management team, our ability to achieve our investment objective could be significantly harmed.”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Administration Agreement was approved by our board of directors, including a majority of our directors who are not interested persons of PennantPark</w:t>
      </w:r>
    </w:p>
    <w:p>
      <w:pPr>
        <w:spacing w:after="0" w:line="38"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Investment, on [</w:t>
      </w:r>
      <w:r>
        <w:rPr>
          <w:sz w:val="20"/>
          <w:szCs w:val="20"/>
          <w:color w:val="auto"/>
        </w:rPr>
        <w:tab/>
      </w:r>
      <w:r>
        <w:rPr>
          <w:rFonts w:ascii="Arial" w:cs="Arial" w:eastAsia="Arial" w:hAnsi="Arial"/>
          <w:sz w:val="15"/>
          <w:szCs w:val="15"/>
          <w:color w:val="auto"/>
        </w:rPr>
        <w:t>], 2011 and is scheduled to be executed on the date of this prospectus. Unless terminated earlier as described below, our Administration</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Agreement will continue in effect for a period of one year through [ ] 2012.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using fair value as determined in good faith by our board of directors in consultation with our independent third party valuation firms.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4"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differ significantly from the values that would have been used had a readily available market value existed for such investments, and the differences could be material.</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preliminary management’s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Floating Rate Loans.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See “Risk Factors – Risks Related to Our Investments”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dividend distributions on behalf of stockholders, unless a stockholder elects to receive cash as provided below. As a result, if the Board of Directors authorizes, and we declare, a cash dividend, then stockholders who have not “opted out” of the dividend reinvestment plan will have their cash dividends automatically reinvested in additional shares of common stock, rather than receiving the cash dividends.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action is required on the part of a registered stockholders to have the stockholder’s cash dividend reinvested in shares of common stock. A registered</w:t>
      </w:r>
    </w:p>
    <w:p>
      <w:pPr>
        <w:spacing w:after="0" w:line="3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stockholder may elect to receive a dividend in cash by notifying [ ], the plan administrator and transfer agent and registrar, in writing so that the notice is received by the plan administrator not less than 10 days prior to the record date for dividends to stockholders. The plan administrator will set up an account for shares acquired through the plan for each stockholder who has not elected to receive dividends in cash. Upon request by a stockholder participating in the plan, received in writing not less than 10 days prior to the applicable record date, the plan administrator will, instead of crediting shares to the participant’s account, issue a certificate registered in the participant’s name for the number of whole shares of common stock and a check for any fractional share.</w:t>
      </w:r>
    </w:p>
    <w:p>
      <w:pPr>
        <w:spacing w:after="0" w:line="11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in cash by notifying their broker or other financial intermediary of their election.</w:t>
      </w:r>
    </w:p>
    <w:p>
      <w:pPr>
        <w:spacing w:after="0" w:line="132"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intend to use primarily newly issued shares to implement the plan, whether shares are trading at a premium or at a discount to net asset value. We reserve the right to purchase shares in the open market in connection with the implementation of the plan. The number of shares to be issued to a stockholder is determined by dividing the total dollar amount of the dividend payable to the stockholder by the market price per share of common stock at the close of regular</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trading on [ ] on the valuation date for that dividend. The market price per share on that date will be the closing price for the shares on [ ] or, if no sale is reported for such day, at the average of the reported bid and asked prices. The number of shares of common stock to be outstanding after giving effect to payment of the dividend cannot be established until the value per share at which additional shares will be issued has been determined and elections of stockholders have been tabulated. Stockholders who do not elect to receive dividends in shares of common stock may experience accretion to the net asset value of their shares if shares are trading at a premium and dilution if shares are trading at a discount. The level of accretion or discount would depend on various factors, including the proportion of stockholders who participate in the plan, the level of premium or discount at which shares are trading and the amount of the dividend payable to a stockholder.</w:t>
      </w:r>
    </w:p>
    <w:p>
      <w:pPr>
        <w:spacing w:after="0" w:line="147" w:lineRule="exact"/>
        <w:rPr>
          <w:sz w:val="20"/>
          <w:szCs w:val="20"/>
          <w:color w:val="auto"/>
        </w:rPr>
      </w:pPr>
    </w:p>
    <w:p>
      <w:pPr>
        <w:ind w:right="540" w:firstLine="456"/>
        <w:spacing w:after="0" w:line="286" w:lineRule="auto"/>
        <w:rPr>
          <w:sz w:val="20"/>
          <w:szCs w:val="20"/>
          <w:color w:val="auto"/>
        </w:rPr>
      </w:pPr>
      <w:r>
        <w:rPr>
          <w:rFonts w:ascii="Arial" w:cs="Arial" w:eastAsia="Arial" w:hAnsi="Arial"/>
          <w:sz w:val="16"/>
          <w:szCs w:val="16"/>
          <w:color w:val="auto"/>
        </w:rPr>
        <w:t>The plan administrator’s fees under the plan will be paid by the us. If a participant elects by written notice to the plan administrator to have the plan administrator sell part or all of the shares held by the plan administrator in the participant’s account and remit the proceeds to the participant, the plan</w:t>
      </w:r>
    </w:p>
    <w:p>
      <w:pPr>
        <w:spacing w:after="0"/>
        <w:tabs>
          <w:tab w:leader="none" w:pos="3400" w:val="left"/>
          <w:tab w:leader="none" w:pos="5620" w:val="left"/>
        </w:tabs>
        <w:rPr>
          <w:sz w:val="20"/>
          <w:szCs w:val="20"/>
          <w:color w:val="auto"/>
        </w:rPr>
      </w:pPr>
      <w:r>
        <w:rPr>
          <w:rFonts w:ascii="Arial" w:cs="Arial" w:eastAsia="Arial" w:hAnsi="Arial"/>
          <w:sz w:val="18"/>
          <w:szCs w:val="18"/>
          <w:color w:val="auto"/>
        </w:rPr>
        <w:t>administrator is authorized to deduct a $[</w:t>
      </w:r>
      <w:r>
        <w:rPr>
          <w:sz w:val="20"/>
          <w:szCs w:val="20"/>
          <w:color w:val="auto"/>
        </w:rPr>
        <w:tab/>
      </w:r>
      <w:r>
        <w:rPr>
          <w:rFonts w:ascii="Arial" w:cs="Arial" w:eastAsia="Arial" w:hAnsi="Arial"/>
          <w:sz w:val="18"/>
          <w:szCs w:val="18"/>
          <w:color w:val="auto"/>
        </w:rPr>
        <w:t>] transaction fee plus a [</w:t>
      </w:r>
      <w:r>
        <w:rPr>
          <w:sz w:val="20"/>
          <w:szCs w:val="20"/>
          <w:color w:val="auto"/>
        </w:rPr>
        <w:tab/>
      </w:r>
      <w:r>
        <w:rPr>
          <w:rFonts w:ascii="Arial" w:cs="Arial" w:eastAsia="Arial" w:hAnsi="Arial"/>
          <w:sz w:val="15"/>
          <w:szCs w:val="15"/>
          <w:color w:val="auto"/>
        </w:rPr>
        <w:t>]¢ per share brokerage commission from the proceeds.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Stockholders who receive dividends in the form of stock are subject to the same federal, state and local tax consequences as are stockholders who elect to receive their dividends in cash. A stockholder’s basis for determining gain or loss upon the sale of stock received in a dividend will be equal to the total dollar amount of the dividend payable to the stockholders. Any stock received in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dividend will have a new holding period for tax purposes commencing on the day following the day on which the shares are credited to the U.S. stockholder’s account.</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Participants may terminate their accounts under the plan by notifying the plan administrator via its website at [ ], by filling out the transaction request form located at the bottom of their statement and sending it to the plan administrator at [ ] or by calling the plan administrator at [ ].</w:t>
      </w:r>
    </w:p>
    <w:p>
      <w:pPr>
        <w:sectPr>
          <w:pgSz w:w="11900" w:h="16838" w:orient="portrait"/>
          <w:cols w:equalWidth="0" w:num="1">
            <w:col w:w="11380"/>
          </w:cols>
          <w:pgMar w:left="240" w:top="459" w:right="279" w:bottom="1440" w:gutter="0" w:footer="0" w:header="0"/>
        </w:sectPr>
      </w:pPr>
    </w:p>
    <w:p>
      <w:pPr>
        <w:spacing w:after="0" w:line="85"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plan may be terminated by us upon notice in writing mailed to each participant at least 30 days prior to any record date for the payment of any dividend. All correspondence, including requests for additional information, concerning the plan should be directed to the plan administrator by mail at [</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31" w:lineRule="exact"/>
        <w:rPr>
          <w:sz w:val="20"/>
          <w:szCs w:val="20"/>
          <w:color w:val="auto"/>
        </w:rPr>
      </w:pPr>
    </w:p>
    <w:p>
      <w:pPr>
        <w:sectPr>
          <w:pgSz w:w="11900" w:h="16838" w:orient="portrait"/>
          <w:cols w:equalWidth="0" w:num="2">
            <w:col w:w="10780" w:space="480"/>
            <w:col w:w="120"/>
          </w:cols>
          <w:pgMar w:left="240" w:top="459" w:right="279" w:bottom="1440" w:gutter="0" w:footer="0" w:header="0"/>
          <w:type w:val="continuous"/>
        </w:sectPr>
      </w:pP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6"/>
          <w:szCs w:val="16"/>
          <w:color w:val="auto"/>
        </w:rPr>
        <w:t>On</w:t>
      </w:r>
      <w:r>
        <w:rPr>
          <w:sz w:val="20"/>
          <w:szCs w:val="20"/>
          <w:color w:val="auto"/>
        </w:rPr>
        <w:tab/>
      </w:r>
      <w:r>
        <w:rPr>
          <w:rFonts w:ascii="Arial" w:cs="Arial" w:eastAsia="Arial" w:hAnsi="Arial"/>
          <w:sz w:val="16"/>
          <w:szCs w:val="16"/>
          <w:color w:val="auto"/>
        </w:rPr>
        <w:t>, 2011 our authorized capital stock consisted of [100,000,000] shares of stock, par value $0.001 per share, all of which were classified as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common stock. Our common stock is quoted on [ ] under the ticker symbol “[ ]”. On that date there were no outstanding options or warrants to purchase our capital stock. No stock has been authorized for issuance under any equity compensation plans. Under Maryland law, our stockholders generally are not personally liable for our debts or obligations.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As of</w:t>
            </w:r>
          </w:p>
        </w:tc>
        <w:tc>
          <w:tcPr>
            <w:tcW w:w="4040" w:type="dxa"/>
            <w:vAlign w:val="bottom"/>
            <w:gridSpan w:val="2"/>
          </w:tcPr>
          <w:p>
            <w:pPr>
              <w:ind w:left="500"/>
              <w:spacing w:after="0"/>
              <w:rPr>
                <w:sz w:val="20"/>
                <w:szCs w:val="20"/>
                <w:color w:val="auto"/>
              </w:rPr>
            </w:pPr>
            <w:r>
              <w:rPr>
                <w:rFonts w:ascii="Arial" w:cs="Arial" w:eastAsia="Arial" w:hAnsi="Arial"/>
                <w:sz w:val="18"/>
                <w:szCs w:val="18"/>
                <w:color w:val="auto"/>
              </w:rPr>
              <w:t>, 2011, we had stockholders of record.</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4500" w:type="dxa"/>
            <w:vAlign w:val="bottom"/>
            <w:gridSpan w:val="3"/>
          </w:tcPr>
          <w:p>
            <w:pPr>
              <w:spacing w:after="0"/>
              <w:rPr>
                <w:sz w:val="20"/>
                <w:szCs w:val="20"/>
                <w:color w:val="auto"/>
              </w:rPr>
            </w:pPr>
            <w:r>
              <w:rPr>
                <w:rFonts w:ascii="Arial" w:cs="Arial" w:eastAsia="Arial" w:hAnsi="Arial"/>
                <w:sz w:val="18"/>
                <w:szCs w:val="18"/>
                <w:color w:val="auto"/>
                <w:w w:val="94"/>
              </w:rPr>
              <w:t>The following are our outstanding classes of securities as of</w:t>
            </w:r>
          </w:p>
        </w:tc>
        <w:tc>
          <w:tcPr>
            <w:tcW w:w="1580" w:type="dxa"/>
            <w:vAlign w:val="bottom"/>
          </w:tcPr>
          <w:p>
            <w:pPr>
              <w:jc w:val="right"/>
              <w:ind w:right="732"/>
              <w:spacing w:after="0"/>
              <w:rPr>
                <w:sz w:val="20"/>
                <w:szCs w:val="20"/>
                <w:color w:val="auto"/>
              </w:rPr>
            </w:pPr>
            <w:r>
              <w:rPr>
                <w:rFonts w:ascii="Arial" w:cs="Arial" w:eastAsia="Arial" w:hAnsi="Arial"/>
                <w:sz w:val="18"/>
                <w:szCs w:val="18"/>
                <w:color w:val="auto"/>
              </w:rPr>
              <w:t>, 2011:</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Held by</w:t>
            </w:r>
          </w:p>
        </w:tc>
        <w:tc>
          <w:tcPr>
            <w:tcW w:w="380" w:type="dxa"/>
            <w:vAlign w:val="bottom"/>
          </w:tcPr>
          <w:p>
            <w:pPr>
              <w:spacing w:after="0"/>
              <w:rPr>
                <w:sz w:val="12"/>
                <w:szCs w:val="12"/>
                <w:color w:val="auto"/>
              </w:rPr>
            </w:pPr>
          </w:p>
        </w:tc>
        <w:tc>
          <w:tcPr>
            <w:tcW w:w="13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38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49"/>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Fund for its</w:t>
            </w:r>
          </w:p>
        </w:tc>
        <w:tc>
          <w:tcPr>
            <w:tcW w:w="38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Outstanding as</w:t>
            </w:r>
          </w:p>
        </w:tc>
      </w:tr>
      <w:tr>
        <w:trPr>
          <w:trHeight w:val="161"/>
        </w:trPr>
        <w:tc>
          <w:tcPr>
            <w:tcW w:w="46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3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7"/>
              </w:rPr>
              <w:t>Authorized</w:t>
            </w:r>
          </w:p>
        </w:tc>
        <w:tc>
          <w:tcPr>
            <w:tcW w:w="3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380" w:type="dxa"/>
            <w:vAlign w:val="bottom"/>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of [</w:t>
            </w: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Shares</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0"/>
              </w:rPr>
              <w:t>0 Shares</w:t>
            </w:r>
          </w:p>
        </w:tc>
        <w:tc>
          <w:tcPr>
            <w:tcW w:w="9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Shares</w:t>
            </w: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for payment.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(1) actual receipt of an improper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benefit or profit in money, property or services or (2)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directors’ and officers’ rights to indemnification and advancement of expenses provided by our charter and bylaws vest immediately upon election of a director or officer.</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such corporation and (b) a written undertaking by him or her or on his or her behalf to repay the amount paid or reimbursed by such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the negotiation of such proposals may improve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[2012, 2013 and 2014], respectively, and in each case, those directors will serve until their successors are duly elected and qualify.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at such time as we have the three independent directors and our common stock is registered under the Exchange Act,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Our charter provides that a director may be removed only for cause, as defined in our charter, and then only by the affirmative vote of at least two-thirds of the votes entitled to be cast in the election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discussed below, may have the effect of delaying consideration of a stockholder proposal until the next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 Our charter and bylaws provide that the board of directors will have the exclusive power to adopt, alter or repeal any provision of our bylaws and to make new bylaws.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holders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4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5620" w:right="3800" w:hanging="5166"/>
        <w:spacing w:after="0" w:line="440" w:lineRule="auto"/>
        <w:tabs>
          <w:tab w:leader="none" w:pos="6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 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0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After the five-year prohibition, any such business combination must be recommended by the board of directors of the corporation and approved by the affirmative vote of at least:</w:t>
      </w:r>
    </w:p>
    <w:p>
      <w:pPr>
        <w:spacing w:after="0" w:line="51"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provides various exemptions from its provisions, including for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4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5"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See “Risk Factors—Risks relating to our business and structure—Regulations governing our operation as a business development company will affect our ability to, and the way in which we, raise additional capital”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Board of Directors has adopted a code of ethics pursuant to Rule 17j-1 under the 1940 Act and has also approved the Adviser’s code of ethics that was adopted by it in accordance with Rule 17j-1 and Rule 204A-1 under the Advisers Act. These codes of ethics establish procedures for personal investments and restrict certain personal securities transactions. Personnel subject to a code may invest in securities for their personal investment accounts, including securities that may be purchased or held by the company, so long as such investments are made in accordance with the code’s requirements.</w:t>
      </w:r>
    </w:p>
    <w:p>
      <w:pPr>
        <w:spacing w:after="0" w:line="11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The codes of ethics may be viewed and copied at the SEC’s Public Reference Room in Washington, D.C. Information about the SEC’s Public Reference Room may be obtained by calling the SEC at (202) 551-8090. The codes of ethics also may be available on the Edgar Database on the SEC’s website, </w:t>
      </w:r>
      <w:r>
        <w:rPr>
          <w:rFonts w:ascii="Arial" w:cs="Arial" w:eastAsia="Arial" w:hAnsi="Arial"/>
          <w:sz w:val="15"/>
          <w:szCs w:val="15"/>
          <w:i w:val="1"/>
          <w:iCs w:val="1"/>
          <w:color w:val="auto"/>
        </w:rPr>
        <w:t>http://www.sec.gov</w:t>
      </w:r>
      <w:r>
        <w:rPr>
          <w:rFonts w:ascii="Arial" w:cs="Arial" w:eastAsia="Arial" w:hAnsi="Arial"/>
          <w:sz w:val="15"/>
          <w:szCs w:val="15"/>
          <w:color w:val="auto"/>
        </w:rPr>
        <w:t>, or be obtained, after paying a duplicating fee, by electronic request to</w:t>
      </w:r>
      <w:r>
        <w:rPr>
          <w:rFonts w:ascii="Arial" w:cs="Arial" w:eastAsia="Arial" w:hAnsi="Arial"/>
          <w:sz w:val="15"/>
          <w:szCs w:val="15"/>
          <w:i w:val="1"/>
          <w:iCs w:val="1"/>
          <w:color w:val="auto"/>
        </w:rPr>
        <w:t xml:space="preserve"> publicinfo@sec.gov</w:t>
      </w:r>
      <w:r>
        <w:rPr>
          <w:rFonts w:ascii="Arial" w:cs="Arial" w:eastAsia="Arial" w:hAnsi="Arial"/>
          <w:sz w:val="15"/>
          <w:szCs w:val="15"/>
          <w:color w:val="auto"/>
        </w:rPr>
        <w:t>, or by writing to: SEC’s Public Reference Section,</w:t>
      </w:r>
      <w:r>
        <w:rPr>
          <w:rFonts w:ascii="Arial" w:cs="Arial" w:eastAsia="Arial" w:hAnsi="Arial"/>
          <w:sz w:val="15"/>
          <w:szCs w:val="15"/>
          <w:i w:val="1"/>
          <w:iCs w:val="1"/>
          <w:color w:val="auto"/>
        </w:rPr>
        <w:t xml:space="preserve"> </w:t>
      </w:r>
      <w:r>
        <w:rPr>
          <w:rFonts w:ascii="Arial" w:cs="Arial" w:eastAsia="Arial" w:hAnsi="Arial"/>
          <w:sz w:val="15"/>
          <w:szCs w:val="15"/>
          <w:color w:val="auto"/>
        </w:rPr>
        <w:t>100 F Street, N.E., Washington, D.C. 20549-0102. This reference to the company’s website does not incorporate the contents of the website into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 th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filed as an exhibit to our Report on Form 10-K (File No. 814-00736 on December 13, 2007.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Floating Rate Capital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pursuant to Rule 13a-14 of the Exchange Act, our Chief Executive Officer and Chief Financial Officer must certify the accuracy of the consolidated financial statements contained in our periodic reports;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459" w:right="2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60"/>
        <w:spacing w:after="0" w:line="268" w:lineRule="auto"/>
        <w:rPr>
          <w:sz w:val="20"/>
          <w:szCs w:val="20"/>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1"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1"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Floating Rate Capital will not necessarily pay the lowest spread or commission available. Subject to applicable legal requirements, the Investment Adviser may select a broker based partly upon brokerage or research services provided to the Investment Adviser and PennantPark Floating Rate Capital and any other clients. In return for such services, we may pay a higher commission than other brokers would charge if the Investment Adviser determines in good faith that such commission is reasonable in relation to the services provided.</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Securities may be held by, or be appropriate investments for, us as well as other funds or investment advisory clients of the Adviser or its affiliates. Because of different investment objectives or other factors, a particular security may be bought for one or more clients of the Adviser or its affiliates when one or more clients of the Adviser or its affiliates are selling the same security. If purchases or sales of securities arise for consideration at or about the same time that would involve us or other clients or funds for which the Adviser or its affiliates act as investment advisers, transactions in such securities will be made, insofar as feasible, for the respective funds and clients in a manner deemed equitable to all. To the extent that transactions on behalf of more than one client of the Adviser or its affiliates during the same period may increase the demand for securities being purchased or the supply of securities being sold, there may be an adverse effect on price.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citizen or individual resident of the United States;</w:t>
      </w:r>
    </w:p>
    <w:p>
      <w:pPr>
        <w:spacing w:after="0" w:line="90"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diversify our holdings so that at the end of each quarter of the taxable year:</w:t>
      </w:r>
    </w:p>
    <w:p>
      <w:pPr>
        <w:spacing w:after="0" w:line="90" w:lineRule="exact"/>
        <w:rPr>
          <w:sz w:val="20"/>
          <w:szCs w:val="20"/>
          <w:color w:val="auto"/>
        </w:rPr>
      </w:pPr>
    </w:p>
    <w:p>
      <w:pPr>
        <w:ind w:left="1480" w:right="380" w:hanging="567"/>
        <w:spacing w:after="0" w:line="259"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realized net short-term capital losses) we distribute to stockholders. We will be subject to U.S. federal income tax at the regular corporate rates on any income or capital gain not distributed (or deemed distributed) to our stockholders.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except as provided below,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UNDERWRITERS</w:t>
      </w:r>
    </w:p>
    <w:p>
      <w:pPr>
        <w:spacing w:after="0" w:line="177"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Under the terms and subject to the conditions contained in the underwriting agreement, dated the date of this prospectus, between the underwriters named</w:t>
      </w:r>
    </w:p>
    <w:p>
      <w:pPr>
        <w:spacing w:after="0" w:line="3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below (the “Underwriters”) and us, for whom [ ] are acting as representatives of the Underwriters, or the Representatives, have severally agreed to purchase, and we have agreed to sell to them, the number of common shares indicated below.</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7400" w:type="dxa"/>
            <w:vAlign w:val="bottom"/>
            <w:gridSpan w:val="3"/>
          </w:tcPr>
          <w:p>
            <w:pPr>
              <w:jc w:val="center"/>
              <w:ind w:left="6272"/>
              <w:spacing w:after="0"/>
              <w:rPr>
                <w:sz w:val="20"/>
                <w:szCs w:val="20"/>
                <w:color w:val="auto"/>
              </w:rPr>
            </w:pPr>
            <w:r>
              <w:rPr>
                <w:rFonts w:ascii="Arial" w:cs="Arial" w:eastAsia="Arial" w:hAnsi="Arial"/>
                <w:sz w:val="14"/>
                <w:szCs w:val="14"/>
                <w:b w:val="1"/>
                <w:bCs w:val="1"/>
                <w:color w:val="auto"/>
                <w:w w:val="84"/>
              </w:rPr>
              <w:t>Common Shares</w:t>
            </w:r>
          </w:p>
        </w:tc>
      </w:tr>
      <w:tr>
        <w:trPr>
          <w:trHeight w:val="142"/>
        </w:trPr>
        <w:tc>
          <w:tcPr>
            <w:tcW w:w="360" w:type="dxa"/>
            <w:vAlign w:val="bottom"/>
            <w:tcBorders>
              <w:top w:val="single" w:sz="8" w:color="auto"/>
            </w:tcBorders>
            <w:shd w:val="clear" w:color="auto" w:fill="CCEEFF"/>
          </w:tcPr>
          <w:p>
            <w:pPr>
              <w:spacing w:after="0"/>
              <w:rPr>
                <w:sz w:val="12"/>
                <w:szCs w:val="12"/>
                <w:color w:val="auto"/>
              </w:rPr>
            </w:pPr>
          </w:p>
        </w:tc>
        <w:tc>
          <w:tcPr>
            <w:tcW w:w="6400" w:type="dxa"/>
            <w:vAlign w:val="bottom"/>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3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Underwriters are offering the common shares subject to their acceptance of the common shares from us and subject to prior sale. The underwriting agreement provides that the obligations of the several Underwriters to pay for and accept delivery of the common shares offered by this prospectus are subject to the approval of legal matters by their counsel and to certain other conditions. The Underwriters are obligated to take and pay for all of the common shares offered by this prospectus if any such common shares are taken. However, the Underwriters are not required to take or pay for the common shares covered by the Underwriters’ over-allotment option described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300" w:type="dxa"/>
            <w:vAlign w:val="bottom"/>
            <w:gridSpan w:val="17"/>
          </w:tcPr>
          <w:p>
            <w:pPr>
              <w:ind w:left="460"/>
              <w:spacing w:after="0"/>
              <w:rPr>
                <w:sz w:val="20"/>
                <w:szCs w:val="20"/>
                <w:color w:val="auto"/>
              </w:rPr>
            </w:pPr>
            <w:r>
              <w:rPr>
                <w:rFonts w:ascii="Arial" w:cs="Arial" w:eastAsia="Arial" w:hAnsi="Arial"/>
                <w:sz w:val="18"/>
                <w:szCs w:val="18"/>
                <w:color w:val="auto"/>
                <w:w w:val="92"/>
              </w:rPr>
              <w:t>The Underwriters initially propose to offer part of the common shares directly to the public at the initial offering price listed on the cover page of this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10"/>
          </w:tcPr>
          <w:p>
            <w:pPr>
              <w:spacing w:after="0"/>
              <w:rPr>
                <w:sz w:val="20"/>
                <w:szCs w:val="20"/>
                <w:color w:val="auto"/>
              </w:rPr>
            </w:pPr>
            <w:r>
              <w:rPr>
                <w:rFonts w:ascii="Arial" w:cs="Arial" w:eastAsia="Arial" w:hAnsi="Arial"/>
                <w:sz w:val="18"/>
                <w:szCs w:val="18"/>
                <w:color w:val="auto"/>
                <w:w w:val="93"/>
              </w:rPr>
              <w:t>prospectus and part to certain dealers at a price that represents a concession not in excess of $</w:t>
            </w:r>
          </w:p>
        </w:tc>
        <w:tc>
          <w:tcPr>
            <w:tcW w:w="4260" w:type="dxa"/>
            <w:vAlign w:val="bottom"/>
            <w:gridSpan w:val="8"/>
          </w:tcPr>
          <w:p>
            <w:pPr>
              <w:jc w:val="right"/>
              <w:ind w:right="31"/>
              <w:spacing w:after="0"/>
              <w:rPr>
                <w:sz w:val="20"/>
                <w:szCs w:val="20"/>
                <w:color w:val="auto"/>
              </w:rPr>
            </w:pPr>
            <w:r>
              <w:rPr>
                <w:rFonts w:ascii="Arial" w:cs="Arial" w:eastAsia="Arial" w:hAnsi="Arial"/>
                <w:sz w:val="18"/>
                <w:szCs w:val="18"/>
                <w:color w:val="auto"/>
                <w:w w:val="89"/>
              </w:rPr>
              <w:t>per common share under the initial offering price. After the</w:t>
            </w:r>
          </w:p>
        </w:tc>
        <w:tc>
          <w:tcPr>
            <w:tcW w:w="0" w:type="dxa"/>
            <w:vAlign w:val="bottom"/>
          </w:tcPr>
          <w:p>
            <w:pPr>
              <w:spacing w:after="0"/>
              <w:rPr>
                <w:sz w:val="1"/>
                <w:szCs w:val="1"/>
                <w:color w:val="auto"/>
              </w:rPr>
            </w:pPr>
          </w:p>
        </w:tc>
      </w:tr>
      <w:tr>
        <w:trPr>
          <w:trHeight w:val="216"/>
        </w:trPr>
        <w:tc>
          <w:tcPr>
            <w:tcW w:w="11300" w:type="dxa"/>
            <w:vAlign w:val="bottom"/>
            <w:gridSpan w:val="17"/>
          </w:tcPr>
          <w:p>
            <w:pPr>
              <w:spacing w:after="0"/>
              <w:rPr>
                <w:sz w:val="20"/>
                <w:szCs w:val="20"/>
                <w:color w:val="auto"/>
              </w:rPr>
            </w:pPr>
            <w:r>
              <w:rPr>
                <w:rFonts w:ascii="Arial" w:cs="Arial" w:eastAsia="Arial" w:hAnsi="Arial"/>
                <w:sz w:val="18"/>
                <w:szCs w:val="18"/>
                <w:color w:val="auto"/>
                <w:w w:val="93"/>
              </w:rPr>
              <w:t>initial offering of the common shares, the offering price and other selling terms may from time to time be varied by the Representatives. The underwriting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w w:val="99"/>
              </w:rPr>
              <w:t>discounts and commissions (sales load) of $[</w:t>
            </w:r>
          </w:p>
        </w:tc>
        <w:tc>
          <w:tcPr>
            <w:tcW w:w="2620" w:type="dxa"/>
            <w:vAlign w:val="bottom"/>
            <w:gridSpan w:val="4"/>
          </w:tcPr>
          <w:p>
            <w:pPr>
              <w:jc w:val="right"/>
              <w:ind w:right="180"/>
              <w:spacing w:after="0"/>
              <w:rPr>
                <w:sz w:val="20"/>
                <w:szCs w:val="20"/>
                <w:color w:val="auto"/>
              </w:rPr>
            </w:pPr>
            <w:r>
              <w:rPr>
                <w:rFonts w:ascii="Arial" w:cs="Arial" w:eastAsia="Arial" w:hAnsi="Arial"/>
                <w:sz w:val="18"/>
                <w:szCs w:val="18"/>
                <w:color w:val="auto"/>
                <w:w w:val="89"/>
              </w:rPr>
              <w:t>] per common share are equal to [</w:t>
            </w:r>
          </w:p>
        </w:tc>
        <w:tc>
          <w:tcPr>
            <w:tcW w:w="180" w:type="dxa"/>
            <w:vAlign w:val="bottom"/>
          </w:tcPr>
          <w:p>
            <w:pPr>
              <w:spacing w:after="0"/>
              <w:rPr>
                <w:sz w:val="18"/>
                <w:szCs w:val="18"/>
                <w:color w:val="auto"/>
              </w:rPr>
            </w:pPr>
          </w:p>
        </w:tc>
        <w:tc>
          <w:tcPr>
            <w:tcW w:w="4900" w:type="dxa"/>
            <w:vAlign w:val="bottom"/>
            <w:gridSpan w:val="8"/>
          </w:tcPr>
          <w:p>
            <w:pPr>
              <w:ind w:left="180"/>
              <w:spacing w:after="0"/>
              <w:rPr>
                <w:sz w:val="20"/>
                <w:szCs w:val="20"/>
                <w:color w:val="auto"/>
              </w:rPr>
            </w:pPr>
            <w:r>
              <w:rPr>
                <w:rFonts w:ascii="Arial" w:cs="Arial" w:eastAsia="Arial" w:hAnsi="Arial"/>
                <w:sz w:val="18"/>
                <w:szCs w:val="18"/>
                <w:color w:val="auto"/>
                <w:w w:val="90"/>
              </w:rPr>
              <w:t>]% of the initial offering price. Investors must pay for any common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gridSpan w:val="3"/>
          </w:tcPr>
          <w:p>
            <w:pPr>
              <w:spacing w:after="0"/>
              <w:rPr>
                <w:sz w:val="20"/>
                <w:szCs w:val="20"/>
                <w:color w:val="auto"/>
              </w:rPr>
            </w:pPr>
            <w:r>
              <w:rPr>
                <w:rFonts w:ascii="Arial" w:cs="Arial" w:eastAsia="Arial" w:hAnsi="Arial"/>
                <w:sz w:val="18"/>
                <w:szCs w:val="18"/>
                <w:color w:val="auto"/>
              </w:rPr>
              <w:t>shares purchased on or before</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 2011.</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1300" w:type="dxa"/>
            <w:vAlign w:val="bottom"/>
            <w:gridSpan w:val="17"/>
          </w:tcPr>
          <w:p>
            <w:pPr>
              <w:ind w:left="460"/>
              <w:spacing w:after="0"/>
              <w:rPr>
                <w:sz w:val="20"/>
                <w:szCs w:val="20"/>
                <w:color w:val="auto"/>
              </w:rPr>
            </w:pPr>
            <w:r>
              <w:rPr>
                <w:rFonts w:ascii="Arial" w:cs="Arial" w:eastAsia="Arial" w:hAnsi="Arial"/>
                <w:sz w:val="18"/>
                <w:szCs w:val="18"/>
                <w:color w:val="auto"/>
                <w:w w:val="87"/>
              </w:rPr>
              <w:t>We have granted to the Underwriters an option, exercisable for 45 days from the date of this prospectus, to purchase up to an aggregate of common shares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300" w:type="dxa"/>
            <w:vAlign w:val="bottom"/>
            <w:gridSpan w:val="17"/>
          </w:tcPr>
          <w:p>
            <w:pPr>
              <w:spacing w:after="0"/>
              <w:rPr>
                <w:sz w:val="20"/>
                <w:szCs w:val="20"/>
                <w:color w:val="auto"/>
              </w:rPr>
            </w:pPr>
            <w:r>
              <w:rPr>
                <w:rFonts w:ascii="Arial" w:cs="Arial" w:eastAsia="Arial" w:hAnsi="Arial"/>
                <w:sz w:val="18"/>
                <w:szCs w:val="18"/>
                <w:color w:val="auto"/>
                <w:w w:val="89"/>
              </w:rPr>
              <w:t>at the initial offering price per common share listed on the cover page of this prospectus, less underwriting discounts and commissions. The Underwriters may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300" w:type="dxa"/>
            <w:vAlign w:val="bottom"/>
            <w:gridSpan w:val="17"/>
          </w:tcPr>
          <w:p>
            <w:pPr>
              <w:spacing w:after="0"/>
              <w:rPr>
                <w:sz w:val="20"/>
                <w:szCs w:val="20"/>
                <w:color w:val="auto"/>
              </w:rPr>
            </w:pPr>
            <w:r>
              <w:rPr>
                <w:rFonts w:ascii="Arial" w:cs="Arial" w:eastAsia="Arial" w:hAnsi="Arial"/>
                <w:sz w:val="18"/>
                <w:szCs w:val="18"/>
                <w:color w:val="auto"/>
                <w:w w:val="93"/>
              </w:rPr>
              <w:t>exercise this option solely for the purpose of covering over-allotments, if any, made in connection with the offering of the common shares offered by this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300" w:type="dxa"/>
            <w:vAlign w:val="bottom"/>
            <w:gridSpan w:val="17"/>
          </w:tcPr>
          <w:p>
            <w:pPr>
              <w:spacing w:after="0"/>
              <w:rPr>
                <w:sz w:val="20"/>
                <w:szCs w:val="20"/>
                <w:color w:val="auto"/>
              </w:rPr>
            </w:pPr>
            <w:r>
              <w:rPr>
                <w:rFonts w:ascii="Arial" w:cs="Arial" w:eastAsia="Arial" w:hAnsi="Arial"/>
                <w:sz w:val="18"/>
                <w:szCs w:val="18"/>
                <w:color w:val="auto"/>
                <w:w w:val="90"/>
              </w:rPr>
              <w:t>prospectus. To the extent the option is exercised, each Underwriter will become obligated, subject to limited conditions, to purchase approximately the same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300" w:type="dxa"/>
            <w:vAlign w:val="bottom"/>
            <w:gridSpan w:val="17"/>
          </w:tcPr>
          <w:p>
            <w:pPr>
              <w:spacing w:after="0"/>
              <w:rPr>
                <w:sz w:val="20"/>
                <w:szCs w:val="20"/>
                <w:color w:val="auto"/>
              </w:rPr>
            </w:pPr>
            <w:r>
              <w:rPr>
                <w:rFonts w:ascii="Arial" w:cs="Arial" w:eastAsia="Arial" w:hAnsi="Arial"/>
                <w:sz w:val="18"/>
                <w:szCs w:val="18"/>
                <w:color w:val="auto"/>
                <w:w w:val="90"/>
              </w:rPr>
              <w:t>percentage of the additional common shares as the number listed next to the Underwriter’s name in the preceding table bears to the total number of common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300" w:type="dxa"/>
            <w:vAlign w:val="bottom"/>
            <w:gridSpan w:val="17"/>
          </w:tcPr>
          <w:p>
            <w:pPr>
              <w:spacing w:after="0"/>
              <w:rPr>
                <w:sz w:val="20"/>
                <w:szCs w:val="20"/>
                <w:color w:val="auto"/>
              </w:rPr>
            </w:pPr>
            <w:r>
              <w:rPr>
                <w:rFonts w:ascii="Arial" w:cs="Arial" w:eastAsia="Arial" w:hAnsi="Arial"/>
                <w:sz w:val="18"/>
                <w:szCs w:val="18"/>
                <w:color w:val="auto"/>
                <w:w w:val="92"/>
              </w:rPr>
              <w:t>shares listed next to the names of all Underwriters in the preceding table. If the Underwriters’ over-allotment option is exercised in full, the total price to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public would be $</w:t>
            </w:r>
          </w:p>
        </w:tc>
        <w:tc>
          <w:tcPr>
            <w:tcW w:w="5600" w:type="dxa"/>
            <w:vAlign w:val="bottom"/>
            <w:gridSpan w:val="8"/>
          </w:tcPr>
          <w:p>
            <w:pPr>
              <w:ind w:left="260"/>
              <w:spacing w:after="0"/>
              <w:rPr>
                <w:sz w:val="20"/>
                <w:szCs w:val="20"/>
                <w:color w:val="auto"/>
              </w:rPr>
            </w:pPr>
            <w:r>
              <w:rPr>
                <w:rFonts w:ascii="Arial" w:cs="Arial" w:eastAsia="Arial" w:hAnsi="Arial"/>
                <w:sz w:val="18"/>
                <w:szCs w:val="18"/>
                <w:color w:val="auto"/>
                <w:w w:val="88"/>
              </w:rPr>
              <w:t>, the total Underwriters’ discounts and commissions (sales load) would be $</w:t>
            </w:r>
          </w:p>
        </w:tc>
        <w:tc>
          <w:tcPr>
            <w:tcW w:w="160" w:type="dxa"/>
            <w:vAlign w:val="bottom"/>
          </w:tcPr>
          <w:p>
            <w:pPr>
              <w:spacing w:after="0"/>
              <w:rPr>
                <w:sz w:val="18"/>
                <w:szCs w:val="18"/>
                <w:color w:val="auto"/>
              </w:rPr>
            </w:pPr>
          </w:p>
        </w:tc>
        <w:tc>
          <w:tcPr>
            <w:tcW w:w="4000" w:type="dxa"/>
            <w:vAlign w:val="bottom"/>
            <w:gridSpan w:val="6"/>
          </w:tcPr>
          <w:p>
            <w:pPr>
              <w:ind w:left="340"/>
              <w:spacing w:after="0"/>
              <w:rPr>
                <w:sz w:val="20"/>
                <w:szCs w:val="20"/>
                <w:color w:val="auto"/>
              </w:rPr>
            </w:pPr>
            <w:r>
              <w:rPr>
                <w:rFonts w:ascii="Arial" w:cs="Arial" w:eastAsia="Arial" w:hAnsi="Arial"/>
                <w:sz w:val="18"/>
                <w:szCs w:val="18"/>
                <w:color w:val="auto"/>
              </w:rPr>
              <w:t>, the estimated offering expenses would be $</w:t>
            </w:r>
          </w:p>
        </w:tc>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222"/>
        </w:trPr>
        <w:tc>
          <w:tcPr>
            <w:tcW w:w="5360" w:type="dxa"/>
            <w:vAlign w:val="bottom"/>
            <w:gridSpan w:val="6"/>
          </w:tcPr>
          <w:p>
            <w:pPr>
              <w:spacing w:after="0"/>
              <w:rPr>
                <w:sz w:val="20"/>
                <w:szCs w:val="20"/>
                <w:color w:val="auto"/>
              </w:rPr>
            </w:pPr>
            <w:r>
              <w:rPr>
                <w:rFonts w:ascii="Arial" w:cs="Arial" w:eastAsia="Arial" w:hAnsi="Arial"/>
                <w:sz w:val="18"/>
                <w:szCs w:val="18"/>
                <w:color w:val="auto"/>
                <w:w w:val="91"/>
              </w:rPr>
              <w:t>$ of which would be borne by us, and the total proceeds to us would be $</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140" w:type="dxa"/>
            <w:vAlign w:val="bottom"/>
            <w:gridSpan w:val="10"/>
          </w:tcPr>
          <w:p>
            <w:pPr>
              <w:ind w:left="460"/>
              <w:spacing w:after="0"/>
              <w:rPr>
                <w:sz w:val="20"/>
                <w:szCs w:val="20"/>
                <w:color w:val="auto"/>
              </w:rPr>
            </w:pPr>
            <w:r>
              <w:rPr>
                <w:rFonts w:ascii="Arial" w:cs="Arial" w:eastAsia="Arial" w:hAnsi="Arial"/>
                <w:sz w:val="18"/>
                <w:szCs w:val="18"/>
                <w:color w:val="auto"/>
                <w:w w:val="91"/>
              </w:rPr>
              <w:t>The following table summarizes the estimated expenses and compensation that we will pay:</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gridSpan w:val="4"/>
          </w:tcPr>
          <w:p>
            <w:pPr>
              <w:ind w:left="40"/>
              <w:spacing w:after="0"/>
              <w:rPr>
                <w:sz w:val="20"/>
                <w:szCs w:val="20"/>
                <w:color w:val="auto"/>
              </w:rPr>
            </w:pPr>
            <w:r>
              <w:rPr>
                <w:rFonts w:ascii="Arial" w:cs="Arial" w:eastAsia="Arial" w:hAnsi="Arial"/>
                <w:sz w:val="14"/>
                <w:szCs w:val="14"/>
                <w:b w:val="1"/>
                <w:bCs w:val="1"/>
                <w:color w:val="auto"/>
              </w:rPr>
              <w:t>Per Common Share</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gridSpan w:val="4"/>
          </w:tcPr>
          <w:p>
            <w:pPr>
              <w:ind w:left="3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w w:val="95"/>
              </w:rPr>
              <w:t>Without</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320"/>
              <w:spacing w:after="0" w:line="129" w:lineRule="exact"/>
              <w:rPr>
                <w:sz w:val="20"/>
                <w:szCs w:val="20"/>
                <w:color w:val="auto"/>
              </w:rPr>
            </w:pPr>
            <w:r>
              <w:rPr>
                <w:rFonts w:ascii="Arial" w:cs="Arial" w:eastAsia="Arial" w:hAnsi="Arial"/>
                <w:sz w:val="14"/>
                <w:szCs w:val="14"/>
                <w:b w:val="1"/>
                <w:bCs w:val="1"/>
                <w:color w:val="auto"/>
              </w:rPr>
              <w:t>With</w:t>
            </w:r>
          </w:p>
        </w:tc>
        <w:tc>
          <w:tcPr>
            <w:tcW w:w="160" w:type="dxa"/>
            <w:vAlign w:val="bottom"/>
            <w:tcBorders>
              <w:top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With</w:t>
            </w:r>
          </w:p>
        </w:tc>
        <w:tc>
          <w:tcPr>
            <w:tcW w:w="4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9"/>
              </w:rPr>
              <w:t>Over-allotment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Over-allotment</w:t>
            </w: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86"/>
              </w:rPr>
              <w:t>Over-allotment</w:t>
            </w:r>
          </w:p>
        </w:tc>
        <w:tc>
          <w:tcPr>
            <w:tcW w:w="9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Sales load</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Estimated offering expenses</w:t>
            </w:r>
          </w:p>
        </w:tc>
        <w:tc>
          <w:tcPr>
            <w:tcW w:w="8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00" w:type="dxa"/>
            <w:vAlign w:val="bottom"/>
            <w:gridSpan w:val="4"/>
          </w:tcPr>
          <w:p>
            <w:pPr>
              <w:ind w:left="460"/>
              <w:spacing w:after="0"/>
              <w:rPr>
                <w:sz w:val="20"/>
                <w:szCs w:val="20"/>
                <w:color w:val="auto"/>
              </w:rPr>
            </w:pPr>
            <w:r>
              <w:rPr>
                <w:rFonts w:ascii="Arial" w:cs="Arial" w:eastAsia="Arial" w:hAnsi="Arial"/>
                <w:sz w:val="18"/>
                <w:szCs w:val="18"/>
                <w:color w:val="auto"/>
                <w:w w:val="91"/>
              </w:rPr>
              <w:t>Proceeds, after expenses, to the Company</w:t>
            </w:r>
          </w:p>
        </w:tc>
        <w:tc>
          <w:tcPr>
            <w:tcW w:w="10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220" w:type="dxa"/>
            <w:vAlign w:val="bottom"/>
            <w:gridSpan w:val="8"/>
          </w:tcPr>
          <w:p>
            <w:pPr>
              <w:ind w:left="460"/>
              <w:spacing w:after="0"/>
              <w:rPr>
                <w:sz w:val="20"/>
                <w:szCs w:val="20"/>
                <w:color w:val="auto"/>
              </w:rPr>
            </w:pPr>
            <w:r>
              <w:rPr>
                <w:rFonts w:ascii="Arial" w:cs="Arial" w:eastAsia="Arial" w:hAnsi="Arial"/>
                <w:sz w:val="18"/>
                <w:szCs w:val="18"/>
                <w:color w:val="auto"/>
                <w:w w:val="92"/>
              </w:rPr>
              <w:t>The aggregate offering expenses (excluding sales load) are estimated to be $</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98"/>
              </w:rPr>
              <w:t>in total, $</w:t>
            </w:r>
          </w:p>
        </w:tc>
        <w:tc>
          <w:tcPr>
            <w:tcW w:w="160" w:type="dxa"/>
            <w:vAlign w:val="bottom"/>
          </w:tcPr>
          <w:p>
            <w:pPr>
              <w:spacing w:after="0"/>
              <w:rPr>
                <w:sz w:val="24"/>
                <w:szCs w:val="24"/>
                <w:color w:val="auto"/>
              </w:rPr>
            </w:pPr>
          </w:p>
        </w:tc>
        <w:tc>
          <w:tcPr>
            <w:tcW w:w="4100" w:type="dxa"/>
            <w:vAlign w:val="bottom"/>
            <w:gridSpan w:val="7"/>
          </w:tcPr>
          <w:p>
            <w:pPr>
              <w:ind w:left="340"/>
              <w:spacing w:after="0"/>
              <w:rPr>
                <w:sz w:val="20"/>
                <w:szCs w:val="20"/>
                <w:color w:val="auto"/>
              </w:rPr>
            </w:pPr>
            <w:r>
              <w:rPr>
                <w:rFonts w:ascii="Arial" w:cs="Arial" w:eastAsia="Arial" w:hAnsi="Arial"/>
                <w:sz w:val="18"/>
                <w:szCs w:val="18"/>
                <w:color w:val="auto"/>
                <w:w w:val="90"/>
              </w:rPr>
              <w:t>of which will be borne by us (or $ if the Underwriters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exercise their over-allotment option in full). If we issue preferred shares and/or notes, our common stockholders would also bear the expenses of such an offering.</w:t>
      </w:r>
    </w:p>
    <w:p>
      <w:pPr>
        <w:spacing w:after="0" w:line="1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five percent of the total number of common shares offered by them.</w:t>
      </w:r>
    </w:p>
    <w:p>
      <w:pPr>
        <w:spacing w:after="0" w:line="132"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In order to meet requirements for listing the common shares on [ ], the Underwriters have undertaken to sell lots of 100 or more shares to a minimum of 400 beneficial owners in the United States. The minimum investment requirement is 100 common shares ($[ ]).</w:t>
      </w:r>
    </w:p>
    <w:p>
      <w:pPr>
        <w:sectPr>
          <w:pgSz w:w="11900" w:h="16838" w:orient="portrait"/>
          <w:cols w:equalWidth="0" w:num="1">
            <w:col w:w="11400"/>
          </w:cols>
          <w:pgMar w:left="240" w:top="459" w:right="259" w:bottom="1440" w:gutter="0" w:footer="0" w:header="0"/>
        </w:sectPr>
      </w:pP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common shares have been approved for listing on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subject to notice of issuance, under the trading or “ticker” symbol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4380" w:space="520"/>
            <w:col w:w="4960" w:space="520"/>
            <w:col w:w="102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459"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agreed that, without the prior written consent of [ ], on behalf of the Underwriters, it will not, during the period ending [180] days after the date of this prospectus:</w:t>
      </w:r>
    </w:p>
    <w:p>
      <w:pPr>
        <w:spacing w:after="0" w:line="51" w:lineRule="exact"/>
        <w:rPr>
          <w:sz w:val="20"/>
          <w:szCs w:val="20"/>
          <w:color w:val="auto"/>
        </w:rPr>
      </w:pPr>
    </w:p>
    <w:p>
      <w:pPr>
        <w:ind w:left="660" w:right="24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 or</w:t>
      </w:r>
    </w:p>
    <w:p>
      <w:pPr>
        <w:spacing w:after="0" w:line="59"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shares or such other securities, in cash or otherwise; or file any registration statement with the SEC relating to the offering of any common shares or any securities convertible into or exercisable or exchangeable for common shares. These lock-up agreements will not apply to the common shares to be sold pursuant to the underwriting agreement or any common shares issued pursuant to the company’s dividend reinvestment plan or any preferred share issuance, if any.</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order to facilitate the offering of the common shares, the Underwriters may engage in transactions that stabilize, maintain or otherwise affect the price of the common shares. The Underwriters currently expect to sell more common shares than they are obligated to purchase under the underwriting agreement, creating a short position in the common shares for their own account. A short sale is covered if the short position is no greater than the number of common shares available for purchase by the Underwriters under the over-allotment option (exercisable for 45 days from the date of this prospectus). The Underwriters can close out a covered short sale by exercising the over-allotment option or purchasing common shares in the open market. In determining the source of common shares to close out a covered short sale, the Underwriters will consider the open market price of the common shares compared to the price available under the over-allotment option. The Underwriters may also sell common shares in excess of the over-allotment option, creating a naked short position. The Underwriters must close out any naked short position by purchasing common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As an additional means of facilitating the offering, the Underwriters may bid for, and purchase, common shares in the open market to stabilize the price of the common shares. Finally, the underwriting syndicate may also reclaim selling concessions allowed to an Underwriter or a dealer for distributing the common shares in the offering, if the syndicate repurchases previously distributed common shares in transactions to cover syndicate short positions or to stabilize the price of the common shares. Any of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2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Prior to this offering, there has been no public or private market for the common shares or any other securities of the company. Consequently, the offering price for the common shares was determined by negotiation among us, the Adviser and the Representatives. The company can offer no assurance, however, that the price at which the common shares trade after this offering will not be lower than the price at which they are sold by the Underwriters or that an active trading market in the common shares will develop and continue after this offering.</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anticipates that the Representatives and certain other Underwriters may from time to time act as brokers and dealers in connection with the execution of its portfolio transactions after they have ceased to be Underwriters and, subject to certain restrictions, may act as such brokers while they are Underwriters.</w:t>
      </w:r>
    </w:p>
    <w:p>
      <w:pPr>
        <w:spacing w:after="0" w:line="85"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In connection with this offering, certain of the Underwriters or selected dealers may distribute prospectuses electronically. We, the Adviser and the Underwriters have agreed to indemnify each other against certain liabilities, including liabilities under the Securities Act.</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Prior to the public offering of common shares, the Adviser purchased common shares from us in an amount satisfying the initial capital requirements of Section 14(a) of the 1940 Act. As of the date of this Prospectus, the Adviser owned 100% of the outstanding common shares.</w:t>
      </w:r>
    </w:p>
    <w:p>
      <w:pPr>
        <w:spacing w:after="0" w:line="85" w:lineRule="exact"/>
        <w:rPr>
          <w:sz w:val="20"/>
          <w:szCs w:val="20"/>
          <w:color w:val="auto"/>
        </w:rPr>
      </w:pPr>
    </w:p>
    <w:p>
      <w:pPr>
        <w:ind w:left="460"/>
        <w:spacing w:after="0"/>
        <w:tabs>
          <w:tab w:leader="none" w:pos="3420" w:val="left"/>
          <w:tab w:leader="none" w:pos="4260" w:val="left"/>
        </w:tabs>
        <w:rPr>
          <w:sz w:val="20"/>
          <w:szCs w:val="20"/>
          <w:color w:val="auto"/>
        </w:rPr>
      </w:pPr>
      <w:r>
        <w:rPr>
          <w:rFonts w:ascii="Arial" w:cs="Arial" w:eastAsia="Arial" w:hAnsi="Arial"/>
          <w:sz w:val="18"/>
          <w:szCs w:val="18"/>
          <w:color w:val="auto"/>
        </w:rPr>
        <w:t>The principal business address of [</w:t>
      </w:r>
      <w:r>
        <w:rPr>
          <w:sz w:val="20"/>
          <w:szCs w:val="20"/>
          <w:color w:val="auto"/>
        </w:rPr>
        <w:tab/>
      </w:r>
      <w:r>
        <w:rPr>
          <w:rFonts w:ascii="Arial" w:cs="Arial" w:eastAsia="Arial" w:hAnsi="Arial"/>
          <w:sz w:val="18"/>
          <w:szCs w:val="18"/>
          <w:color w:val="auto"/>
        </w:rPr>
        <w:t>] is [</w:t>
      </w:r>
      <w:r>
        <w:rPr>
          <w:sz w:val="20"/>
          <w:szCs w:val="20"/>
          <w:color w:val="auto"/>
        </w:rPr>
        <w:tab/>
      </w:r>
      <w:r>
        <w:rPr>
          <w:rFonts w:ascii="Arial" w:cs="Arial" w:eastAsia="Arial" w:hAnsi="Arial"/>
          <w:sz w:val="16"/>
          <w:szCs w:val="16"/>
          <w:color w:val="auto"/>
        </w:rPr>
        <w:t>].</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Some of the Underwriters or their respective affiliates from time to time have provided in the past, and may provide in the future, investment banking, securities trading, hedging, brokerage activities, commercial lending and financial advisory services to the company, certain company officers and company affiliates and the Adviser and its affiliates in the ordinary course of business, for which they have received, and may receive, customary fees and expenses.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action has been taken in any jurisdiction (except in the United States) that would permit a public offering of the common shares, or the possession, circulation or distribution of this prospectus or any other material relating to the company or the common shares in any jurisdiction where action for that purpose is required. Accordingly, the common shares may not be offered or sold, directly or indirectly, and neither this prospectus nor any other offering material or advertisements in connection with the common shares may be distributed or published, in or from any country or jurisdiction except in compliance with the applicable rules and regulations of any such country or jurisdiction.</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CUSTODIAN AND TRANSFER AGENT</w:t>
      </w:r>
    </w:p>
    <w:p>
      <w:pPr>
        <w:spacing w:after="0" w:line="177" w:lineRule="exact"/>
        <w:rPr>
          <w:sz w:val="20"/>
          <w:szCs w:val="20"/>
          <w:color w:val="auto"/>
        </w:rPr>
      </w:pPr>
    </w:p>
    <w:p>
      <w:pPr>
        <w:jc w:val="both"/>
        <w:ind w:right="340" w:firstLine="456"/>
        <w:spacing w:after="0" w:line="332" w:lineRule="auto"/>
        <w:rPr>
          <w:sz w:val="20"/>
          <w:szCs w:val="20"/>
          <w:color w:val="auto"/>
        </w:rPr>
      </w:pPr>
      <w:r>
        <w:rPr>
          <w:rFonts w:ascii="Arial" w:cs="Arial" w:eastAsia="Arial" w:hAnsi="Arial"/>
          <w:sz w:val="16"/>
          <w:szCs w:val="16"/>
          <w:color w:val="auto"/>
        </w:rPr>
        <w:t>The custodian of the assets of the company will be [ ] located at [ ]. The custodian will perform custodial, fund accounting and portfolio accounting services. [ ] located at [ ], will serve as the company’s transfer agent and dividend paying agent with respect to the common shares.</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OPINIONS</w:t>
      </w:r>
    </w:p>
    <w:p>
      <w:pPr>
        <w:spacing w:after="0" w:line="17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Certain legal matters in connection with the common shares will be passed upon for the company by Dechert LLP, Washington, D.C. and for the Underwriters by [ ]. Dechert LLP and [ ] may rely as to certain matters of Maryland law on the opinion of Venable LLP, Baltimore, Maryland.</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YEAR</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accounting purposes, the company’s fiscal year is the 12-month period ending on June 30. For tax purposes, the company has adopted the 12-month period ending June 30 of each year as its taxable year.</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tabs>
          <w:tab w:leader="none" w:pos="2920" w:val="left"/>
          <w:tab w:leader="none" w:pos="7340" w:val="left"/>
          <w:tab w:leader="none" w:pos="10900" w:val="left"/>
        </w:tabs>
        <w:rPr>
          <w:sz w:val="20"/>
          <w:szCs w:val="20"/>
          <w:color w:val="auto"/>
        </w:rPr>
      </w:pPr>
      <w:r>
        <w:rPr>
          <w:rFonts w:ascii="Arial" w:cs="Arial" w:eastAsia="Arial" w:hAnsi="Arial"/>
          <w:sz w:val="18"/>
          <w:szCs w:val="18"/>
          <w:color w:val="auto"/>
        </w:rPr>
        <w:t>The company has selected [</w:t>
      </w:r>
      <w:r>
        <w:rPr>
          <w:sz w:val="20"/>
          <w:szCs w:val="20"/>
          <w:color w:val="auto"/>
        </w:rPr>
        <w:tab/>
      </w:r>
      <w:r>
        <w:rPr>
          <w:rFonts w:ascii="Arial" w:cs="Arial" w:eastAsia="Arial" w:hAnsi="Arial"/>
          <w:sz w:val="18"/>
          <w:szCs w:val="18"/>
          <w:color w:val="auto"/>
        </w:rPr>
        <w:t>] as its independent registered public accounting firm. [</w:t>
      </w:r>
      <w:r>
        <w:rPr>
          <w:sz w:val="20"/>
          <w:szCs w:val="20"/>
          <w:color w:val="auto"/>
        </w:rPr>
        <w:tab/>
      </w:r>
      <w:r>
        <w:rPr>
          <w:rFonts w:ascii="Arial" w:cs="Arial" w:eastAsia="Arial" w:hAnsi="Arial"/>
          <w:sz w:val="18"/>
          <w:szCs w:val="18"/>
          <w:color w:val="auto"/>
        </w:rPr>
        <w:t>]’s principal business address is located at [</w:t>
      </w:r>
      <w:r>
        <w:rPr>
          <w:sz w:val="20"/>
          <w:szCs w:val="20"/>
          <w:color w:val="auto"/>
        </w:rPr>
        <w:tab/>
      </w:r>
      <w:r>
        <w:rPr>
          <w:rFonts w:ascii="Arial" w:cs="Arial" w:eastAsia="Arial" w:hAnsi="Arial"/>
          <w:sz w:val="16"/>
          <w:szCs w:val="16"/>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5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COME]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PennantPark Floating Rate Capital Ltd.</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 of Assets and Liabilities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COME]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Notes to Statement of Assets and Liabilities.</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COME]</w:t>
      </w:r>
    </w:p>
    <w:p>
      <w:pPr>
        <w:spacing w:after="0" w:line="16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COME]</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460"/>
        <w:spacing w:after="0"/>
        <w:tabs>
          <w:tab w:leader="none" w:pos="4620" w:val="left"/>
        </w:tabs>
        <w:rPr>
          <w:sz w:val="20"/>
          <w:szCs w:val="20"/>
          <w:color w:val="auto"/>
        </w:rPr>
      </w:pPr>
      <w:r>
        <w:rPr>
          <w:rFonts w:ascii="Arial" w:cs="Arial" w:eastAsia="Arial" w:hAnsi="Arial"/>
          <w:sz w:val="18"/>
          <w:szCs w:val="18"/>
          <w:color w:val="auto"/>
        </w:rPr>
        <w:t>Statement of assets and liabilities, dated as of [</w:t>
      </w:r>
      <w:r>
        <w:rPr>
          <w:sz w:val="20"/>
          <w:szCs w:val="20"/>
          <w:color w:val="auto"/>
        </w:rPr>
        <w:tab/>
      </w: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218" w:lineRule="exact"/>
        <w:rPr>
          <w:sz w:val="20"/>
          <w:szCs w:val="20"/>
          <w:color w:val="auto"/>
        </w:rPr>
      </w:pPr>
    </w:p>
    <w:p>
      <w:pPr>
        <w:ind w:left="620" w:hanging="61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Articles of Incorporation.(1)</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Bylaws.(2)</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Portions of the Articles of Incorporation and By-laws of the Registrant defining the rights of holders of shares of common stock of the Registrant.*</w:t>
      </w:r>
    </w:p>
    <w:p>
      <w:pPr>
        <w:spacing w:after="0" w:line="140" w:lineRule="exact"/>
        <w:rPr>
          <w:rFonts w:ascii="Arial" w:cs="Arial" w:eastAsia="Arial" w:hAnsi="Arial"/>
          <w:sz w:val="16"/>
          <w:szCs w:val="16"/>
          <w:color w:val="auto"/>
        </w:rPr>
      </w:pPr>
    </w:p>
    <w:p>
      <w:pPr>
        <w:ind w:left="620" w:hanging="61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of Dividend Reinvestment Plan.(2)</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of Investment Advisory Agreement between the Registrant and PennantPark Credit Management, LLC (the “Adviser”). (2)</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(h)(1)</w:t>
        <w:tab/>
        <w:t>Form of Underwriting Agreement.(2)</w:t>
      </w:r>
    </w:p>
    <w:p>
      <w:pPr>
        <w:spacing w:after="0" w:line="117" w:lineRule="exact"/>
        <w:rPr>
          <w:sz w:val="20"/>
          <w:szCs w:val="20"/>
          <w:color w:val="auto"/>
        </w:rPr>
      </w:pPr>
    </w:p>
    <w:p>
      <w:pPr>
        <w:ind w:left="620" w:hanging="612"/>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 of Custodian Agreement.(2)</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(k)(1)</w:t>
        <w:tab/>
        <w:t>Form of Transfer Agency and Service Agreement.(2)</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(k)(2)</w:t>
        <w:tab/>
        <w:t>Form of Administration Agreement between Registrant and PennantPark Administration, LLC.(2)</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(k)(3)</w:t>
        <w:tab/>
        <w:t>Form of License Agreement between the Registrant and the Adviser.(2)</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(k)(4)</w:t>
        <w:tab/>
        <w:t>Power of Attorney.(2)</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(l)(1)</w:t>
        <w:tab/>
        <w:t>Opinion and Consent of Fund Counsel.(2)</w:t>
      </w:r>
    </w:p>
    <w:p>
      <w:pPr>
        <w:spacing w:after="0" w:line="117" w:lineRule="exact"/>
        <w:rPr>
          <w:sz w:val="20"/>
          <w:szCs w:val="20"/>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Firm.(2)</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Certificate of Initial Stockholder.(2)</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(r)(1)</w:t>
        <w:tab/>
        <w:t>Code of Ethics of Fund.(2)</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(r)(2)</w:t>
        <w:tab/>
        <w:t>Code of Ethics of Adviser.(2)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as an exhibit to the Initial Registration Statement on Form N-2 filed on November 1, 2010 and incorporated by reference herein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460" w:hanging="452"/>
        <w:spacing w:after="0" w:line="323"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Reference is made to Article [ ] of the Registrant’s Articles of Incorporation, filed as Exhibit (a) to the Initial Registration Statement on Form N-2 filed on November 1, 2010 and incorporated by reference herein; and to Article [ ] of the Registrant’s By-laws, filed as Exhibit (b) to this Registration Statement.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Item 25(2)(h)(1).</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219"/>
          </w:cols>
          <w:pgMar w:left="240" w:top="459" w:right="1440"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1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-103505</wp:posOffset>
            </wp:positionV>
            <wp:extent cx="49225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Exchange listing fees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Financial Industry Regulatory Authority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Underwriters’ 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Miscellaneous</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To be furnished by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4" w:hanging="94"/>
        <w:spacing w:after="0"/>
        <w:tabs>
          <w:tab w:leader="none" w:pos="94"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8586" w:space="720"/>
            <w:col w:w="2114"/>
          </w:cols>
          <w:pgMar w:left="240" w:top="459" w:right="239" w:bottom="1440" w:gutter="0" w:footer="0" w:header="0"/>
          <w:type w:val="continuous"/>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7580" w:type="dxa"/>
            <w:vAlign w:val="bottom"/>
            <w:gridSpan w:val="5"/>
          </w:tcPr>
          <w:p>
            <w:pPr>
              <w:ind w:left="220"/>
              <w:spacing w:after="0"/>
              <w:rPr>
                <w:sz w:val="20"/>
                <w:szCs w:val="20"/>
                <w:color w:val="auto"/>
              </w:rPr>
            </w:pPr>
            <w:r>
              <w:rPr>
                <w:rFonts w:ascii="Arial" w:cs="Arial" w:eastAsia="Arial" w:hAnsi="Arial"/>
                <w:sz w:val="18"/>
                <w:szCs w:val="18"/>
                <w:b w:val="1"/>
                <w:bCs w:val="1"/>
                <w:color w:val="auto"/>
              </w:rPr>
              <w:t>Persons Controlled by or Under Common Control with Registrant</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480" w:type="dxa"/>
            <w:vAlign w:val="bottom"/>
            <w:gridSpan w:val="4"/>
          </w:tcPr>
          <w:p>
            <w:pPr>
              <w:ind w:left="460"/>
              <w:spacing w:after="0"/>
              <w:rPr>
                <w:sz w:val="20"/>
                <w:szCs w:val="20"/>
                <w:color w:val="auto"/>
              </w:rPr>
            </w:pPr>
            <w:r>
              <w:rPr>
                <w:rFonts w:ascii="Arial" w:cs="Arial" w:eastAsia="Arial" w:hAnsi="Arial"/>
                <w:sz w:val="18"/>
                <w:szCs w:val="18"/>
                <w:color w:val="auto"/>
              </w:rPr>
              <w:t>Immediately prior to this offering, [</w:t>
            </w:r>
          </w:p>
        </w:tc>
        <w:tc>
          <w:tcPr>
            <w:tcW w:w="600" w:type="dxa"/>
            <w:vAlign w:val="bottom"/>
          </w:tcPr>
          <w:p>
            <w:pPr>
              <w:ind w:left="20"/>
              <w:spacing w:after="0"/>
              <w:rPr>
                <w:sz w:val="20"/>
                <w:szCs w:val="20"/>
                <w:color w:val="auto"/>
              </w:rPr>
            </w:pPr>
            <w:r>
              <w:rPr>
                <w:rFonts w:ascii="Arial" w:cs="Arial" w:eastAsia="Arial" w:hAnsi="Arial"/>
                <w:sz w:val="18"/>
                <w:szCs w:val="18"/>
                <w:color w:val="auto"/>
              </w:rPr>
              <w:t>], a [</w:t>
            </w:r>
          </w:p>
        </w:tc>
        <w:tc>
          <w:tcPr>
            <w:tcW w:w="7340" w:type="dxa"/>
            <w:vAlign w:val="bottom"/>
            <w:gridSpan w:val="5"/>
          </w:tcPr>
          <w:p>
            <w:pPr>
              <w:ind w:left="260"/>
              <w:spacing w:after="0"/>
              <w:rPr>
                <w:sz w:val="20"/>
                <w:szCs w:val="20"/>
                <w:color w:val="auto"/>
              </w:rPr>
            </w:pPr>
            <w:r>
              <w:rPr>
                <w:rFonts w:ascii="Arial" w:cs="Arial" w:eastAsia="Arial" w:hAnsi="Arial"/>
                <w:sz w:val="18"/>
                <w:szCs w:val="18"/>
                <w:color w:val="auto"/>
                <w:w w:val="89"/>
              </w:rPr>
              <w:t>], will own shares of the Registrant, representing 100% of the common stock outstanding. Following</w:t>
            </w:r>
          </w:p>
        </w:tc>
        <w:tc>
          <w:tcPr>
            <w:tcW w:w="0" w:type="dxa"/>
            <w:vAlign w:val="bottom"/>
          </w:tcPr>
          <w:p>
            <w:pPr>
              <w:spacing w:after="0"/>
              <w:rPr>
                <w:sz w:val="1"/>
                <w:szCs w:val="1"/>
                <w:color w:val="auto"/>
              </w:rPr>
            </w:pPr>
          </w:p>
        </w:tc>
      </w:tr>
      <w:tr>
        <w:trPr>
          <w:trHeight w:val="222"/>
        </w:trPr>
        <w:tc>
          <w:tcPr>
            <w:tcW w:w="2620" w:type="dxa"/>
            <w:vAlign w:val="bottom"/>
            <w:gridSpan w:val="3"/>
          </w:tcPr>
          <w:p>
            <w:pPr>
              <w:spacing w:after="0"/>
              <w:rPr>
                <w:sz w:val="20"/>
                <w:szCs w:val="20"/>
                <w:color w:val="auto"/>
              </w:rPr>
            </w:pPr>
            <w:r>
              <w:rPr>
                <w:rFonts w:ascii="Arial" w:cs="Arial" w:eastAsia="Arial" w:hAnsi="Arial"/>
                <w:sz w:val="18"/>
                <w:szCs w:val="18"/>
                <w:color w:val="auto"/>
              </w:rPr>
              <w:t>the completion of this offering, [</w:t>
            </w:r>
          </w:p>
        </w:tc>
        <w:tc>
          <w:tcPr>
            <w:tcW w:w="6860" w:type="dxa"/>
            <w:vAlign w:val="bottom"/>
            <w:gridSpan w:val="5"/>
          </w:tcPr>
          <w:p>
            <w:pPr>
              <w:jc w:val="right"/>
              <w:ind w:right="172"/>
              <w:spacing w:after="0"/>
              <w:rPr>
                <w:sz w:val="20"/>
                <w:szCs w:val="20"/>
                <w:color w:val="auto"/>
              </w:rPr>
            </w:pPr>
            <w:r>
              <w:rPr>
                <w:rFonts w:ascii="Arial" w:cs="Arial" w:eastAsia="Arial" w:hAnsi="Arial"/>
                <w:sz w:val="18"/>
                <w:szCs w:val="18"/>
                <w:color w:val="auto"/>
                <w:w w:val="89"/>
              </w:rPr>
              <w:t>]’s share ownership is expected to represent less than 1% of the common stock outstanding.</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2660" w:type="dxa"/>
            <w:vAlign w:val="bottom"/>
            <w:gridSpan w:val="3"/>
          </w:tcPr>
          <w:p>
            <w:pPr>
              <w:ind w:left="220"/>
              <w:spacing w:after="0"/>
              <w:rPr>
                <w:sz w:val="20"/>
                <w:szCs w:val="20"/>
                <w:color w:val="auto"/>
              </w:rPr>
            </w:pPr>
            <w:r>
              <w:rPr>
                <w:rFonts w:ascii="Arial" w:cs="Arial" w:eastAsia="Arial" w:hAnsi="Arial"/>
                <w:sz w:val="18"/>
                <w:szCs w:val="18"/>
                <w:b w:val="1"/>
                <w:bCs w:val="1"/>
                <w:color w:val="auto"/>
                <w:w w:val="87"/>
              </w:rPr>
              <w:t>Number of Holders of Securities</w:t>
            </w:r>
          </w:p>
        </w:tc>
        <w:tc>
          <w:tcPr>
            <w:tcW w:w="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6"/>
          </w:tcPr>
          <w:p>
            <w:pPr>
              <w:ind w:left="460"/>
              <w:spacing w:after="0"/>
              <w:rPr>
                <w:sz w:val="20"/>
                <w:szCs w:val="20"/>
                <w:color w:val="auto"/>
              </w:rPr>
            </w:pPr>
            <w:r>
              <w:rPr>
                <w:rFonts w:ascii="Arial" w:cs="Arial" w:eastAsia="Arial" w:hAnsi="Arial"/>
                <w:sz w:val="18"/>
                <w:szCs w:val="18"/>
                <w:color w:val="auto"/>
                <w:w w:val="90"/>
              </w:rPr>
              <w:t>The following table sets forth the approximate number of record holders of the Registrant’s common stock at [</w:t>
            </w:r>
          </w:p>
        </w:tc>
        <w:tc>
          <w:tcPr>
            <w:tcW w:w="1080" w:type="dxa"/>
            <w:vAlign w:val="bottom"/>
            <w:gridSpan w:val="2"/>
          </w:tcPr>
          <w:p>
            <w:pPr>
              <w:jc w:val="center"/>
              <w:ind w:left="59"/>
              <w:spacing w:after="0"/>
              <w:rPr>
                <w:sz w:val="20"/>
                <w:szCs w:val="20"/>
                <w:color w:val="auto"/>
              </w:rPr>
            </w:pPr>
            <w:r>
              <w:rPr>
                <w:rFonts w:ascii="Arial" w:cs="Arial" w:eastAsia="Arial" w:hAnsi="Arial"/>
                <w:sz w:val="18"/>
                <w:szCs w:val="18"/>
                <w:color w:val="auto"/>
                <w:w w:val="89"/>
              </w:rPr>
              <w:t>], 2011.</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1800" w:type="dxa"/>
            <w:vAlign w:val="bottom"/>
            <w:gridSpan w:val="2"/>
          </w:tcPr>
          <w:p>
            <w:pPr>
              <w:ind w:left="1020"/>
              <w:spacing w:after="0"/>
              <w:rPr>
                <w:sz w:val="20"/>
                <w:szCs w:val="20"/>
                <w:color w:val="auto"/>
              </w:rPr>
            </w:pPr>
            <w:r>
              <w:rPr>
                <w:rFonts w:ascii="Arial" w:cs="Arial" w:eastAsia="Arial" w:hAnsi="Arial"/>
                <w:sz w:val="14"/>
                <w:szCs w:val="14"/>
                <w:b w:val="1"/>
                <w:bCs w:val="1"/>
                <w:color w:val="auto"/>
                <w:w w:val="87"/>
              </w:rPr>
              <w:t>Title of Class</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8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8"/>
              </w:rPr>
              <w:t>Record Holders</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shares, par value [$0.001] per share</w:t>
            </w: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Registrant’s charter and bylaws require the Registrant, to the maximum extent permitted by Maryland law and subject to the requirements of the 1940 Act, to indemnify any present or former director or officer or any individual who, while a director and at the Registrant’s request, serves or has served another corporation, real estate investment trust, partnership, joint venture, trust, employee benefit plan or other enterprise as a director, officer, partner or trustee and who is made a party to the proceeding by reason of his or her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rights to indemnification and advance of expenses provided by the charter and bylaws vest immediately upon election of a director or officer.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office.</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Maryland law requires a corporation (unless its charter provides otherwise, which the Registrant’s charter does not) to indemnify a director or officer who has been successful, on the merits or otherwise, in the defense of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Insofar as indemnification for liability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Investment Advisory Agreement provides that PennantPark Investment Advisers, LLC and its officers, directors, employees, shareholders (and owners of the shareholders), employees, controlling persons and agents are entitled to indemnification from us for any damages, liabilities, costs and expenses (including reasonable attorneys’ fees and amounts reasonably paid in settlement) incurred by them in or by reason of any pending, threatened or completed action, suit, investigation or other proceedings arising out of or otherwise based on the performance of any of PennantPark Investment Advisers, LLC’s duties or obligations under the Investment Advisory Agreement or otherwise as our investment adviser, (1) to the extent such damages, liabilities, costs and expenses (A) are not fully reimbursed by insurance and to the extent that indemnification, and (B) do not arise by reason of willful misfeasance, bad faith, or gross negligence in PennantPark Investment Advisers, LLC’s performance of such duties or obligations, or PennantPark Investment Advisers, LLC’s reckless disregard of such duties or obligations, and (2) otherwise to the fullest extent such indemnification would be permitted under our articles of incorporation, the 1940 Act, the laws of the State of Maryland and other applicable law.</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provisions described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 action, suit or proceeding) is asserted by a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court of the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Adviser</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description of the business of the Adviser is set out under the heading “Investment Advisory and Management Arrangement” in the prospectus which forms a part of this registration statement. A description of any other business, profession, vocation, or employment of a substantial nature in which each managing director, executive officer or investment professional of the Adviser, is or has been, at any time during the past two fiscal years, engaged in for his or her own account or in the capacity of director, officer, employee, partner or trustee, is set out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Locations of Accounts and Records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(2)</w:t>
            </w:r>
          </w:p>
        </w:tc>
        <w:tc>
          <w:tcPr>
            <w:tcW w:w="1680" w:type="dxa"/>
            <w:vAlign w:val="bottom"/>
          </w:tcPr>
          <w:p>
            <w:pPr>
              <w:ind w:left="120"/>
              <w:spacing w:after="0"/>
              <w:rPr>
                <w:sz w:val="20"/>
                <w:szCs w:val="20"/>
                <w:color w:val="auto"/>
              </w:rPr>
            </w:pPr>
            <w:r>
              <w:rPr>
                <w:rFonts w:ascii="Arial" w:cs="Arial" w:eastAsia="Arial" w:hAnsi="Arial"/>
                <w:sz w:val="18"/>
                <w:szCs w:val="18"/>
                <w:color w:val="auto"/>
                <w:w w:val="93"/>
              </w:rPr>
              <w:t>the Transfer Agent,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(3)</w:t>
            </w:r>
          </w:p>
        </w:tc>
        <w:tc>
          <w:tcPr>
            <w:tcW w:w="1680" w:type="dxa"/>
            <w:vAlign w:val="bottom"/>
          </w:tcPr>
          <w:p>
            <w:pPr>
              <w:ind w:left="120"/>
              <w:spacing w:after="0"/>
              <w:rPr>
                <w:sz w:val="20"/>
                <w:szCs w:val="20"/>
                <w:color w:val="auto"/>
              </w:rPr>
            </w:pPr>
            <w:r>
              <w:rPr>
                <w:rFonts w:ascii="Arial" w:cs="Arial" w:eastAsia="Arial" w:hAnsi="Arial"/>
                <w:sz w:val="18"/>
                <w:szCs w:val="18"/>
                <w:color w:val="auto"/>
              </w:rPr>
              <w:t>the Custodian, [</w:t>
            </w:r>
          </w:p>
        </w:tc>
        <w:tc>
          <w:tcPr>
            <w:tcW w:w="540" w:type="dxa"/>
            <w:vAlign w:val="bottom"/>
          </w:tcPr>
          <w:p>
            <w:pPr>
              <w:jc w:val="right"/>
              <w:spacing w:after="0"/>
              <w:rPr>
                <w:sz w:val="20"/>
                <w:szCs w:val="20"/>
                <w:color w:val="auto"/>
              </w:rPr>
            </w:pPr>
            <w:r>
              <w:rPr>
                <w:rFonts w:ascii="Arial" w:cs="Arial" w:eastAsia="Arial" w:hAnsi="Arial"/>
                <w:sz w:val="18"/>
                <w:szCs w:val="18"/>
                <w:color w:val="auto"/>
              </w:rPr>
              <w:t>]; and</w:t>
            </w:r>
          </w:p>
        </w:tc>
      </w:tr>
    </w:tbl>
    <w:p>
      <w:pPr>
        <w:spacing w:after="0" w:line="75" w:lineRule="exact"/>
        <w:rPr>
          <w:sz w:val="20"/>
          <w:szCs w:val="20"/>
          <w:color w:val="auto"/>
        </w:rPr>
      </w:pPr>
    </w:p>
    <w:p>
      <w:pPr>
        <w:ind w:left="5580" w:right="2200" w:hanging="5126"/>
        <w:spacing w:after="0" w:line="440" w:lineRule="auto"/>
        <w:tabs>
          <w:tab w:leader="none" w:pos="8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C-5</w:t>
      </w:r>
    </w:p>
    <w:p>
      <w:pPr>
        <w:sectPr>
          <w:pgSz w:w="11900" w:h="16838" w:orient="portrait"/>
          <w:cols w:equalWidth="0" w:num="1">
            <w:col w:w="11280"/>
          </w:cols>
          <w:pgMar w:left="240" w:top="459" w:right="3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90" w:lineRule="exact"/>
        <w:rPr>
          <w:rFonts w:ascii="Arial" w:cs="Arial" w:eastAsia="Arial" w:hAnsi="Arial"/>
          <w:sz w:val="18"/>
          <w:szCs w:val="18"/>
          <w:color w:val="auto"/>
        </w:rPr>
      </w:pPr>
    </w:p>
    <w:p>
      <w:pPr>
        <w:ind w:left="900" w:right="260" w:hanging="446"/>
        <w:spacing w:after="0" w:line="306"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“Securities Act”), and the Investment Company Act of 1940, as amended (the “1940 Act”), the Registrant has duly caused this Registration Statement to be signed on its behalf by the undersigned, thereunto duly authorized, in The City of New York, State of New York on the 9</w:t>
      </w:r>
      <w:r>
        <w:rPr>
          <w:rFonts w:ascii="Arial" w:cs="Arial" w:eastAsia="Arial" w:hAnsi="Arial"/>
          <w:sz w:val="11"/>
          <w:szCs w:val="11"/>
          <w:color w:val="auto"/>
        </w:rPr>
        <w:t>th</w:t>
      </w:r>
      <w:r>
        <w:rPr>
          <w:rFonts w:ascii="Arial" w:cs="Arial" w:eastAsia="Arial" w:hAnsi="Arial"/>
          <w:sz w:val="18"/>
          <w:szCs w:val="18"/>
          <w:color w:val="auto"/>
        </w:rPr>
        <w:t xml:space="preserve"> day of February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2"/>
              </w:rPr>
              <w:t>(Arthur H. Penn)</w:t>
            </w: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Director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February 9, 2011</w:t>
            </w: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6"/>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Aviv Efrat</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0"/>
              </w:rPr>
              <w:t>(Aviv Efrat)</w:t>
            </w: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Treasurer (Principal Financial Officer)</w:t>
            </w:r>
          </w:p>
        </w:tc>
        <w:tc>
          <w:tcPr>
            <w:tcW w:w="2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February 9, 2011</w:t>
            </w: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0"/>
              </w:rPr>
              <w:t>(Jeffrey Flug)</w:t>
            </w: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February 9, 2011</w:t>
            </w: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February 9, 2011</w:t>
            </w: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1"/>
              </w:rPr>
              <w:t>(Samuel L. Katz)</w:t>
            </w: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February 9, 2011</w:t>
            </w:r>
          </w:p>
        </w:tc>
      </w:tr>
    </w:tbl>
    <w:p>
      <w:pPr>
        <w:spacing w:after="0" w:line="196" w:lineRule="exact"/>
        <w:rPr>
          <w:sz w:val="20"/>
          <w:szCs w:val="20"/>
          <w:color w:val="auto"/>
        </w:rPr>
      </w:pPr>
    </w:p>
    <w:p>
      <w:pPr>
        <w:ind w:left="5580" w:right="1500" w:hanging="5572"/>
        <w:spacing w:after="0" w:line="440" w:lineRule="auto"/>
        <w:tabs>
          <w:tab w:leader="none" w:pos="2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December 16, 2010 C-7</w:t>
      </w:r>
    </w:p>
    <w:p>
      <w:pPr>
        <w:sectPr>
          <w:pgSz w:w="11900" w:h="16838" w:orient="portrait"/>
          <w:cols w:equalWidth="0" w:num="1">
            <w:col w:w="11420"/>
          </w:cols>
          <w:pgMar w:left="240" w:top="459" w:right="239" w:bottom="1440" w:gutter="0" w:footer="0" w:header="0"/>
        </w:sectPr>
      </w:pPr>
    </w:p>
    <w:bookmarkStart w:id="89" w:name="page90"/>
    <w:bookmarkEnd w:id="89"/>
    <w:p>
      <w:pPr>
        <w:jc w:val="center"/>
        <w:ind w:right="-79"/>
        <w:spacing w:after="0"/>
        <w:rPr>
          <w:sz w:val="20"/>
          <w:szCs w:val="20"/>
          <w:color w:val="auto"/>
        </w:rPr>
      </w:pPr>
      <w:r>
        <w:rPr>
          <w:rFonts w:ascii="Arial" w:cs="Arial" w:eastAsia="Arial" w:hAnsi="Arial"/>
          <w:sz w:val="18"/>
          <w:szCs w:val="18"/>
          <w:b w:val="1"/>
          <w:bCs w:val="1"/>
          <w:color w:val="auto"/>
        </w:rPr>
        <w:t>[Dechert LLP Letterhead]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February 9,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John Ganley,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Senior Floating Rate Fund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Today we have transmitted electronically for filing on behalf of PennantPark Senior Floating Rate Fund Inc., a closed-end investment management company (the “Registrant”), Pre-Effective Amendment No. 2 to the Registration Statement on Form N-2 of the Registrant (“Amendment No. 2”) under the Investment Company Act of 1940 and Securities Act of 1933.</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Amendment No. 2 reflects significant changes to Amendment No. 1 to the Registration Statement filed by the Registrant, including (1) a change in form of the Registrant from a traditional closed-end fund to a business development company and (2) a change in the name of the Registrant to PennantPark Floating Rate Capital Ltd. To facilitate your review, we will provide to you under separate cover copies of Amendment No. 2 marked to show changes from Amendment No. 1 as well as a copy of Amendment No. 2 marked to show how it differs from Amendment No. 6 to the Registration Statement of PennantPark Investment Corporation, which was declared effective on January 28,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Please direct any questions concerning the filing to me at 202-261-3313 or Bill Bielefeld at 202.261.3386.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590"/>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3"/>
    </w:lvl>
  </w:abstractNum>
  <w:abstractNum w:abstractNumId="10">
    <w:nsid w:val="71F32454"/>
    <w:multiLevelType w:val="hybridMultilevel"/>
    <w:lvl w:ilvl="0">
      <w:lvlJc w:val="left"/>
      <w:lvlText w:val="(%1)"/>
      <w:numFmt w:val="decimal"/>
      <w:start w:val="6"/>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0"/>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5"/>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2"/>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lowerRoman"/>
      <w:start w:val="2"/>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lvl w:ilvl="1">
      <w:lvlJc w:val="left"/>
      <w:lvlText w:val="(%2)"/>
      <w:numFmt w:val="lowerLetter"/>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9"/>
    </w:lvl>
  </w:abstractNum>
  <w:abstractNum w:abstractNumId="36">
    <w:nsid w:val="580BD78F"/>
    <w:multiLevelType w:val="hybridMultilevel"/>
    <w:lvl w:ilvl="0">
      <w:lvlJc w:val="left"/>
      <w:lvlText w:val="(%1)"/>
      <w:numFmt w:val="lowerLetter"/>
      <w:start w:val="13"/>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4"/>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2019-12-11T08:58:24Z</dcterms:created>
  <dcterms:modified xsi:type="dcterms:W3CDTF">2019-12-11T08:58:24Z</dcterms:modified>
</cp:coreProperties>
</file>