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December 02,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20"/>
        <w:spacing w:after="0" w:line="250" w:lineRule="auto"/>
        <w:rPr>
          <w:sz w:val="20"/>
          <w:szCs w:val="20"/>
          <w:color w:val="auto"/>
        </w:rPr>
      </w:pPr>
      <w:r>
        <w:rPr>
          <w:rFonts w:ascii="Arial" w:cs="Arial" w:eastAsia="Arial" w:hAnsi="Arial"/>
          <w:sz w:val="22"/>
          <w:szCs w:val="22"/>
          <w:color w:val="auto"/>
        </w:rPr>
        <w:t>On December 2, 2014,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December 02,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December 02, 2014</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December 02,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NEW YORK, NY -- (Marketwired - December 02, 2014) - PennantPark Floating Rate Capital Ltd. (the "Company") (NASDAQ: PFLT) declares monthly distribution for December 2014 of $0.09 per share, payable on January 2, 2015 to stockholders of record as of December 19, 2014. Distributions are paid from taxable earnings and may include a return of capital and/or capital gains.</w:t>
      </w:r>
    </w:p>
    <w:p>
      <w:pPr>
        <w:spacing w:after="0" w:line="1"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The specific tax characteristics of the distributions will be reported to stockholders on Form 1099 after the end of the calendar year and in the Company's periodic report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2020-05-05T12:04:39Z</dcterms:created>
  <dcterms:modified xsi:type="dcterms:W3CDTF">2020-05-05T12:04:39Z</dcterms:modified>
</cp:coreProperties>
</file>